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ANEXO - Cenário de utilização de IA no ERJ</w:t>
      </w:r>
    </w:p>
    <w:p>
      <w:r>
        <w:br w:type="page"/>
      </w:r>
    </w:p>
    <w:bookmarkStart w:id="17" w:name="objetivo"/>
    <w:p>
      <w:pPr>
        <w:pStyle w:val="Ttulo1"/>
      </w:pPr>
      <w:r>
        <w:t xml:space="preserve">1. Objetivo</w:t>
      </w:r>
    </w:p>
    <w:p>
      <w:pPr>
        <w:pStyle w:val="FirstParagraph"/>
      </w:pPr>
      <w:r>
        <w:t xml:space="preserve">Este anexo apresenta análise das respostas às questões do questionário iGovTI 2026 relacionadas à inteligência artificial, compreendendo as questões 3001 a 3006. O objetivo é oferecer visão consolidada sobre o grau de utilização de IA pelos auditados do TCE-RJ, os usos declarados, as contratações realizadas, as diretrizes existentes, os controles sobre IA generativa e os principais riscos identificados.</w:t>
      </w:r>
    </w:p>
    <w:p>
      <w:pPr>
        <w:pStyle w:val="Corpodetexto"/>
      </w:pPr>
      <w:r>
        <w:t xml:space="preserve">A análise tem caráter diagnóstico. Não substitui fiscalização específica sobre soluções de IA, contratos, bases de dados, modelos, algoritmos ou decisões automatizadas. As conclusões devem ser lidas como retrato consolidado das respostas atualizadas ao questionário, após os ajustes decorrentes da avaliação de evidências e dos comentários do gestor, quando aplicáveis.</w:t>
      </w:r>
    </w:p>
    <w:bookmarkEnd w:id="17"/>
    <w:bookmarkStart w:id="18" w:name="metodologia"/>
    <w:p>
      <w:pPr>
        <w:pStyle w:val="Ttulo1"/>
      </w:pPr>
      <w:r>
        <w:t xml:space="preserve">2. Metodologia</w:t>
      </w:r>
    </w:p>
    <w:p>
      <w:pPr>
        <w:pStyle w:val="FirstParagraph"/>
      </w:pPr>
      <w:r>
        <w:t xml:space="preserve">Foram utilizadas as respostas atualizadas do questionário iGovTI 2026, com data de referência de 16/07/2026. O universo analisado corresponde a</w:t>
      </w:r>
      <w:r>
        <w:t xml:space="preserve"> </w:t>
      </w:r>
      <w:r>
        <w:rPr>
          <w:b/>
          <w:bCs/>
        </w:rPr>
        <w:t xml:space="preserve">113 organizações</w:t>
      </w:r>
      <w:r>
        <w:t xml:space="preserve">.</w:t>
      </w:r>
    </w:p>
    <w:p>
      <w:pPr>
        <w:pStyle w:val="Corpodetexto"/>
      </w:pPr>
      <w:r>
        <w:t xml:space="preserve">As questões avaliadas foram:</w:t>
      </w:r>
    </w:p>
    <w:p>
      <w:pPr>
        <w:pStyle w:val="Compact"/>
        <w:numPr>
          <w:ilvl w:val="0"/>
          <w:numId w:val="1001"/>
        </w:numPr>
      </w:pPr>
      <w:r>
        <w:rPr>
          <w:b/>
          <w:bCs/>
        </w:rPr>
        <w:t xml:space="preserve">3001</w:t>
      </w:r>
      <w:r>
        <w:t xml:space="preserve">: uso institucional de inteligência artificial;</w:t>
      </w:r>
    </w:p>
    <w:p>
      <w:pPr>
        <w:pStyle w:val="Compact"/>
        <w:numPr>
          <w:ilvl w:val="0"/>
          <w:numId w:val="1001"/>
        </w:numPr>
      </w:pPr>
      <w:r>
        <w:rPr>
          <w:b/>
          <w:bCs/>
        </w:rPr>
        <w:t xml:space="preserve">3002</w:t>
      </w:r>
      <w:r>
        <w:t xml:space="preserve">: diretrizes para o uso da inteligência artificial;</w:t>
      </w:r>
    </w:p>
    <w:p>
      <w:pPr>
        <w:pStyle w:val="Compact"/>
        <w:numPr>
          <w:ilvl w:val="0"/>
          <w:numId w:val="1001"/>
        </w:numPr>
      </w:pPr>
      <w:r>
        <w:rPr>
          <w:b/>
          <w:bCs/>
        </w:rPr>
        <w:t xml:space="preserve">3003</w:t>
      </w:r>
      <w:r>
        <w:t xml:space="preserve">: contratação de soluções ou serviços com IA;</w:t>
      </w:r>
    </w:p>
    <w:p>
      <w:pPr>
        <w:pStyle w:val="Compact"/>
        <w:numPr>
          <w:ilvl w:val="0"/>
          <w:numId w:val="1001"/>
        </w:numPr>
      </w:pPr>
      <w:r>
        <w:rPr>
          <w:b/>
          <w:bCs/>
        </w:rPr>
        <w:t xml:space="preserve">3004</w:t>
      </w:r>
      <w:r>
        <w:t xml:space="preserve">: dificuldades de planejamento e contratação de soluções de IA;</w:t>
      </w:r>
    </w:p>
    <w:p>
      <w:pPr>
        <w:pStyle w:val="Compact"/>
        <w:numPr>
          <w:ilvl w:val="0"/>
          <w:numId w:val="1001"/>
        </w:numPr>
      </w:pPr>
      <w:r>
        <w:rPr>
          <w:b/>
          <w:bCs/>
        </w:rPr>
        <w:t xml:space="preserve">3005</w:t>
      </w:r>
      <w:r>
        <w:t xml:space="preserve">: medidas para identificar e controlar uso não autorizado ou não mapeado de IA generativa;</w:t>
      </w:r>
    </w:p>
    <w:p>
      <w:pPr>
        <w:pStyle w:val="Compact"/>
        <w:numPr>
          <w:ilvl w:val="0"/>
          <w:numId w:val="1001"/>
        </w:numPr>
      </w:pPr>
      <w:r>
        <w:rPr>
          <w:b/>
          <w:bCs/>
        </w:rPr>
        <w:t xml:space="preserve">3006</w:t>
      </w:r>
      <w:r>
        <w:t xml:space="preserve">: descrição aberta dos principais usos existentes.</w:t>
      </w:r>
    </w:p>
    <w:p>
      <w:pPr>
        <w:pStyle w:val="FirstParagraph"/>
      </w:pPr>
      <w:r>
        <w:t xml:space="preserve">As respostas afirmativas das questões 3001, 3002, 3003 e 3005 foram submetidas à avaliação de evidências quando havia exigência de comprovação. Após essa avaliação, foram registrados</w:t>
      </w:r>
      <w:r>
        <w:t xml:space="preserve"> </w:t>
      </w:r>
      <w:r>
        <w:rPr>
          <w:b/>
          <w:bCs/>
        </w:rPr>
        <w:t xml:space="preserve">15 ajustes pós-evidência</w:t>
      </w:r>
      <w:r>
        <w:t xml:space="preserve"> </w:t>
      </w:r>
      <w:r>
        <w:t xml:space="preserve">em itens de IA, envolvendo 3001, 3003 e 3005. Na etapa de comentários do gestor, um novo elemento tecnicamente acolhido alterou a resposta da CEDAE no item relativo à contratação de solução de IA generativa. Assim, os dados deste anexo consideram a base atualizada após as duas etapas, e não apenas a autodeclaração original dos auditados.</w:t>
      </w:r>
    </w:p>
    <w:p>
      <w:pPr>
        <w:pStyle w:val="Corpodetexto"/>
      </w:pPr>
      <w:r>
        <w:t xml:space="preserve">A questão 3006 possui natureza descritiva. Suas respostas foram categorizadas de forma interpretativa para identificar temas recorrentes. Essa categorização não equivale à validação independente da existência, maturidade, segurança ou efetividade das soluções descritas.</w:t>
      </w:r>
    </w:p>
    <w:bookmarkEnd w:id="18"/>
    <w:bookmarkStart w:id="22" w:name="cenário-geral"/>
    <w:p>
      <w:pPr>
        <w:pStyle w:val="Ttulo1"/>
      </w:pPr>
      <w:r>
        <w:t xml:space="preserve">3. Cenário geral</w:t>
      </w:r>
    </w:p>
    <w:p>
      <w:pPr>
        <w:pStyle w:val="FirstParagraph"/>
      </w:pPr>
      <w:r>
        <w:t xml:space="preserve">O cenário geral indica baixa institucionalização do uso de inteligência artificial nos auditados. Embora existam iniciativas relevantes e organizações com sinais de maior maturidade, a maior parte do universo avaliado declarou não adotar IA de forma institucional, não possuir diretrizes específicas e não adotar medidas para identificar ou controlar o uso de IA generativa.</w:t>
      </w:r>
    </w:p>
    <w:p>
      <w:pPr>
        <w:pStyle w:val="TableCaption"/>
        <w:keepNext/>
      </w:pPr>
      <w:r>
        <w:t xml:space="preserve">Tabela 1 - Síntese do cenário de IA</w:t>
      </w:r>
    </w:p>
    <w:tbl>
      <w:tblPr>
        <w:tblStyle w:val="Table"/>
        <w:tblW w:type="pct" w:w="5000"/>
        <w:jc w:val="center"/>
        <w:tblLayout w:type="autofit"/>
        <w:tblLook w:firstRow="1" w:lastRow="0" w:firstColumn="0" w:lastColumn="0" w:noHBand="0" w:noVBand="0" w:val="0020"/>
        <w:tblCaption w:val="Tabela 1 - Síntese do cenário de IA"/>
      </w:tblPr>
      <w:tblGrid>
        <w:gridCol w:w="2160"/>
        <w:gridCol w:w="2880"/>
        <w:gridCol w:w="2880"/>
      </w:tblGrid>
      <w:tr>
        <w:trPr>
          <w:tblHeader w:val="on"/>
          <w:cantSplit/>
        </w:trPr>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Organizações respondentes</w:t>
            </w:r>
          </w:p>
        </w:tc>
        <w:tc>
          <w:tcPr/>
          <w:p>
            <w:pPr>
              <w:pStyle w:val="Compact"/>
              <w:jc w:val="both"/>
            </w:pPr>
            <w:r>
              <w:rPr>
                <w:rFonts w:ascii="Calibri" w:hAnsi="Calibri"/>
                <w:sz w:val="18"/>
              </w:rPr>
              <w:t xml:space="preserve">113</w:t>
            </w:r>
          </w:p>
        </w:tc>
        <w:tc>
          <w:tcPr/>
          <w:p>
            <w:pPr>
              <w:pStyle w:val="Compact"/>
              <w:jc w:val="both"/>
            </w:pPr>
            <w:r>
              <w:rPr>
                <w:rFonts w:ascii="Calibri" w:hAnsi="Calibri"/>
                <w:sz w:val="18"/>
              </w:rPr>
              <w:t xml:space="preserve">100,0%</w:t>
            </w:r>
          </w:p>
        </w:tc>
      </w:tr>
      <w:tr>
        <w:trPr>
          <w:cantSplit/>
        </w:trPr>
        <w:tc>
          <w:tcPr/>
          <w:p>
            <w:pPr>
              <w:pStyle w:val="Compact"/>
              <w:jc w:val="both"/>
            </w:pPr>
            <w:r>
              <w:rPr>
                <w:rFonts w:ascii="Calibri" w:hAnsi="Calibri"/>
                <w:sz w:val="18"/>
              </w:rPr>
              <w:t xml:space="preserve">Declararam algum grau de uso institucional, decisão formal ou plano para IA</w:t>
            </w:r>
          </w:p>
        </w:tc>
        <w:tc>
          <w:tcPr/>
          <w:p>
            <w:pPr>
              <w:pStyle w:val="Compact"/>
              <w:jc w:val="both"/>
            </w:pPr>
            <w:r>
              <w:rPr>
                <w:rFonts w:ascii="Calibri" w:hAnsi="Calibri"/>
                <w:sz w:val="18"/>
              </w:rPr>
              <w:t xml:space="preserve">32</w:t>
            </w:r>
          </w:p>
        </w:tc>
        <w:tc>
          <w:tcPr/>
          <w:p>
            <w:pPr>
              <w:pStyle w:val="Compact"/>
              <w:jc w:val="both"/>
            </w:pPr>
            <w:r>
              <w:rPr>
                <w:rFonts w:ascii="Calibri" w:hAnsi="Calibri"/>
                <w:sz w:val="18"/>
              </w:rPr>
              <w:t xml:space="preserve">28,3%</w:t>
            </w:r>
          </w:p>
        </w:tc>
      </w:tr>
      <w:tr>
        <w:trPr>
          <w:cantSplit/>
        </w:trPr>
        <w:tc>
          <w:tcPr/>
          <w:p>
            <w:pPr>
              <w:pStyle w:val="Compact"/>
              <w:jc w:val="both"/>
            </w:pPr>
            <w:r>
              <w:rPr>
                <w:rFonts w:ascii="Calibri" w:hAnsi="Calibri"/>
                <w:sz w:val="18"/>
              </w:rPr>
              <w:t xml:space="preserve">Declararam adoção efetiva de IA, ainda que em menor parte</w:t>
            </w:r>
          </w:p>
        </w:tc>
        <w:tc>
          <w:tcPr/>
          <w:p>
            <w:pPr>
              <w:pStyle w:val="Compact"/>
              <w:jc w:val="both"/>
            </w:pPr>
            <w:r>
              <w:rPr>
                <w:rFonts w:ascii="Calibri" w:hAnsi="Calibri"/>
                <w:sz w:val="18"/>
              </w:rPr>
              <w:t xml:space="preserve">29</w:t>
            </w:r>
          </w:p>
        </w:tc>
        <w:tc>
          <w:tcPr/>
          <w:p>
            <w:pPr>
              <w:pStyle w:val="Compact"/>
              <w:jc w:val="both"/>
            </w:pPr>
            <w:r>
              <w:rPr>
                <w:rFonts w:ascii="Calibri" w:hAnsi="Calibri"/>
                <w:sz w:val="18"/>
              </w:rPr>
              <w:t xml:space="preserve">25,7%</w:t>
            </w:r>
          </w:p>
        </w:tc>
      </w:tr>
      <w:tr>
        <w:trPr>
          <w:cantSplit/>
        </w:trPr>
        <w:tc>
          <w:tcPr/>
          <w:p>
            <w:pPr>
              <w:pStyle w:val="Compact"/>
              <w:jc w:val="both"/>
            </w:pPr>
            <w:r>
              <w:rPr>
                <w:rFonts w:ascii="Calibri" w:hAnsi="Calibri"/>
                <w:sz w:val="18"/>
              </w:rPr>
              <w:t xml:space="preserve">Declararam adoção parcial ou em maior parte/total de IA</w:t>
            </w:r>
          </w:p>
        </w:tc>
        <w:tc>
          <w:tcPr/>
          <w:p>
            <w:pPr>
              <w:pStyle w:val="Compact"/>
              <w:jc w:val="both"/>
            </w:pPr>
            <w:r>
              <w:rPr>
                <w:rFonts w:ascii="Calibri" w:hAnsi="Calibri"/>
                <w:sz w:val="18"/>
              </w:rPr>
              <w:t xml:space="preserve">16</w:t>
            </w:r>
          </w:p>
        </w:tc>
        <w:tc>
          <w:tcPr/>
          <w:p>
            <w:pPr>
              <w:pStyle w:val="Compact"/>
              <w:jc w:val="both"/>
            </w:pPr>
            <w:r>
              <w:rPr>
                <w:rFonts w:ascii="Calibri" w:hAnsi="Calibri"/>
                <w:sz w:val="18"/>
              </w:rPr>
              <w:t xml:space="preserve">14,2%</w:t>
            </w:r>
          </w:p>
        </w:tc>
      </w:tr>
      <w:tr>
        <w:trPr>
          <w:cantSplit/>
        </w:trPr>
        <w:tc>
          <w:tcPr/>
          <w:p>
            <w:pPr>
              <w:pStyle w:val="Compact"/>
              <w:jc w:val="both"/>
            </w:pPr>
            <w:r>
              <w:rPr>
                <w:rFonts w:ascii="Calibri" w:hAnsi="Calibri"/>
                <w:sz w:val="18"/>
              </w:rPr>
              <w:t xml:space="preserve">Declararam diretrizes de IA em algum grau, decisão formal ou plano</w:t>
            </w:r>
          </w:p>
        </w:tc>
        <w:tc>
          <w:tcPr/>
          <w:p>
            <w:pPr>
              <w:pStyle w:val="Compact"/>
              <w:jc w:val="both"/>
            </w:pPr>
            <w:r>
              <w:rPr>
                <w:rFonts w:ascii="Calibri" w:hAnsi="Calibri"/>
                <w:sz w:val="18"/>
              </w:rPr>
              <w:t xml:space="preserve">23</w:t>
            </w:r>
          </w:p>
        </w:tc>
        <w:tc>
          <w:tcPr/>
          <w:p>
            <w:pPr>
              <w:pStyle w:val="Compact"/>
              <w:jc w:val="both"/>
            </w:pPr>
            <w:r>
              <w:rPr>
                <w:rFonts w:ascii="Calibri" w:hAnsi="Calibri"/>
                <w:sz w:val="18"/>
              </w:rPr>
              <w:t xml:space="preserve">20,4%</w:t>
            </w:r>
          </w:p>
        </w:tc>
      </w:tr>
      <w:tr>
        <w:trPr>
          <w:cantSplit/>
        </w:trPr>
        <w:tc>
          <w:tcPr/>
          <w:p>
            <w:pPr>
              <w:pStyle w:val="Compact"/>
              <w:jc w:val="both"/>
            </w:pPr>
            <w:r>
              <w:rPr>
                <w:rFonts w:ascii="Calibri" w:hAnsi="Calibri"/>
                <w:sz w:val="18"/>
              </w:rPr>
              <w:t xml:space="preserve">Declararam diretrizes parciais ou em maior parte/totais</w:t>
            </w:r>
          </w:p>
        </w:tc>
        <w:tc>
          <w:tcPr/>
          <w:p>
            <w:pPr>
              <w:pStyle w:val="Compact"/>
              <w:jc w:val="both"/>
            </w:pPr>
            <w:r>
              <w:rPr>
                <w:rFonts w:ascii="Calibri" w:hAnsi="Calibri"/>
                <w:sz w:val="18"/>
              </w:rPr>
              <w:t xml:space="preserve">11</w:t>
            </w:r>
          </w:p>
        </w:tc>
        <w:tc>
          <w:tcPr/>
          <w:p>
            <w:pPr>
              <w:pStyle w:val="Compact"/>
              <w:jc w:val="both"/>
            </w:pPr>
            <w:r>
              <w:rPr>
                <w:rFonts w:ascii="Calibri" w:hAnsi="Calibri"/>
                <w:sz w:val="18"/>
              </w:rPr>
              <w:t xml:space="preserve">9,7%</w:t>
            </w:r>
          </w:p>
        </w:tc>
      </w:tr>
      <w:tr>
        <w:trPr>
          <w:cantSplit/>
        </w:trPr>
        <w:tc>
          <w:tcPr/>
          <w:p>
            <w:pPr>
              <w:pStyle w:val="Compact"/>
              <w:jc w:val="both"/>
            </w:pPr>
            <w:r>
              <w:rPr>
                <w:rFonts w:ascii="Calibri" w:hAnsi="Calibri"/>
                <w:sz w:val="18"/>
              </w:rPr>
              <w:t xml:space="preserve">Declararam contratação de IA em ao menos uma categoria</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17,7%</w:t>
            </w:r>
          </w:p>
        </w:tc>
      </w:tr>
      <w:tr>
        <w:trPr>
          <w:cantSplit/>
        </w:trPr>
        <w:tc>
          <w:tcPr/>
          <w:p>
            <w:pPr>
              <w:pStyle w:val="Compact"/>
              <w:jc w:val="both"/>
            </w:pPr>
            <w:r>
              <w:rPr>
                <w:rFonts w:ascii="Calibri" w:hAnsi="Calibri"/>
                <w:sz w:val="18"/>
              </w:rPr>
              <w:t xml:space="preserve">Declararam controles de IA generativa em algum grau, decisão formal ou plano</w:t>
            </w:r>
          </w:p>
        </w:tc>
        <w:tc>
          <w:tcPr/>
          <w:p>
            <w:pPr>
              <w:pStyle w:val="Compact"/>
              <w:jc w:val="both"/>
            </w:pPr>
            <w:r>
              <w:rPr>
                <w:rFonts w:ascii="Calibri" w:hAnsi="Calibri"/>
                <w:sz w:val="18"/>
              </w:rPr>
              <w:t xml:space="preserve">22</w:t>
            </w:r>
          </w:p>
        </w:tc>
        <w:tc>
          <w:tcPr/>
          <w:p>
            <w:pPr>
              <w:pStyle w:val="Compact"/>
              <w:jc w:val="both"/>
            </w:pPr>
            <w:r>
              <w:rPr>
                <w:rFonts w:ascii="Calibri" w:hAnsi="Calibri"/>
                <w:sz w:val="18"/>
              </w:rPr>
              <w:t xml:space="preserve">19,5%</w:t>
            </w:r>
          </w:p>
        </w:tc>
      </w:tr>
      <w:tr>
        <w:trPr>
          <w:cantSplit/>
        </w:trPr>
        <w:tc>
          <w:tcPr/>
          <w:p>
            <w:pPr>
              <w:pStyle w:val="Compact"/>
              <w:keepNext/>
              <w:jc w:val="both"/>
            </w:pPr>
            <w:r>
              <w:rPr>
                <w:rFonts w:ascii="Calibri" w:hAnsi="Calibri"/>
                <w:sz w:val="18"/>
              </w:rPr>
              <w:t xml:space="preserve">Declararam controles de IA generativa parciais ou em maior parte/totais</w:t>
            </w:r>
          </w:p>
        </w:tc>
        <w:tc>
          <w:tcPr/>
          <w:p>
            <w:pPr>
              <w:pStyle w:val="Compact"/>
              <w:keepNext/>
              <w:jc w:val="both"/>
            </w:pPr>
            <w:r>
              <w:rPr>
                <w:rFonts w:ascii="Calibri" w:hAnsi="Calibri"/>
                <w:sz w:val="18"/>
              </w:rPr>
              <w:t xml:space="preserve">11</w:t>
            </w:r>
          </w:p>
        </w:tc>
        <w:tc>
          <w:tcPr/>
          <w:p>
            <w:pPr>
              <w:pStyle w:val="Compact"/>
              <w:keepNext/>
              <w:jc w:val="both"/>
            </w:pPr>
            <w:r>
              <w:rPr>
                <w:rFonts w:ascii="Calibri" w:hAnsi="Calibri"/>
                <w:sz w:val="18"/>
              </w:rPr>
              <w:t xml:space="preserve">9,7%</w:t>
            </w:r>
          </w:p>
        </w:tc>
      </w:tr>
    </w:tbl>
    <w:p>
      <w:pPr>
        <w:pStyle w:val="FonteImagem"/>
      </w:pPr>
      <w:r>
        <w:t xml:space="preserve">(Fonte: elaboração própria, com base nas respostas atualizadas do questionário iGovTI 2026)</w:t>
      </w:r>
    </w:p>
    <w:p>
      <w:pPr>
        <w:pStyle w:val="Corpodetexto"/>
      </w:pPr>
      <w:r>
        <w:t xml:space="preserve">O dado mais relevante é o descompasso entre a disponibilidade prática de ferramentas de IA, especialmente generativa, e a baixa formalização de controles institucionais. Apenas</w:t>
      </w:r>
      <w:r>
        <w:t xml:space="preserve"> </w:t>
      </w:r>
      <w:r>
        <w:rPr>
          <w:b/>
          <w:bCs/>
        </w:rPr>
        <w:t xml:space="preserve">11 organizações (9,7%)</w:t>
      </w:r>
      <w:r>
        <w:t xml:space="preserve"> </w:t>
      </w:r>
      <w:r>
        <w:t xml:space="preserve">declararam diretrizes de IA em nível parcial ou superior, e apenas</w:t>
      </w:r>
      <w:r>
        <w:t xml:space="preserve"> </w:t>
      </w:r>
      <w:r>
        <w:rPr>
          <w:b/>
          <w:bCs/>
        </w:rPr>
        <w:t xml:space="preserve">11 organizações (9,7%)</w:t>
      </w:r>
      <w:r>
        <w:t xml:space="preserve"> </w:t>
      </w:r>
      <w:r>
        <w:t xml:space="preserve">declararam controles de IA generativa em nível parcial ou superior. Esse cenário sugere que, na maioria dos auditados, o tema ainda não foi incorporado de forma estruturada à governança de TI, à segurança da informação, à gestão de riscos ou às contratações.</w:t>
      </w:r>
    </w:p>
    <w:p>
      <w:pPr>
        <w:pStyle w:val="Corpodetexto"/>
      </w:pPr>
      <w:r>
        <w:t xml:space="preserve">A Figura 1 compara os estágios declarados de utilização institucional, diretrizes e controles de IA generativa. A visualização evidencia que a baixa adoção não se restringe ao uso da tecnologia, alcançando também os mecanismos necessários para governá-la e controlar seus riscos.</w:t>
      </w:r>
    </w:p>
    <w:p>
      <w:pPr>
        <w:pStyle w:val="ImageCaption"/>
        <w:keepNext/>
      </w:pPr>
      <w:r>
        <w:t xml:space="preserve">Figura 1 - Estágio de institucionalização da inteligência artificial</w:t>
      </w:r>
    </w:p>
    <w:p>
      <w:pPr>
        <w:pStyle w:val="CaptionedFigure"/>
        <w:keepNext/>
      </w:pPr>
      <w:r>
        <w:drawing>
          <wp:inline>
            <wp:extent cx="5753100" cy="2431055"/>
            <wp:effectExtent b="0" l="0" r="0" t="0"/>
            <wp:docPr descr="Figura 1 - Estágio de institucionalização da inteligência artificial" title="" id="20" name="Picture"/>
            <a:graphic>
              <a:graphicData uri="http://schemas.openxmlformats.org/drawingml/2006/picture">
                <pic:pic>
                  <pic:nvPicPr>
                    <pic:cNvPr descr="img/cenario_institucionalizacao_ia.png" id="21" name="Picture"/>
                    <pic:cNvPicPr>
                      <a:picLocks noChangeArrowheads="1" noChangeAspect="1"/>
                    </pic:cNvPicPr>
                  </pic:nvPicPr>
                  <pic:blipFill>
                    <a:blip r:embed="rId19"/>
                    <a:stretch>
                      <a:fillRect/>
                    </a:stretch>
                  </pic:blipFill>
                  <pic:spPr bwMode="auto">
                    <a:xfrm>
                      <a:off x="0" y="0"/>
                      <a:ext cx="5753100" cy="2431055"/>
                    </a:xfrm>
                    <a:prstGeom prst="rect">
                      <a:avLst/>
                    </a:prstGeom>
                    <a:noFill/>
                    <a:ln w="9525">
                      <a:noFill/>
                      <a:headEnd/>
                      <a:tailEnd/>
                    </a:ln>
                  </pic:spPr>
                </pic:pic>
              </a:graphicData>
            </a:graphic>
          </wp:inline>
        </w:drawing>
      </w:r>
    </w:p>
    <w:p>
      <w:pPr>
        <w:pStyle w:val="FonteImagem"/>
      </w:pPr>
      <w:r>
        <w:t xml:space="preserve">(Fonte: elaboração própria, com base nas respostas atualizadas do questionário iGovTI 2026)</w:t>
      </w:r>
    </w:p>
    <w:bookmarkEnd w:id="22"/>
    <w:bookmarkStart w:id="23" w:name="grau-de-utilização-institucional"/>
    <w:p>
      <w:pPr>
        <w:pStyle w:val="Ttulo1"/>
      </w:pPr>
      <w:r>
        <w:t xml:space="preserve">4. Grau de utilização institucional</w:t>
      </w:r>
    </w:p>
    <w:p>
      <w:pPr>
        <w:pStyle w:val="FirstParagraph"/>
      </w:pPr>
      <w:r>
        <w:t xml:space="preserve">Na questão 3001,</w:t>
      </w:r>
      <w:r>
        <w:t xml:space="preserve"> </w:t>
      </w:r>
      <w:r>
        <w:rPr>
          <w:b/>
          <w:bCs/>
        </w:rPr>
        <w:t xml:space="preserve">79 organizações (69,9%)</w:t>
      </w:r>
      <w:r>
        <w:t xml:space="preserve"> </w:t>
      </w:r>
      <w:r>
        <w:t xml:space="preserve">declararam não adotar inteligência artificial de forma institucional. Outras</w:t>
      </w:r>
      <w:r>
        <w:t xml:space="preserve"> </w:t>
      </w:r>
      <w:r>
        <w:rPr>
          <w:b/>
          <w:bCs/>
        </w:rPr>
        <w:t xml:space="preserve">2 organizações (1,8%)</w:t>
      </w:r>
      <w:r>
        <w:t xml:space="preserve"> </w:t>
      </w:r>
      <w:r>
        <w:t xml:space="preserve">indicaram que a questão não se aplica. Entre as demais, há diferentes estágios de maturidade: 13 declararam adoção em menor parte, 9 adoção parcial, 7 adoção em maior parte ou total, e 3 indicaram decisão formal ou plano aprovado para adoção.</w:t>
      </w:r>
    </w:p>
    <w:p>
      <w:pPr>
        <w:pStyle w:val="TableCaption"/>
        <w:keepNext/>
      </w:pPr>
      <w:r>
        <w:t xml:space="preserve">Tabela 2 - Distribuição do uso institucional de IA</w:t>
      </w:r>
    </w:p>
    <w:tbl>
      <w:tblPr>
        <w:tblStyle w:val="Table"/>
        <w:tblW w:type="auto" w:w="0"/>
        <w:jc w:val="center"/>
        <w:tblLayout w:type="autofit"/>
        <w:tblLook w:firstRow="1" w:lastRow="0" w:firstColumn="0" w:lastColumn="0" w:noHBand="0" w:noVBand="0" w:val="0020"/>
        <w:tblCaption w:val="Tabela 2 - Distribuição do uso institucional de IA"/>
      </w:tblPr>
      <w:tblGrid>
        <w:gridCol w:w="2640"/>
        <w:gridCol w:w="2640"/>
        <w:gridCol w:w="2640"/>
      </w:tblGrid>
      <w:tr>
        <w:trPr>
          <w:tblHeader w:val="on"/>
          <w:cantSplit/>
        </w:trPr>
        <w:tc>
          <w:tcPr/>
          <w:p>
            <w:pPr>
              <w:pStyle w:val="Compact"/>
              <w:jc w:val="both"/>
            </w:pPr>
            <w:r>
              <w:rPr>
                <w:rFonts w:ascii="Calibri" w:hAnsi="Calibri"/>
                <w:sz w:val="20"/>
              </w:rPr>
              <w:t xml:space="preserve">Resposta à 3001</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Não adota</w:t>
            </w:r>
          </w:p>
        </w:tc>
        <w:tc>
          <w:tcPr/>
          <w:p>
            <w:pPr>
              <w:pStyle w:val="Compact"/>
              <w:jc w:val="both"/>
            </w:pPr>
            <w:r>
              <w:rPr>
                <w:rFonts w:ascii="Calibri" w:hAnsi="Calibri"/>
                <w:sz w:val="18"/>
              </w:rPr>
              <w:t xml:space="preserve">79</w:t>
            </w:r>
          </w:p>
        </w:tc>
        <w:tc>
          <w:tcPr/>
          <w:p>
            <w:pPr>
              <w:pStyle w:val="Compact"/>
              <w:jc w:val="both"/>
            </w:pPr>
            <w:r>
              <w:rPr>
                <w:rFonts w:ascii="Calibri" w:hAnsi="Calibri"/>
                <w:sz w:val="18"/>
              </w:rPr>
              <w:t xml:space="preserve">69,9%</w:t>
            </w:r>
          </w:p>
        </w:tc>
      </w:tr>
      <w:tr>
        <w:trPr>
          <w:cantSplit/>
        </w:trPr>
        <w:tc>
          <w:tcPr/>
          <w:p>
            <w:pPr>
              <w:pStyle w:val="Compact"/>
              <w:jc w:val="both"/>
            </w:pPr>
            <w:r>
              <w:rPr>
                <w:rFonts w:ascii="Calibri" w:hAnsi="Calibri"/>
                <w:sz w:val="18"/>
              </w:rPr>
              <w:t xml:space="preserve">Adota em menor parte</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11,5%</w:t>
            </w:r>
          </w:p>
        </w:tc>
      </w:tr>
      <w:tr>
        <w:trPr>
          <w:cantSplit/>
        </w:trPr>
        <w:tc>
          <w:tcPr/>
          <w:p>
            <w:pPr>
              <w:pStyle w:val="Compact"/>
              <w:jc w:val="both"/>
            </w:pPr>
            <w:r>
              <w:rPr>
                <w:rFonts w:ascii="Calibri" w:hAnsi="Calibri"/>
                <w:sz w:val="18"/>
              </w:rPr>
              <w:t xml:space="preserve">Adota parcialmente</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8,0%</w:t>
            </w:r>
          </w:p>
        </w:tc>
      </w:tr>
      <w:tr>
        <w:trPr>
          <w:cantSplit/>
        </w:trPr>
        <w:tc>
          <w:tcPr/>
          <w:p>
            <w:pPr>
              <w:pStyle w:val="Compact"/>
              <w:jc w:val="both"/>
            </w:pPr>
            <w:r>
              <w:rPr>
                <w:rFonts w:ascii="Calibri" w:hAnsi="Calibri"/>
                <w:sz w:val="18"/>
              </w:rPr>
              <w:t xml:space="preserve">Adota em maior parte ou totalmente</w:t>
            </w:r>
          </w:p>
        </w:tc>
        <w:tc>
          <w:tcPr/>
          <w:p>
            <w:pPr>
              <w:pStyle w:val="Compact"/>
              <w:jc w:val="both"/>
            </w:pPr>
            <w:r>
              <w:rPr>
                <w:rFonts w:ascii="Calibri" w:hAnsi="Calibri"/>
                <w:sz w:val="18"/>
              </w:rPr>
              <w:t xml:space="preserve">7</w:t>
            </w:r>
          </w:p>
        </w:tc>
        <w:tc>
          <w:tcPr/>
          <w:p>
            <w:pPr>
              <w:pStyle w:val="Compact"/>
              <w:jc w:val="both"/>
            </w:pPr>
            <w:r>
              <w:rPr>
                <w:rFonts w:ascii="Calibri" w:hAnsi="Calibri"/>
                <w:sz w:val="18"/>
              </w:rPr>
              <w:t xml:space="preserve">6,2%</w:t>
            </w:r>
          </w:p>
        </w:tc>
      </w:tr>
      <w:tr>
        <w:trPr>
          <w:cantSplit/>
        </w:trPr>
        <w:tc>
          <w:tcPr/>
          <w:p>
            <w:pPr>
              <w:pStyle w:val="Compact"/>
              <w:jc w:val="both"/>
            </w:pPr>
            <w:r>
              <w:rPr>
                <w:rFonts w:ascii="Calibri" w:hAnsi="Calibri"/>
                <w:sz w:val="18"/>
              </w:rPr>
              <w:t xml:space="preserve">Há decisão formal ou plano aprovado para adotá-lo</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2,7%</w:t>
            </w:r>
          </w:p>
        </w:tc>
      </w:tr>
      <w:tr>
        <w:trPr>
          <w:cantSplit/>
        </w:trPr>
        <w:tc>
          <w:tcPr/>
          <w:p>
            <w:pPr>
              <w:pStyle w:val="Compact"/>
              <w:keepNext/>
              <w:jc w:val="both"/>
            </w:pPr>
            <w:r>
              <w:rPr>
                <w:rFonts w:ascii="Calibri" w:hAnsi="Calibri"/>
                <w:sz w:val="18"/>
              </w:rPr>
              <w:t xml:space="preserve">Não se aplica</w:t>
            </w:r>
          </w:p>
        </w:tc>
        <w:tc>
          <w:tcPr/>
          <w:p>
            <w:pPr>
              <w:pStyle w:val="Compact"/>
              <w:keepNext/>
              <w:jc w:val="both"/>
            </w:pPr>
            <w:r>
              <w:rPr>
                <w:rFonts w:ascii="Calibri" w:hAnsi="Calibri"/>
                <w:sz w:val="18"/>
              </w:rPr>
              <w:t xml:space="preserve">2</w:t>
            </w:r>
          </w:p>
        </w:tc>
        <w:tc>
          <w:tcPr/>
          <w:p>
            <w:pPr>
              <w:pStyle w:val="Compact"/>
              <w:keepNext/>
              <w:jc w:val="both"/>
            </w:pPr>
            <w:r>
              <w:rPr>
                <w:rFonts w:ascii="Calibri" w:hAnsi="Calibri"/>
                <w:sz w:val="18"/>
              </w:rPr>
              <w:t xml:space="preserve">1,8%</w:t>
            </w:r>
          </w:p>
        </w:tc>
      </w:tr>
    </w:tbl>
    <w:p>
      <w:pPr>
        <w:pStyle w:val="FonteImagem"/>
      </w:pPr>
      <w:r>
        <w:t xml:space="preserve">(Fonte: elaboração própria, com base nas respostas atualizadas do questionário iGovTI 2026)</w:t>
      </w:r>
    </w:p>
    <w:p>
      <w:pPr>
        <w:pStyle w:val="Corpodetexto"/>
      </w:pPr>
      <w:r>
        <w:t xml:space="preserve">Os subitens da 3001 demonstram que a adoção ainda é incipiente mesmo entre organizações que declararam algum uso ou planejamento. Apenas</w:t>
      </w:r>
      <w:r>
        <w:t xml:space="preserve"> </w:t>
      </w:r>
      <w:r>
        <w:rPr>
          <w:b/>
          <w:bCs/>
        </w:rPr>
        <w:t xml:space="preserve">12 organizações (10,6%)</w:t>
      </w:r>
      <w:r>
        <w:t xml:space="preserve"> </w:t>
      </w:r>
      <w:r>
        <w:t xml:space="preserve">afirmaram identificar e avaliar continuamente oportunidades de IA;</w:t>
      </w:r>
      <w:r>
        <w:t xml:space="preserve"> </w:t>
      </w:r>
      <w:r>
        <w:rPr>
          <w:b/>
          <w:bCs/>
        </w:rPr>
        <w:t xml:space="preserve">11 (9,7%)</w:t>
      </w:r>
      <w:r>
        <w:t xml:space="preserve"> </w:t>
      </w:r>
      <w:r>
        <w:t xml:space="preserve">declararam executar projetos-piloto ou provas de conceito;</w:t>
      </w:r>
      <w:r>
        <w:t xml:space="preserve"> </w:t>
      </w:r>
      <w:r>
        <w:rPr>
          <w:b/>
          <w:bCs/>
        </w:rPr>
        <w:t xml:space="preserve">9 (8,0%)</w:t>
      </w:r>
      <w:r>
        <w:t xml:space="preserve"> </w:t>
      </w:r>
      <w:r>
        <w:t xml:space="preserve">declararam desenvolver internamente soluções de IA;</w:t>
      </w:r>
      <w:r>
        <w:t xml:space="preserve"> </w:t>
      </w:r>
      <w:r>
        <w:rPr>
          <w:b/>
          <w:bCs/>
        </w:rPr>
        <w:t xml:space="preserve">9 (8,0%)</w:t>
      </w:r>
      <w:r>
        <w:t xml:space="preserve"> </w:t>
      </w:r>
      <w:r>
        <w:t xml:space="preserve">afirmaram possuir IA em produção em processos administrativos internos;</w:t>
      </w:r>
      <w:r>
        <w:t xml:space="preserve"> </w:t>
      </w:r>
      <w:r>
        <w:rPr>
          <w:b/>
          <w:bCs/>
        </w:rPr>
        <w:t xml:space="preserve">11 (9,7%)</w:t>
      </w:r>
      <w:r>
        <w:t xml:space="preserve"> </w:t>
      </w:r>
      <w:r>
        <w:t xml:space="preserve">em atividades finalísticas ou serviços ao cidadão; e</w:t>
      </w:r>
      <w:r>
        <w:t xml:space="preserve"> </w:t>
      </w:r>
      <w:r>
        <w:rPr>
          <w:b/>
          <w:bCs/>
        </w:rPr>
        <w:t xml:space="preserve">8 (7,1%)</w:t>
      </w:r>
      <w:r>
        <w:t xml:space="preserve"> </w:t>
      </w:r>
      <w:r>
        <w:t xml:space="preserve">indicaram equipe, comitê ou responsáveis técnicos formalmente designados.</w:t>
      </w:r>
    </w:p>
    <w:p>
      <w:pPr>
        <w:pStyle w:val="Corpodetexto"/>
      </w:pPr>
      <w:r>
        <w:t xml:space="preserve">Esses números indicam que as iniciativas existentes parecem concentrar-se em grupos restritos de organizações. Também sugerem risco de fragmentação: parte dos auditados declara uso ou projetos de IA, mas nem sempre há estrutura formal de governança, responsáveis designados ou controles correspondentes.</w:t>
      </w:r>
    </w:p>
    <w:bookmarkEnd w:id="23"/>
    <w:bookmarkStart w:id="24" w:name="diretrizes-governança-e-controles"/>
    <w:p>
      <w:pPr>
        <w:pStyle w:val="Ttulo1"/>
      </w:pPr>
      <w:r>
        <w:t xml:space="preserve">5. Diretrizes, governança e controles</w:t>
      </w:r>
    </w:p>
    <w:p>
      <w:pPr>
        <w:pStyle w:val="FirstParagraph"/>
      </w:pPr>
      <w:r>
        <w:t xml:space="preserve">A governança do uso de IA ainda é menos disseminada que a própria adoção. Na 3002,</w:t>
      </w:r>
      <w:r>
        <w:t xml:space="preserve"> </w:t>
      </w:r>
      <w:r>
        <w:rPr>
          <w:b/>
          <w:bCs/>
        </w:rPr>
        <w:t xml:space="preserve">87 organizações (77,0%)</w:t>
      </w:r>
      <w:r>
        <w:t xml:space="preserve"> </w:t>
      </w:r>
      <w:r>
        <w:t xml:space="preserve">declararam não possuir diretrizes para uso de IA. Apenas</w:t>
      </w:r>
      <w:r>
        <w:t xml:space="preserve"> </w:t>
      </w:r>
      <w:r>
        <w:rPr>
          <w:b/>
          <w:bCs/>
        </w:rPr>
        <w:t xml:space="preserve">8 organizações (7,1%)</w:t>
      </w:r>
      <w:r>
        <w:t xml:space="preserve"> </w:t>
      </w:r>
      <w:r>
        <w:t xml:space="preserve">declararam adotar diretrizes em maior parte ou totalmente, e</w:t>
      </w:r>
      <w:r>
        <w:t xml:space="preserve"> </w:t>
      </w:r>
      <w:r>
        <w:rPr>
          <w:b/>
          <w:bCs/>
        </w:rPr>
        <w:t xml:space="preserve">3 (2,7%)</w:t>
      </w:r>
      <w:r>
        <w:t xml:space="preserve"> </w:t>
      </w:r>
      <w:r>
        <w:t xml:space="preserve">declararam adoção parcial.</w:t>
      </w:r>
    </w:p>
    <w:p>
      <w:pPr>
        <w:pStyle w:val="TableCaption"/>
        <w:keepNext/>
      </w:pPr>
      <w:r>
        <w:t xml:space="preserve">Tabela 3 - Distribuição das diretrizes para uso de IA</w:t>
      </w:r>
    </w:p>
    <w:tbl>
      <w:tblPr>
        <w:tblStyle w:val="Table"/>
        <w:tblW w:type="auto" w:w="0"/>
        <w:jc w:val="center"/>
        <w:tblLayout w:type="autofit"/>
        <w:tblLook w:firstRow="1" w:lastRow="0" w:firstColumn="0" w:lastColumn="0" w:noHBand="0" w:noVBand="0" w:val="0020"/>
        <w:tblCaption w:val="Tabela 3 - Distribuição das diretrizes para uso de IA"/>
      </w:tblPr>
      <w:tblGrid>
        <w:gridCol w:w="2640"/>
        <w:gridCol w:w="2640"/>
        <w:gridCol w:w="2640"/>
      </w:tblGrid>
      <w:tr>
        <w:trPr>
          <w:tblHeader w:val="on"/>
          <w:cantSplit/>
        </w:trPr>
        <w:tc>
          <w:tcPr/>
          <w:p>
            <w:pPr>
              <w:pStyle w:val="Compact"/>
              <w:jc w:val="both"/>
            </w:pPr>
            <w:r>
              <w:rPr>
                <w:rFonts w:ascii="Calibri" w:hAnsi="Calibri"/>
                <w:sz w:val="20"/>
              </w:rPr>
              <w:t xml:space="preserve">Resposta à 3002</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Não adota</w:t>
            </w:r>
          </w:p>
        </w:tc>
        <w:tc>
          <w:tcPr/>
          <w:p>
            <w:pPr>
              <w:pStyle w:val="Compact"/>
              <w:jc w:val="both"/>
            </w:pPr>
            <w:r>
              <w:rPr>
                <w:rFonts w:ascii="Calibri" w:hAnsi="Calibri"/>
                <w:sz w:val="18"/>
              </w:rPr>
              <w:t xml:space="preserve">87</w:t>
            </w:r>
          </w:p>
        </w:tc>
        <w:tc>
          <w:tcPr/>
          <w:p>
            <w:pPr>
              <w:pStyle w:val="Compact"/>
              <w:jc w:val="both"/>
            </w:pPr>
            <w:r>
              <w:rPr>
                <w:rFonts w:ascii="Calibri" w:hAnsi="Calibri"/>
                <w:sz w:val="18"/>
              </w:rPr>
              <w:t xml:space="preserve">77,0%</w:t>
            </w:r>
          </w:p>
        </w:tc>
      </w:tr>
      <w:tr>
        <w:trPr>
          <w:cantSplit/>
        </w:trPr>
        <w:tc>
          <w:tcPr/>
          <w:p>
            <w:pPr>
              <w:pStyle w:val="Compact"/>
              <w:jc w:val="both"/>
            </w:pPr>
            <w:r>
              <w:rPr>
                <w:rFonts w:ascii="Calibri" w:hAnsi="Calibri"/>
                <w:sz w:val="18"/>
              </w:rPr>
              <w:t xml:space="preserve">Adota em maior parte ou totalmente</w:t>
            </w:r>
          </w:p>
        </w:tc>
        <w:tc>
          <w:tcPr/>
          <w:p>
            <w:pPr>
              <w:pStyle w:val="Compact"/>
              <w:jc w:val="both"/>
            </w:pPr>
            <w:r>
              <w:rPr>
                <w:rFonts w:ascii="Calibri" w:hAnsi="Calibri"/>
                <w:sz w:val="18"/>
              </w:rPr>
              <w:t xml:space="preserve">8</w:t>
            </w:r>
          </w:p>
        </w:tc>
        <w:tc>
          <w:tcPr/>
          <w:p>
            <w:pPr>
              <w:pStyle w:val="Compact"/>
              <w:jc w:val="both"/>
            </w:pPr>
            <w:r>
              <w:rPr>
                <w:rFonts w:ascii="Calibri" w:hAnsi="Calibri"/>
                <w:sz w:val="18"/>
              </w:rPr>
              <w:t xml:space="preserve">7,1%</w:t>
            </w:r>
          </w:p>
        </w:tc>
      </w:tr>
      <w:tr>
        <w:trPr>
          <w:cantSplit/>
        </w:trPr>
        <w:tc>
          <w:tcPr/>
          <w:p>
            <w:pPr>
              <w:pStyle w:val="Compact"/>
              <w:jc w:val="both"/>
            </w:pPr>
            <w:r>
              <w:rPr>
                <w:rFonts w:ascii="Calibri" w:hAnsi="Calibri"/>
                <w:sz w:val="18"/>
              </w:rPr>
              <w:t xml:space="preserve">Há decisão formal ou plano aprovado para adotá-lo</w:t>
            </w:r>
          </w:p>
        </w:tc>
        <w:tc>
          <w:tcPr/>
          <w:p>
            <w:pPr>
              <w:pStyle w:val="Compact"/>
              <w:jc w:val="both"/>
            </w:pPr>
            <w:r>
              <w:rPr>
                <w:rFonts w:ascii="Calibri" w:hAnsi="Calibri"/>
                <w:sz w:val="18"/>
              </w:rPr>
              <w:t xml:space="preserve">7</w:t>
            </w:r>
          </w:p>
        </w:tc>
        <w:tc>
          <w:tcPr/>
          <w:p>
            <w:pPr>
              <w:pStyle w:val="Compact"/>
              <w:jc w:val="both"/>
            </w:pPr>
            <w:r>
              <w:rPr>
                <w:rFonts w:ascii="Calibri" w:hAnsi="Calibri"/>
                <w:sz w:val="18"/>
              </w:rPr>
              <w:t xml:space="preserve">6,2%</w:t>
            </w:r>
          </w:p>
        </w:tc>
      </w:tr>
      <w:tr>
        <w:trPr>
          <w:cantSplit/>
        </w:trPr>
        <w:tc>
          <w:tcPr/>
          <w:p>
            <w:pPr>
              <w:pStyle w:val="Compact"/>
              <w:jc w:val="both"/>
            </w:pPr>
            <w:r>
              <w:rPr>
                <w:rFonts w:ascii="Calibri" w:hAnsi="Calibri"/>
                <w:sz w:val="18"/>
              </w:rPr>
              <w:t xml:space="preserve">Adota em menor parte</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4,4%</w:t>
            </w:r>
          </w:p>
        </w:tc>
      </w:tr>
      <w:tr>
        <w:trPr>
          <w:cantSplit/>
        </w:trPr>
        <w:tc>
          <w:tcPr/>
          <w:p>
            <w:pPr>
              <w:pStyle w:val="Compact"/>
              <w:jc w:val="both"/>
            </w:pPr>
            <w:r>
              <w:rPr>
                <w:rFonts w:ascii="Calibri" w:hAnsi="Calibri"/>
                <w:sz w:val="18"/>
              </w:rPr>
              <w:t xml:space="preserve">Adota parcialmente</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2,7%</w:t>
            </w:r>
          </w:p>
        </w:tc>
      </w:tr>
      <w:tr>
        <w:trPr>
          <w:cantSplit/>
        </w:trPr>
        <w:tc>
          <w:tcPr/>
          <w:p>
            <w:pPr>
              <w:pStyle w:val="Compact"/>
              <w:keepNext/>
              <w:jc w:val="both"/>
            </w:pPr>
            <w:r>
              <w:rPr>
                <w:rFonts w:ascii="Calibri" w:hAnsi="Calibri"/>
                <w:sz w:val="18"/>
              </w:rPr>
              <w:t xml:space="preserve">Não se aplica</w:t>
            </w:r>
          </w:p>
        </w:tc>
        <w:tc>
          <w:tcPr/>
          <w:p>
            <w:pPr>
              <w:pStyle w:val="Compact"/>
              <w:keepNext/>
              <w:jc w:val="both"/>
            </w:pPr>
            <w:r>
              <w:rPr>
                <w:rFonts w:ascii="Calibri" w:hAnsi="Calibri"/>
                <w:sz w:val="18"/>
              </w:rPr>
              <w:t xml:space="preserve">3</w:t>
            </w:r>
          </w:p>
        </w:tc>
        <w:tc>
          <w:tcPr/>
          <w:p>
            <w:pPr>
              <w:pStyle w:val="Compact"/>
              <w:keepNext/>
              <w:jc w:val="both"/>
            </w:pPr>
            <w:r>
              <w:rPr>
                <w:rFonts w:ascii="Calibri" w:hAnsi="Calibri"/>
                <w:sz w:val="18"/>
              </w:rPr>
              <w:t xml:space="preserve">2,7%</w:t>
            </w:r>
          </w:p>
        </w:tc>
      </w:tr>
    </w:tbl>
    <w:p>
      <w:pPr>
        <w:pStyle w:val="FonteImagem"/>
      </w:pPr>
      <w:r>
        <w:t xml:space="preserve">(Fonte: elaboração própria, com base nas respostas atualizadas do questionário iGovTI 2026)</w:t>
      </w:r>
    </w:p>
    <w:p>
      <w:pPr>
        <w:pStyle w:val="Corpodetexto"/>
      </w:pPr>
      <w:r>
        <w:t xml:space="preserve">Entre os controles específicos declarados, os percentuais também são baixos no universo total. Somente</w:t>
      </w:r>
      <w:r>
        <w:t xml:space="preserve"> </w:t>
      </w:r>
      <w:r>
        <w:rPr>
          <w:b/>
          <w:bCs/>
        </w:rPr>
        <w:t xml:space="preserve">10 organizações (8,8%)</w:t>
      </w:r>
      <w:r>
        <w:t xml:space="preserve"> </w:t>
      </w:r>
      <w:r>
        <w:t xml:space="preserve">declararam regras sobre o uso de dados institucionais, pessoais ou sensíveis em prompts;</w:t>
      </w:r>
      <w:r>
        <w:t xml:space="preserve"> </w:t>
      </w:r>
      <w:r>
        <w:rPr>
          <w:b/>
          <w:bCs/>
        </w:rPr>
        <w:t xml:space="preserve">6 (5,3%)</w:t>
      </w:r>
      <w:r>
        <w:t xml:space="preserve"> </w:t>
      </w:r>
      <w:r>
        <w:t xml:space="preserve">declararam obrigatoriedade de avaliação de riscos antes da implantação de IA;</w:t>
      </w:r>
      <w:r>
        <w:t xml:space="preserve"> </w:t>
      </w:r>
      <w:r>
        <w:rPr>
          <w:b/>
          <w:bCs/>
        </w:rPr>
        <w:t xml:space="preserve">7 (6,2%)</w:t>
      </w:r>
      <w:r>
        <w:t xml:space="preserve"> </w:t>
      </w:r>
      <w:r>
        <w:t xml:space="preserve">declararam mecanismos de revisão humana; e</w:t>
      </w:r>
      <w:r>
        <w:t xml:space="preserve"> </w:t>
      </w:r>
      <w:r>
        <w:rPr>
          <w:b/>
          <w:bCs/>
        </w:rPr>
        <w:t xml:space="preserve">8 (7,1%)</w:t>
      </w:r>
      <w:r>
        <w:t xml:space="preserve"> </w:t>
      </w:r>
      <w:r>
        <w:t xml:space="preserve">declararam testes, validações ou avaliações antes do uso institucional.</w:t>
      </w:r>
    </w:p>
    <w:p>
      <w:pPr>
        <w:pStyle w:val="Corpodetexto"/>
      </w:pPr>
      <w:r>
        <w:t xml:space="preserve">Esses resultados são relevantes porque os riscos de IA decorrem menos da tecnologia isoladamente e mais do seu uso sem salvaguardas. A ausência de regras sobre dados em prompts, avaliação de riscos, validação prévia e revisão humana aumenta a probabilidade de exposição de dados, decisões inadequadas, dependência de fornecedores, uso de respostas incorretas e dificuldade de responsabilização.</w:t>
      </w:r>
    </w:p>
    <w:bookmarkEnd w:id="24"/>
    <w:bookmarkStart w:id="25" w:name="contratações-e-dificuldades-declaradas"/>
    <w:p>
      <w:pPr>
        <w:pStyle w:val="Ttulo1"/>
      </w:pPr>
      <w:r>
        <w:t xml:space="preserve">6. Contratações e dificuldades declaradas</w:t>
      </w:r>
    </w:p>
    <w:p>
      <w:pPr>
        <w:pStyle w:val="FirstParagraph"/>
      </w:pPr>
      <w:r>
        <w:t xml:space="preserve">Na 3003,</w:t>
      </w:r>
      <w:r>
        <w:t xml:space="preserve"> </w:t>
      </w:r>
      <w:r>
        <w:rPr>
          <w:b/>
          <w:bCs/>
        </w:rPr>
        <w:t xml:space="preserve">19 organizações (16,8%)</w:t>
      </w:r>
      <w:r>
        <w:t xml:space="preserve"> </w:t>
      </w:r>
      <w:r>
        <w:t xml:space="preserve">declararam ter contratado soluções SaaS ou plataformas com funcionalidades de IA;</w:t>
      </w:r>
      <w:r>
        <w:t xml:space="preserve"> </w:t>
      </w:r>
      <w:r>
        <w:rPr>
          <w:b/>
          <w:bCs/>
        </w:rPr>
        <w:t xml:space="preserve">9 (8,0%)</w:t>
      </w:r>
      <w:r>
        <w:t xml:space="preserve"> </w:t>
      </w:r>
      <w:r>
        <w:t xml:space="preserve">declararam contratação de soluções de IA generativa; e</w:t>
      </w:r>
      <w:r>
        <w:t xml:space="preserve"> </w:t>
      </w:r>
      <w:r>
        <w:rPr>
          <w:b/>
          <w:bCs/>
        </w:rPr>
        <w:t xml:space="preserve">10 (8,8%)</w:t>
      </w:r>
      <w:r>
        <w:t xml:space="preserve"> </w:t>
      </w:r>
      <w:r>
        <w:t xml:space="preserve">declararam contratação de serviços especializados relacionados à IA, como consultoria, treinamento, desenvolvimento ou sustentação.</w:t>
      </w:r>
    </w:p>
    <w:p>
      <w:pPr>
        <w:pStyle w:val="TableCaption"/>
        <w:keepNext/>
      </w:pPr>
      <w:r>
        <w:t xml:space="preserve">Tabela 4 - Contratações relacionadas à IA</w:t>
      </w:r>
    </w:p>
    <w:tbl>
      <w:tblPr>
        <w:tblStyle w:val="Table"/>
        <w:tblW w:type="auto" w:w="0"/>
        <w:jc w:val="center"/>
        <w:tblLayout w:type="autofit"/>
        <w:tblLook w:firstRow="1" w:lastRow="0" w:firstColumn="0" w:lastColumn="0" w:noHBand="0" w:noVBand="0" w:val="0020"/>
        <w:tblCaption w:val="Tabela 4 - Contratações relacionadas à IA"/>
      </w:tblPr>
      <w:tblGrid>
        <w:gridCol w:w="2640"/>
        <w:gridCol w:w="2640"/>
        <w:gridCol w:w="2640"/>
      </w:tblGrid>
      <w:tr>
        <w:trPr>
          <w:tblHeader w:val="on"/>
          <w:cantSplit/>
        </w:trPr>
        <w:tc>
          <w:tcPr/>
          <w:p>
            <w:pPr>
              <w:pStyle w:val="Compact"/>
              <w:jc w:val="both"/>
            </w:pPr>
            <w:r>
              <w:rPr>
                <w:rFonts w:ascii="Calibri" w:hAnsi="Calibri"/>
                <w:sz w:val="20"/>
              </w:rPr>
              <w:t xml:space="preserve">Tipo de contratação declarada</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SaaS ou plataforma com funcionalidade de IA</w:t>
            </w:r>
          </w:p>
        </w:tc>
        <w:tc>
          <w:tcPr/>
          <w:p>
            <w:pPr>
              <w:pStyle w:val="Compact"/>
              <w:jc w:val="both"/>
            </w:pPr>
            <w:r>
              <w:rPr>
                <w:rFonts w:ascii="Calibri" w:hAnsi="Calibri"/>
                <w:sz w:val="18"/>
              </w:rPr>
              <w:t xml:space="preserve">19</w:t>
            </w:r>
          </w:p>
        </w:tc>
        <w:tc>
          <w:tcPr/>
          <w:p>
            <w:pPr>
              <w:pStyle w:val="Compact"/>
              <w:jc w:val="both"/>
            </w:pPr>
            <w:r>
              <w:rPr>
                <w:rFonts w:ascii="Calibri" w:hAnsi="Calibri"/>
                <w:sz w:val="18"/>
              </w:rPr>
              <w:t xml:space="preserve">16,8%</w:t>
            </w:r>
          </w:p>
        </w:tc>
      </w:tr>
      <w:tr>
        <w:trPr>
          <w:cantSplit/>
        </w:trPr>
        <w:tc>
          <w:tcPr/>
          <w:p>
            <w:pPr>
              <w:pStyle w:val="Compact"/>
              <w:jc w:val="both"/>
            </w:pPr>
            <w:r>
              <w:rPr>
                <w:rFonts w:ascii="Calibri" w:hAnsi="Calibri"/>
                <w:sz w:val="18"/>
              </w:rPr>
              <w:t xml:space="preserve">Solução de IA generativa</w:t>
            </w:r>
          </w:p>
        </w:tc>
        <w:tc>
          <w:tcPr/>
          <w:p>
            <w:pPr>
              <w:pStyle w:val="Compact"/>
              <w:jc w:val="both"/>
            </w:pPr>
            <w:r>
              <w:rPr>
                <w:rFonts w:ascii="Calibri" w:hAnsi="Calibri"/>
                <w:sz w:val="18"/>
              </w:rPr>
              <w:t xml:space="preserve">9</w:t>
            </w:r>
          </w:p>
        </w:tc>
        <w:tc>
          <w:tcPr/>
          <w:p>
            <w:pPr>
              <w:pStyle w:val="Compact"/>
              <w:jc w:val="both"/>
            </w:pPr>
            <w:r>
              <w:rPr>
                <w:rFonts w:ascii="Calibri" w:hAnsi="Calibri"/>
                <w:sz w:val="18"/>
              </w:rPr>
              <w:t xml:space="preserve">8,0%</w:t>
            </w:r>
          </w:p>
        </w:tc>
      </w:tr>
      <w:tr>
        <w:trPr>
          <w:cantSplit/>
        </w:trPr>
        <w:tc>
          <w:tcPr/>
          <w:p>
            <w:pPr>
              <w:pStyle w:val="Compact"/>
              <w:keepNext/>
              <w:jc w:val="both"/>
            </w:pPr>
            <w:r>
              <w:rPr>
                <w:rFonts w:ascii="Calibri" w:hAnsi="Calibri"/>
                <w:sz w:val="18"/>
              </w:rPr>
              <w:t xml:space="preserve">Serviço especializado relacionado à IA</w:t>
            </w:r>
          </w:p>
        </w:tc>
        <w:tc>
          <w:tcPr/>
          <w:p>
            <w:pPr>
              <w:pStyle w:val="Compact"/>
              <w:keepNext/>
              <w:jc w:val="both"/>
            </w:pPr>
            <w:r>
              <w:rPr>
                <w:rFonts w:ascii="Calibri" w:hAnsi="Calibri"/>
                <w:sz w:val="18"/>
              </w:rPr>
              <w:t xml:space="preserve">10</w:t>
            </w:r>
          </w:p>
        </w:tc>
        <w:tc>
          <w:tcPr/>
          <w:p>
            <w:pPr>
              <w:pStyle w:val="Compact"/>
              <w:keepNext/>
              <w:jc w:val="both"/>
            </w:pPr>
            <w:r>
              <w:rPr>
                <w:rFonts w:ascii="Calibri" w:hAnsi="Calibri"/>
                <w:sz w:val="18"/>
              </w:rPr>
              <w:t xml:space="preserve">8,8%</w:t>
            </w:r>
          </w:p>
        </w:tc>
      </w:tr>
    </w:tbl>
    <w:p>
      <w:pPr>
        <w:pStyle w:val="FonteImagem"/>
      </w:pPr>
      <w:r>
        <w:t xml:space="preserve">(Fonte: elaboração própria, com base nas respostas atualizadas do questionário iGovTI 2026)</w:t>
      </w:r>
    </w:p>
    <w:p>
      <w:pPr>
        <w:pStyle w:val="Corpodetexto"/>
      </w:pPr>
      <w:r>
        <w:t xml:space="preserve">Entre os respondentes da 3004, as dificuldades mais recorrentes foram: integrar soluções de IA aos sistemas corporativos existentes, indicada por</w:t>
      </w:r>
      <w:r>
        <w:t xml:space="preserve"> </w:t>
      </w:r>
      <w:r>
        <w:rPr>
          <w:b/>
          <w:bCs/>
        </w:rPr>
        <w:t xml:space="preserve">12 organizações</w:t>
      </w:r>
      <w:r>
        <w:t xml:space="preserve">; identificar e comparar soluções disponíveis no mercado, indicada por</w:t>
      </w:r>
      <w:r>
        <w:t xml:space="preserve"> </w:t>
      </w:r>
      <w:r>
        <w:rPr>
          <w:b/>
          <w:bCs/>
        </w:rPr>
        <w:t xml:space="preserve">9</w:t>
      </w:r>
      <w:r>
        <w:t xml:space="preserve">; definir objeto, escopo, entregas e responsabilidades, indicada por</w:t>
      </w:r>
      <w:r>
        <w:t xml:space="preserve"> </w:t>
      </w:r>
      <w:r>
        <w:rPr>
          <w:b/>
          <w:bCs/>
        </w:rPr>
        <w:t xml:space="preserve">8</w:t>
      </w:r>
      <w:r>
        <w:t xml:space="preserve">; estimar preços, quantitativos ou consumo, indicada por</w:t>
      </w:r>
      <w:r>
        <w:t xml:space="preserve"> </w:t>
      </w:r>
      <w:r>
        <w:rPr>
          <w:b/>
          <w:bCs/>
        </w:rPr>
        <w:t xml:space="preserve">8</w:t>
      </w:r>
      <w:r>
        <w:t xml:space="preserve">; planejar implantação, integração, treinamento ou gestão da mudança, indicada por</w:t>
      </w:r>
      <w:r>
        <w:t xml:space="preserve"> </w:t>
      </w:r>
      <w:r>
        <w:rPr>
          <w:b/>
          <w:bCs/>
        </w:rPr>
        <w:t xml:space="preserve">8</w:t>
      </w:r>
      <w:r>
        <w:t xml:space="preserve">; e definir exigências de proteção de dados e LGPD, indicada por</w:t>
      </w:r>
      <w:r>
        <w:t xml:space="preserve"> </w:t>
      </w:r>
      <w:r>
        <w:rPr>
          <w:b/>
          <w:bCs/>
        </w:rPr>
        <w:t xml:space="preserve">8</w:t>
      </w:r>
      <w:r>
        <w:t xml:space="preserve">.</w:t>
      </w:r>
    </w:p>
    <w:p>
      <w:pPr>
        <w:pStyle w:val="TableCaption"/>
        <w:keepNext/>
      </w:pPr>
      <w:r>
        <w:t xml:space="preserve">Tabela 5 - Principais dificuldades de contratação de IA indicadas na 3004</w:t>
      </w:r>
    </w:p>
    <w:tbl>
      <w:tblPr>
        <w:tblStyle w:val="Table"/>
        <w:tblW w:type="pct" w:w="5000"/>
        <w:jc w:val="center"/>
        <w:tblLayout w:type="autofit"/>
        <w:tblLook w:firstRow="1" w:lastRow="0" w:firstColumn="0" w:lastColumn="0" w:noHBand="0" w:noVBand="0" w:val="0020"/>
        <w:tblCaption w:val="Tabela 5 - Principais dificuldades de contratação de IA indicadas na 3004"/>
      </w:tblPr>
      <w:tblGrid>
        <w:gridCol w:w="3394"/>
        <w:gridCol w:w="4525"/>
      </w:tblGrid>
      <w:tr>
        <w:trPr>
          <w:tblHeader w:val="on"/>
          <w:cantSplit/>
        </w:trPr>
        <w:tc>
          <w:tcPr/>
          <w:p>
            <w:pPr>
              <w:pStyle w:val="Compact"/>
              <w:jc w:val="both"/>
            </w:pPr>
            <w:r>
              <w:rPr>
                <w:rFonts w:ascii="Calibri" w:hAnsi="Calibri"/>
                <w:sz w:val="20"/>
              </w:rPr>
              <w:t xml:space="preserve">Dificuldade declarada</w:t>
            </w:r>
          </w:p>
        </w:tc>
        <w:tc>
          <w:tcPr/>
          <w:p>
            <w:pPr>
              <w:pStyle w:val="Compact"/>
              <w:jc w:val="both"/>
            </w:pPr>
            <w:r>
              <w:rPr>
                <w:rFonts w:ascii="Calibri" w:hAnsi="Calibri"/>
                <w:sz w:val="20"/>
              </w:rPr>
              <w:t xml:space="preserve">Quantidade</w:t>
            </w:r>
          </w:p>
        </w:tc>
      </w:tr>
      <w:tr>
        <w:trPr>
          <w:cantSplit/>
        </w:trPr>
        <w:tc>
          <w:tcPr/>
          <w:p>
            <w:pPr>
              <w:pStyle w:val="Compact"/>
              <w:jc w:val="both"/>
            </w:pPr>
            <w:r>
              <w:rPr>
                <w:rFonts w:ascii="Calibri" w:hAnsi="Calibri"/>
                <w:sz w:val="18"/>
              </w:rPr>
              <w:t xml:space="preserve">Integrar soluções de IA aos sistemas corporativos existentes</w:t>
            </w:r>
          </w:p>
        </w:tc>
        <w:tc>
          <w:tcPr/>
          <w:p>
            <w:pPr>
              <w:pStyle w:val="Compact"/>
              <w:jc w:val="both"/>
            </w:pPr>
            <w:r>
              <w:rPr>
                <w:rFonts w:ascii="Calibri" w:hAnsi="Calibri"/>
                <w:sz w:val="18"/>
              </w:rPr>
              <w:t xml:space="preserve">12</w:t>
            </w:r>
          </w:p>
        </w:tc>
      </w:tr>
      <w:tr>
        <w:trPr>
          <w:cantSplit/>
        </w:trPr>
        <w:tc>
          <w:tcPr/>
          <w:p>
            <w:pPr>
              <w:pStyle w:val="Compact"/>
              <w:jc w:val="both"/>
            </w:pPr>
            <w:r>
              <w:rPr>
                <w:rFonts w:ascii="Calibri" w:hAnsi="Calibri"/>
                <w:sz w:val="18"/>
              </w:rPr>
              <w:t xml:space="preserve">Identificar e comparar soluções disponíveis no mercado</w:t>
            </w:r>
          </w:p>
        </w:tc>
        <w:tc>
          <w:tcPr/>
          <w:p>
            <w:pPr>
              <w:pStyle w:val="Compact"/>
              <w:jc w:val="both"/>
            </w:pPr>
            <w:r>
              <w:rPr>
                <w:rFonts w:ascii="Calibri" w:hAnsi="Calibri"/>
                <w:sz w:val="18"/>
              </w:rPr>
              <w:t xml:space="preserve">9</w:t>
            </w:r>
          </w:p>
        </w:tc>
      </w:tr>
      <w:tr>
        <w:trPr>
          <w:cantSplit/>
        </w:trPr>
        <w:tc>
          <w:tcPr/>
          <w:p>
            <w:pPr>
              <w:pStyle w:val="Compact"/>
              <w:jc w:val="both"/>
            </w:pPr>
            <w:r>
              <w:rPr>
                <w:rFonts w:ascii="Calibri" w:hAnsi="Calibri"/>
                <w:sz w:val="18"/>
              </w:rPr>
              <w:t xml:space="preserve">Definir objeto, escopo, entregas e responsabilidades</w:t>
            </w:r>
          </w:p>
        </w:tc>
        <w:tc>
          <w:tcPr/>
          <w:p>
            <w:pPr>
              <w:pStyle w:val="Compact"/>
              <w:jc w:val="both"/>
            </w:pPr>
            <w:r>
              <w:rPr>
                <w:rFonts w:ascii="Calibri" w:hAnsi="Calibri"/>
                <w:sz w:val="18"/>
              </w:rPr>
              <w:t xml:space="preserve">8</w:t>
            </w:r>
          </w:p>
        </w:tc>
      </w:tr>
      <w:tr>
        <w:trPr>
          <w:cantSplit/>
        </w:trPr>
        <w:tc>
          <w:tcPr/>
          <w:p>
            <w:pPr>
              <w:pStyle w:val="Compact"/>
              <w:jc w:val="both"/>
            </w:pPr>
            <w:r>
              <w:rPr>
                <w:rFonts w:ascii="Calibri" w:hAnsi="Calibri"/>
                <w:sz w:val="18"/>
              </w:rPr>
              <w:t xml:space="preserve">Estimar preços, quantitativos ou consumo</w:t>
            </w:r>
          </w:p>
        </w:tc>
        <w:tc>
          <w:tcPr/>
          <w:p>
            <w:pPr>
              <w:pStyle w:val="Compact"/>
              <w:jc w:val="both"/>
            </w:pPr>
            <w:r>
              <w:rPr>
                <w:rFonts w:ascii="Calibri" w:hAnsi="Calibri"/>
                <w:sz w:val="18"/>
              </w:rPr>
              <w:t xml:space="preserve">8</w:t>
            </w:r>
          </w:p>
        </w:tc>
      </w:tr>
      <w:tr>
        <w:trPr>
          <w:cantSplit/>
        </w:trPr>
        <w:tc>
          <w:tcPr/>
          <w:p>
            <w:pPr>
              <w:pStyle w:val="Compact"/>
              <w:jc w:val="both"/>
            </w:pPr>
            <w:r>
              <w:rPr>
                <w:rFonts w:ascii="Calibri" w:hAnsi="Calibri"/>
                <w:sz w:val="18"/>
              </w:rPr>
              <w:t xml:space="preserve">Planejar implantação, integração, treinamento ou gestão da mudança</w:t>
            </w:r>
          </w:p>
        </w:tc>
        <w:tc>
          <w:tcPr/>
          <w:p>
            <w:pPr>
              <w:pStyle w:val="Compact"/>
              <w:jc w:val="both"/>
            </w:pPr>
            <w:r>
              <w:rPr>
                <w:rFonts w:ascii="Calibri" w:hAnsi="Calibri"/>
                <w:sz w:val="18"/>
              </w:rPr>
              <w:t xml:space="preserve">8</w:t>
            </w:r>
          </w:p>
        </w:tc>
      </w:tr>
      <w:tr>
        <w:trPr>
          <w:cantSplit/>
        </w:trPr>
        <w:tc>
          <w:tcPr/>
          <w:p>
            <w:pPr>
              <w:pStyle w:val="Compact"/>
              <w:keepNext/>
              <w:jc w:val="both"/>
            </w:pPr>
            <w:r>
              <w:rPr>
                <w:rFonts w:ascii="Calibri" w:hAnsi="Calibri"/>
                <w:sz w:val="18"/>
              </w:rPr>
              <w:t xml:space="preserve">Definir proteção de dados, LGPD e garantias sobre não uso dos dados para treinamento de modelos públicos</w:t>
            </w:r>
          </w:p>
        </w:tc>
        <w:tc>
          <w:tcPr/>
          <w:p>
            <w:pPr>
              <w:pStyle w:val="Compact"/>
              <w:keepNext/>
              <w:jc w:val="both"/>
            </w:pPr>
            <w:r>
              <w:rPr>
                <w:rFonts w:ascii="Calibri" w:hAnsi="Calibri"/>
                <w:sz w:val="18"/>
              </w:rPr>
              <w:t xml:space="preserve">8</w:t>
            </w:r>
          </w:p>
        </w:tc>
      </w:tr>
    </w:tbl>
    <w:p>
      <w:pPr>
        <w:pStyle w:val="FonteImagem"/>
      </w:pPr>
      <w:r>
        <w:t xml:space="preserve">(Fonte: elaboração própria, com base nas respostas atualizadas do questionário iGovTI 2026)</w:t>
      </w:r>
    </w:p>
    <w:p>
      <w:pPr>
        <w:pStyle w:val="Corpodetexto"/>
      </w:pPr>
      <w:r>
        <w:t xml:space="preserve">O conjunto dessas respostas indica que a contratação de IA ainda apresenta desafios de planejamento técnico e jurídico. As dificuldades não se restringem à escolha da solução; incluem especificação de requisitos, integração, fiscalização, proteção de dados, mensuração de custos e definição de responsabilidades. Isso reforça a necessidade de orientação técnica e de modelos mínimos de contratação, especialmente para soluções que envolvam IA generativa ou tratamento de dados pessoais e sensíveis.</w:t>
      </w:r>
    </w:p>
    <w:bookmarkEnd w:id="25"/>
    <w:bookmarkStart w:id="26" w:name="X9fc74cfacdfb0d221e25f6bc348b485e3c5f6b2"/>
    <w:p>
      <w:pPr>
        <w:pStyle w:val="Ttulo1"/>
      </w:pPr>
      <w:r>
        <w:t xml:space="preserve">7. Uso de IA generativa e risco de uso não mapeado</w:t>
      </w:r>
    </w:p>
    <w:p>
      <w:pPr>
        <w:pStyle w:val="FirstParagraph"/>
      </w:pPr>
      <w:r>
        <w:t xml:space="preserve">A 3005 trata de medidas para identificar e controlar o uso não autorizado ou não mapeado de IA generativa. O resultado é crítico:</w:t>
      </w:r>
      <w:r>
        <w:t xml:space="preserve"> </w:t>
      </w:r>
      <w:r>
        <w:rPr>
          <w:b/>
          <w:bCs/>
        </w:rPr>
        <w:t xml:space="preserve">89 organizações (78,8%)</w:t>
      </w:r>
      <w:r>
        <w:t xml:space="preserve"> </w:t>
      </w:r>
      <w:r>
        <w:t xml:space="preserve">declararam não adotar tais medidas. Apenas</w:t>
      </w:r>
      <w:r>
        <w:t xml:space="preserve"> </w:t>
      </w:r>
      <w:r>
        <w:rPr>
          <w:b/>
          <w:bCs/>
        </w:rPr>
        <w:t xml:space="preserve">4 organizações (3,5%)</w:t>
      </w:r>
      <w:r>
        <w:t xml:space="preserve"> </w:t>
      </w:r>
      <w:r>
        <w:t xml:space="preserve">declararam adotar controles em maior parte ou totalmente, e</w:t>
      </w:r>
      <w:r>
        <w:t xml:space="preserve"> </w:t>
      </w:r>
      <w:r>
        <w:rPr>
          <w:b/>
          <w:bCs/>
        </w:rPr>
        <w:t xml:space="preserve">7 (6,2%)</w:t>
      </w:r>
      <w:r>
        <w:t xml:space="preserve"> </w:t>
      </w:r>
      <w:r>
        <w:t xml:space="preserve">indicaram adoção parcial.</w:t>
      </w:r>
    </w:p>
    <w:p>
      <w:pPr>
        <w:pStyle w:val="TableCaption"/>
        <w:keepNext/>
      </w:pPr>
      <w:r>
        <w:t xml:space="preserve">Tabela 6 - Controles sobre uso não autorizado ou não mapeado de IA generativa</w:t>
      </w:r>
    </w:p>
    <w:tbl>
      <w:tblPr>
        <w:tblStyle w:val="Table"/>
        <w:tblW w:type="auto" w:w="0"/>
        <w:jc w:val="center"/>
        <w:tblLayout w:type="autofit"/>
        <w:tblLook w:firstRow="1" w:lastRow="0" w:firstColumn="0" w:lastColumn="0" w:noHBand="0" w:noVBand="0" w:val="0020"/>
        <w:tblCaption w:val="Tabela 6 - Controles sobre uso não autorizado ou não mapeado de IA generativa"/>
      </w:tblPr>
      <w:tblGrid>
        <w:gridCol w:w="2640"/>
        <w:gridCol w:w="2640"/>
        <w:gridCol w:w="2640"/>
      </w:tblGrid>
      <w:tr>
        <w:trPr>
          <w:tblHeader w:val="on"/>
          <w:cantSplit/>
        </w:trPr>
        <w:tc>
          <w:tcPr/>
          <w:p>
            <w:pPr>
              <w:pStyle w:val="Compact"/>
              <w:jc w:val="both"/>
            </w:pPr>
            <w:r>
              <w:rPr>
                <w:rFonts w:ascii="Calibri" w:hAnsi="Calibri"/>
                <w:sz w:val="20"/>
              </w:rPr>
              <w:t xml:space="preserve">Resposta à 3005</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Não adota</w:t>
            </w:r>
          </w:p>
        </w:tc>
        <w:tc>
          <w:tcPr/>
          <w:p>
            <w:pPr>
              <w:pStyle w:val="Compact"/>
              <w:jc w:val="both"/>
            </w:pPr>
            <w:r>
              <w:rPr>
                <w:rFonts w:ascii="Calibri" w:hAnsi="Calibri"/>
                <w:sz w:val="18"/>
              </w:rPr>
              <w:t xml:space="preserve">89</w:t>
            </w:r>
          </w:p>
        </w:tc>
        <w:tc>
          <w:tcPr/>
          <w:p>
            <w:pPr>
              <w:pStyle w:val="Compact"/>
              <w:jc w:val="both"/>
            </w:pPr>
            <w:r>
              <w:rPr>
                <w:rFonts w:ascii="Calibri" w:hAnsi="Calibri"/>
                <w:sz w:val="18"/>
              </w:rPr>
              <w:t xml:space="preserve">78,8%</w:t>
            </w:r>
          </w:p>
        </w:tc>
      </w:tr>
      <w:tr>
        <w:trPr>
          <w:cantSplit/>
        </w:trPr>
        <w:tc>
          <w:tcPr/>
          <w:p>
            <w:pPr>
              <w:pStyle w:val="Compact"/>
              <w:jc w:val="both"/>
            </w:pPr>
            <w:r>
              <w:rPr>
                <w:rFonts w:ascii="Calibri" w:hAnsi="Calibri"/>
                <w:sz w:val="18"/>
              </w:rPr>
              <w:t xml:space="preserve">Adota parcialmente</w:t>
            </w:r>
          </w:p>
        </w:tc>
        <w:tc>
          <w:tcPr/>
          <w:p>
            <w:pPr>
              <w:pStyle w:val="Compact"/>
              <w:jc w:val="both"/>
            </w:pPr>
            <w:r>
              <w:rPr>
                <w:rFonts w:ascii="Calibri" w:hAnsi="Calibri"/>
                <w:sz w:val="18"/>
              </w:rPr>
              <w:t xml:space="preserve">7</w:t>
            </w:r>
          </w:p>
        </w:tc>
        <w:tc>
          <w:tcPr/>
          <w:p>
            <w:pPr>
              <w:pStyle w:val="Compact"/>
              <w:jc w:val="both"/>
            </w:pPr>
            <w:r>
              <w:rPr>
                <w:rFonts w:ascii="Calibri" w:hAnsi="Calibri"/>
                <w:sz w:val="18"/>
              </w:rPr>
              <w:t xml:space="preserve">6,2%</w:t>
            </w:r>
          </w:p>
        </w:tc>
      </w:tr>
      <w:tr>
        <w:trPr>
          <w:cantSplit/>
        </w:trPr>
        <w:tc>
          <w:tcPr/>
          <w:p>
            <w:pPr>
              <w:pStyle w:val="Compact"/>
              <w:jc w:val="both"/>
            </w:pPr>
            <w:r>
              <w:rPr>
                <w:rFonts w:ascii="Calibri" w:hAnsi="Calibri"/>
                <w:sz w:val="18"/>
              </w:rPr>
              <w:t xml:space="preserve">Há decisão formal ou plano aprovado para adotá-lo</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5,3%</w:t>
            </w:r>
          </w:p>
        </w:tc>
      </w:tr>
      <w:tr>
        <w:trPr>
          <w:cantSplit/>
        </w:trPr>
        <w:tc>
          <w:tcPr/>
          <w:p>
            <w:pPr>
              <w:pStyle w:val="Compact"/>
              <w:jc w:val="both"/>
            </w:pPr>
            <w:r>
              <w:rPr>
                <w:rFonts w:ascii="Calibri" w:hAnsi="Calibri"/>
                <w:sz w:val="18"/>
              </w:rPr>
              <w:t xml:space="preserve">Adota em menor parte</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4,4%</w:t>
            </w:r>
          </w:p>
        </w:tc>
      </w:tr>
      <w:tr>
        <w:trPr>
          <w:cantSplit/>
        </w:trPr>
        <w:tc>
          <w:tcPr/>
          <w:p>
            <w:pPr>
              <w:pStyle w:val="Compact"/>
              <w:jc w:val="both"/>
            </w:pPr>
            <w:r>
              <w:rPr>
                <w:rFonts w:ascii="Calibri" w:hAnsi="Calibri"/>
                <w:sz w:val="18"/>
              </w:rPr>
              <w:t xml:space="preserve">Adota em maior parte ou totalmente</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3,5%</w:t>
            </w:r>
          </w:p>
        </w:tc>
      </w:tr>
      <w:tr>
        <w:trPr>
          <w:cantSplit/>
        </w:trPr>
        <w:tc>
          <w:tcPr/>
          <w:p>
            <w:pPr>
              <w:pStyle w:val="Compact"/>
              <w:keepNext/>
              <w:jc w:val="both"/>
            </w:pPr>
            <w:r>
              <w:rPr>
                <w:rFonts w:ascii="Calibri" w:hAnsi="Calibri"/>
                <w:sz w:val="18"/>
              </w:rPr>
              <w:t xml:space="preserve">Não se aplica</w:t>
            </w:r>
          </w:p>
        </w:tc>
        <w:tc>
          <w:tcPr/>
          <w:p>
            <w:pPr>
              <w:pStyle w:val="Compact"/>
              <w:keepNext/>
              <w:jc w:val="both"/>
            </w:pPr>
            <w:r>
              <w:rPr>
                <w:rFonts w:ascii="Calibri" w:hAnsi="Calibri"/>
                <w:sz w:val="18"/>
              </w:rPr>
              <w:t xml:space="preserve">2</w:t>
            </w:r>
          </w:p>
        </w:tc>
        <w:tc>
          <w:tcPr/>
          <w:p>
            <w:pPr>
              <w:pStyle w:val="Compact"/>
              <w:keepNext/>
              <w:jc w:val="both"/>
            </w:pPr>
            <w:r>
              <w:rPr>
                <w:rFonts w:ascii="Calibri" w:hAnsi="Calibri"/>
                <w:sz w:val="18"/>
              </w:rPr>
              <w:t xml:space="preserve">1,8%</w:t>
            </w:r>
          </w:p>
        </w:tc>
      </w:tr>
    </w:tbl>
    <w:p>
      <w:pPr>
        <w:pStyle w:val="FonteImagem"/>
      </w:pPr>
      <w:r>
        <w:t xml:space="preserve">(Fonte: elaboração própria, com base nas respostas atualizadas do questionário iGovTI 2026)</w:t>
      </w:r>
    </w:p>
    <w:p>
      <w:pPr>
        <w:pStyle w:val="Corpodetexto"/>
      </w:pPr>
      <w:r>
        <w:t xml:space="preserve">Os subitens da 3005 confirmam a fragilidade. Apenas</w:t>
      </w:r>
      <w:r>
        <w:t xml:space="preserve"> </w:t>
      </w:r>
      <w:r>
        <w:rPr>
          <w:b/>
          <w:bCs/>
        </w:rPr>
        <w:t xml:space="preserve">3 organizações (2,7%)</w:t>
      </w:r>
      <w:r>
        <w:t xml:space="preserve"> </w:t>
      </w:r>
      <w:r>
        <w:t xml:space="preserve">declararam identificar ferramentas públicas de IA generativa acessadas na rede corporativa;</w:t>
      </w:r>
      <w:r>
        <w:t xml:space="preserve"> </w:t>
      </w:r>
      <w:r>
        <w:rPr>
          <w:b/>
          <w:bCs/>
        </w:rPr>
        <w:t xml:space="preserve">6 (5,3%)</w:t>
      </w:r>
      <w:r>
        <w:t xml:space="preserve"> </w:t>
      </w:r>
      <w:r>
        <w:t xml:space="preserve">declararam definir ferramentas autorizadas, restritas ou vedadas;</w:t>
      </w:r>
      <w:r>
        <w:t xml:space="preserve"> </w:t>
      </w:r>
      <w:r>
        <w:rPr>
          <w:b/>
          <w:bCs/>
        </w:rPr>
        <w:t xml:space="preserve">5 (4,4%)</w:t>
      </w:r>
      <w:r>
        <w:t xml:space="preserve"> </w:t>
      </w:r>
      <w:r>
        <w:t xml:space="preserve">declararam controles técnicos para reduzir o uso de ferramentas não homologadas; e</w:t>
      </w:r>
      <w:r>
        <w:t xml:space="preserve"> </w:t>
      </w:r>
      <w:r>
        <w:rPr>
          <w:b/>
          <w:bCs/>
        </w:rPr>
        <w:t xml:space="preserve">5 (4,4%)</w:t>
      </w:r>
      <w:r>
        <w:t xml:space="preserve"> </w:t>
      </w:r>
      <w:r>
        <w:t xml:space="preserve">declararam processo de avaliação e homologação de novas ferramentas.</w:t>
      </w:r>
    </w:p>
    <w:p>
      <w:pPr>
        <w:pStyle w:val="Corpodetexto"/>
      </w:pPr>
      <w:r>
        <w:t xml:space="preserve">Esse é um dos pontos de maior risco do diagnóstico. Mesmo organizações que não reconhecem formalmente o uso institucional de IA podem estar expostas ao uso individual de ferramentas generativas por servidores, colaboradores ou terceirizados. Sem mapeamento, orientação, restrição, homologação ou monitoramento, aumenta o risco de inserção de dados pessoais, informações sigilosas, minutas, pareceres, documentos internos ou bases institucionais em plataformas externas sem avaliação de segurança, privacidade e conformidade.</w:t>
      </w:r>
    </w:p>
    <w:bookmarkEnd w:id="26"/>
    <w:bookmarkStart w:id="27" w:name="usos-declarados-na-questão-aberta"/>
    <w:p>
      <w:pPr>
        <w:pStyle w:val="Ttulo1"/>
      </w:pPr>
      <w:r>
        <w:t xml:space="preserve">8. Usos declarados na questão aberta</w:t>
      </w:r>
    </w:p>
    <w:p>
      <w:pPr>
        <w:pStyle w:val="FirstParagraph"/>
      </w:pPr>
      <w:r>
        <w:t xml:space="preserve">A questão 3006 recebeu</w:t>
      </w:r>
      <w:r>
        <w:t xml:space="preserve"> </w:t>
      </w:r>
      <w:r>
        <w:rPr>
          <w:b/>
          <w:bCs/>
        </w:rPr>
        <w:t xml:space="preserve">90 respostas não vazias (79,6%)</w:t>
      </w:r>
      <w:r>
        <w:t xml:space="preserve">. Contudo, parte expressiva dessas respostas apenas informou ausência de uso, não institucionalização ou inexistência de solução formal. Por isso, a leitura das respostas abertas deve ser feita com cautela.</w:t>
      </w:r>
    </w:p>
    <w:p>
      <w:pPr>
        <w:pStyle w:val="Corpodetexto"/>
      </w:pPr>
      <w:r>
        <w:t xml:space="preserve">A categorização interpretativa das respostas abertas indicou os seguintes temas recorrentes:</w:t>
      </w:r>
    </w:p>
    <w:p>
      <w:pPr>
        <w:pStyle w:val="TableCaption"/>
        <w:keepNext/>
      </w:pPr>
      <w:r>
        <w:t xml:space="preserve">Tabela 7 - Categorias identificadas nas respostas abertas da 3006</w:t>
      </w:r>
    </w:p>
    <w:tbl>
      <w:tblPr>
        <w:tblStyle w:val="Table"/>
        <w:tblW w:type="auto" w:w="0"/>
        <w:jc w:val="center"/>
        <w:tblLayout w:type="autofit"/>
        <w:tblLook w:firstRow="1" w:lastRow="0" w:firstColumn="0" w:lastColumn="0" w:noHBand="0" w:noVBand="0" w:val="0020"/>
        <w:tblCaption w:val="Tabela 7 - Categorias identificadas nas respostas abertas da 3006"/>
      </w:tblPr>
      <w:tblGrid>
        <w:gridCol w:w="2640"/>
        <w:gridCol w:w="2640"/>
        <w:gridCol w:w="2640"/>
      </w:tblGrid>
      <w:tr>
        <w:trPr>
          <w:tblHeader w:val="on"/>
          <w:cantSplit/>
        </w:trPr>
        <w:tc>
          <w:tcPr/>
          <w:p>
            <w:pPr>
              <w:pStyle w:val="Compact"/>
              <w:jc w:val="both"/>
            </w:pPr>
            <w:r>
              <w:rPr>
                <w:rFonts w:ascii="Calibri" w:hAnsi="Calibri"/>
                <w:sz w:val="20"/>
              </w:rPr>
              <w:t xml:space="preserve">Categoria</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Ausência de uso declarada ou não institucionalização</w:t>
            </w:r>
          </w:p>
        </w:tc>
        <w:tc>
          <w:tcPr/>
          <w:p>
            <w:pPr>
              <w:pStyle w:val="Compact"/>
              <w:jc w:val="both"/>
            </w:pPr>
            <w:r>
              <w:rPr>
                <w:rFonts w:ascii="Calibri" w:hAnsi="Calibri"/>
                <w:sz w:val="18"/>
              </w:rPr>
              <w:t xml:space="preserve">35</w:t>
            </w:r>
          </w:p>
        </w:tc>
        <w:tc>
          <w:tcPr/>
          <w:p>
            <w:pPr>
              <w:pStyle w:val="Compact"/>
              <w:jc w:val="both"/>
            </w:pPr>
            <w:r>
              <w:rPr>
                <w:rFonts w:ascii="Calibri" w:hAnsi="Calibri"/>
                <w:sz w:val="18"/>
              </w:rPr>
              <w:t xml:space="preserve">31,0%</w:t>
            </w:r>
          </w:p>
        </w:tc>
      </w:tr>
      <w:tr>
        <w:trPr>
          <w:cantSplit/>
        </w:trPr>
        <w:tc>
          <w:tcPr/>
          <w:p>
            <w:pPr>
              <w:pStyle w:val="Compact"/>
              <w:jc w:val="both"/>
            </w:pPr>
            <w:r>
              <w:rPr>
                <w:rFonts w:ascii="Calibri" w:hAnsi="Calibri"/>
                <w:sz w:val="18"/>
              </w:rPr>
              <w:t xml:space="preserve">Contratação ou solução de terceiro</w:t>
            </w:r>
          </w:p>
        </w:tc>
        <w:tc>
          <w:tcPr/>
          <w:p>
            <w:pPr>
              <w:pStyle w:val="Compact"/>
              <w:jc w:val="both"/>
            </w:pPr>
            <w:r>
              <w:rPr>
                <w:rFonts w:ascii="Calibri" w:hAnsi="Calibri"/>
                <w:sz w:val="18"/>
              </w:rPr>
              <w:t xml:space="preserve">32</w:t>
            </w:r>
          </w:p>
        </w:tc>
        <w:tc>
          <w:tcPr/>
          <w:p>
            <w:pPr>
              <w:pStyle w:val="Compact"/>
              <w:jc w:val="both"/>
            </w:pPr>
            <w:r>
              <w:rPr>
                <w:rFonts w:ascii="Calibri" w:hAnsi="Calibri"/>
                <w:sz w:val="18"/>
              </w:rPr>
              <w:t xml:space="preserve">28,3%</w:t>
            </w:r>
          </w:p>
        </w:tc>
      </w:tr>
      <w:tr>
        <w:trPr>
          <w:cantSplit/>
        </w:trPr>
        <w:tc>
          <w:tcPr/>
          <w:p>
            <w:pPr>
              <w:pStyle w:val="Compact"/>
              <w:jc w:val="both"/>
            </w:pPr>
            <w:r>
              <w:rPr>
                <w:rFonts w:ascii="Calibri" w:hAnsi="Calibri"/>
                <w:sz w:val="18"/>
              </w:rPr>
              <w:t xml:space="preserve">Apoio textual, pesquisa e produtividade</w:t>
            </w:r>
          </w:p>
        </w:tc>
        <w:tc>
          <w:tcPr/>
          <w:p>
            <w:pPr>
              <w:pStyle w:val="Compact"/>
              <w:jc w:val="both"/>
            </w:pPr>
            <w:r>
              <w:rPr>
                <w:rFonts w:ascii="Calibri" w:hAnsi="Calibri"/>
                <w:sz w:val="18"/>
              </w:rPr>
              <w:t xml:space="preserve">28</w:t>
            </w:r>
          </w:p>
        </w:tc>
        <w:tc>
          <w:tcPr/>
          <w:p>
            <w:pPr>
              <w:pStyle w:val="Compact"/>
              <w:jc w:val="both"/>
            </w:pPr>
            <w:r>
              <w:rPr>
                <w:rFonts w:ascii="Calibri" w:hAnsi="Calibri"/>
                <w:sz w:val="18"/>
              </w:rPr>
              <w:t xml:space="preserve">24,8%</w:t>
            </w:r>
          </w:p>
        </w:tc>
      </w:tr>
      <w:tr>
        <w:trPr>
          <w:cantSplit/>
        </w:trPr>
        <w:tc>
          <w:tcPr/>
          <w:p>
            <w:pPr>
              <w:pStyle w:val="Compact"/>
              <w:jc w:val="both"/>
            </w:pPr>
            <w:r>
              <w:rPr>
                <w:rFonts w:ascii="Calibri" w:hAnsi="Calibri"/>
                <w:sz w:val="18"/>
              </w:rPr>
              <w:t xml:space="preserve">Automação administrativa ou processual</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22,1%</w:t>
            </w:r>
          </w:p>
        </w:tc>
      </w:tr>
      <w:tr>
        <w:trPr>
          <w:cantSplit/>
        </w:trPr>
        <w:tc>
          <w:tcPr/>
          <w:p>
            <w:pPr>
              <w:pStyle w:val="Compact"/>
              <w:jc w:val="both"/>
            </w:pPr>
            <w:r>
              <w:rPr>
                <w:rFonts w:ascii="Calibri" w:hAnsi="Calibri"/>
                <w:sz w:val="18"/>
              </w:rPr>
              <w:t xml:space="preserve">Desenvolvimento de software ou suporte técnico</w:t>
            </w:r>
          </w:p>
        </w:tc>
        <w:tc>
          <w:tcPr/>
          <w:p>
            <w:pPr>
              <w:pStyle w:val="Compact"/>
              <w:jc w:val="both"/>
            </w:pPr>
            <w:r>
              <w:rPr>
                <w:rFonts w:ascii="Calibri" w:hAnsi="Calibri"/>
                <w:sz w:val="18"/>
              </w:rPr>
              <w:t xml:space="preserve">23</w:t>
            </w:r>
          </w:p>
        </w:tc>
        <w:tc>
          <w:tcPr/>
          <w:p>
            <w:pPr>
              <w:pStyle w:val="Compact"/>
              <w:jc w:val="both"/>
            </w:pPr>
            <w:r>
              <w:rPr>
                <w:rFonts w:ascii="Calibri" w:hAnsi="Calibri"/>
                <w:sz w:val="18"/>
              </w:rPr>
              <w:t xml:space="preserve">20,4%</w:t>
            </w:r>
          </w:p>
        </w:tc>
      </w:tr>
      <w:tr>
        <w:trPr>
          <w:cantSplit/>
        </w:trPr>
        <w:tc>
          <w:tcPr/>
          <w:p>
            <w:pPr>
              <w:pStyle w:val="Compact"/>
              <w:jc w:val="both"/>
            </w:pPr>
            <w:r>
              <w:rPr>
                <w:rFonts w:ascii="Calibri" w:hAnsi="Calibri"/>
                <w:sz w:val="18"/>
              </w:rPr>
              <w:t xml:space="preserve">Análise de dados, BI ou apoio à decisão</w:t>
            </w:r>
          </w:p>
        </w:tc>
        <w:tc>
          <w:tcPr/>
          <w:p>
            <w:pPr>
              <w:pStyle w:val="Compact"/>
              <w:jc w:val="both"/>
            </w:pPr>
            <w:r>
              <w:rPr>
                <w:rFonts w:ascii="Calibri" w:hAnsi="Calibri"/>
                <w:sz w:val="18"/>
              </w:rPr>
              <w:t xml:space="preserve">22</w:t>
            </w:r>
          </w:p>
        </w:tc>
        <w:tc>
          <w:tcPr/>
          <w:p>
            <w:pPr>
              <w:pStyle w:val="Compact"/>
              <w:jc w:val="both"/>
            </w:pPr>
            <w:r>
              <w:rPr>
                <w:rFonts w:ascii="Calibri" w:hAnsi="Calibri"/>
                <w:sz w:val="18"/>
              </w:rPr>
              <w:t xml:space="preserve">19,5%</w:t>
            </w:r>
          </w:p>
        </w:tc>
      </w:tr>
      <w:tr>
        <w:trPr>
          <w:cantSplit/>
        </w:trPr>
        <w:tc>
          <w:tcPr/>
          <w:p>
            <w:pPr>
              <w:pStyle w:val="Compact"/>
              <w:jc w:val="both"/>
            </w:pPr>
            <w:r>
              <w:rPr>
                <w:rFonts w:ascii="Calibri" w:hAnsi="Calibri"/>
                <w:sz w:val="18"/>
              </w:rPr>
              <w:t xml:space="preserve">Projeto-piloto, estudo ou prova de conceito</w:t>
            </w:r>
          </w:p>
        </w:tc>
        <w:tc>
          <w:tcPr/>
          <w:p>
            <w:pPr>
              <w:pStyle w:val="Compact"/>
              <w:jc w:val="both"/>
            </w:pPr>
            <w:r>
              <w:rPr>
                <w:rFonts w:ascii="Calibri" w:hAnsi="Calibri"/>
                <w:sz w:val="18"/>
              </w:rPr>
              <w:t xml:space="preserve">17</w:t>
            </w:r>
          </w:p>
        </w:tc>
        <w:tc>
          <w:tcPr/>
          <w:p>
            <w:pPr>
              <w:pStyle w:val="Compact"/>
              <w:jc w:val="both"/>
            </w:pPr>
            <w:r>
              <w:rPr>
                <w:rFonts w:ascii="Calibri" w:hAnsi="Calibri"/>
                <w:sz w:val="18"/>
              </w:rPr>
              <w:t xml:space="preserve">15,0%</w:t>
            </w:r>
          </w:p>
        </w:tc>
      </w:tr>
      <w:tr>
        <w:trPr>
          <w:cantSplit/>
        </w:trPr>
        <w:tc>
          <w:tcPr/>
          <w:p>
            <w:pPr>
              <w:pStyle w:val="Compact"/>
              <w:jc w:val="both"/>
            </w:pPr>
            <w:r>
              <w:rPr>
                <w:rFonts w:ascii="Calibri" w:hAnsi="Calibri"/>
                <w:sz w:val="18"/>
              </w:rPr>
              <w:t xml:space="preserve">Assistente virtual, chatbot ou atendimento</w:t>
            </w:r>
          </w:p>
        </w:tc>
        <w:tc>
          <w:tcPr/>
          <w:p>
            <w:pPr>
              <w:pStyle w:val="Compact"/>
              <w:jc w:val="both"/>
            </w:pPr>
            <w:r>
              <w:rPr>
                <w:rFonts w:ascii="Calibri" w:hAnsi="Calibri"/>
                <w:sz w:val="18"/>
              </w:rPr>
              <w:t xml:space="preserve">15</w:t>
            </w:r>
          </w:p>
        </w:tc>
        <w:tc>
          <w:tcPr/>
          <w:p>
            <w:pPr>
              <w:pStyle w:val="Compact"/>
              <w:jc w:val="both"/>
            </w:pPr>
            <w:r>
              <w:rPr>
                <w:rFonts w:ascii="Calibri" w:hAnsi="Calibri"/>
                <w:sz w:val="18"/>
              </w:rPr>
              <w:t xml:space="preserve">13,3%</w:t>
            </w:r>
          </w:p>
        </w:tc>
      </w:tr>
      <w:tr>
        <w:trPr>
          <w:cantSplit/>
        </w:trPr>
        <w:tc>
          <w:tcPr/>
          <w:p>
            <w:pPr>
              <w:pStyle w:val="Compact"/>
              <w:keepNext/>
              <w:jc w:val="both"/>
            </w:pPr>
            <w:r>
              <w:rPr>
                <w:rFonts w:ascii="Calibri" w:hAnsi="Calibri"/>
                <w:sz w:val="18"/>
              </w:rPr>
              <w:t xml:space="preserve">Segurança, fraude ou fiscalização</w:t>
            </w:r>
          </w:p>
        </w:tc>
        <w:tc>
          <w:tcPr/>
          <w:p>
            <w:pPr>
              <w:pStyle w:val="Compact"/>
              <w:keepNext/>
              <w:jc w:val="both"/>
            </w:pPr>
            <w:r>
              <w:rPr>
                <w:rFonts w:ascii="Calibri" w:hAnsi="Calibri"/>
                <w:sz w:val="18"/>
              </w:rPr>
              <w:t xml:space="preserve">8</w:t>
            </w:r>
          </w:p>
        </w:tc>
        <w:tc>
          <w:tcPr/>
          <w:p>
            <w:pPr>
              <w:pStyle w:val="Compact"/>
              <w:keepNext/>
              <w:jc w:val="both"/>
            </w:pPr>
            <w:r>
              <w:rPr>
                <w:rFonts w:ascii="Calibri" w:hAnsi="Calibri"/>
                <w:sz w:val="18"/>
              </w:rPr>
              <w:t xml:space="preserve">7,1%</w:t>
            </w:r>
          </w:p>
        </w:tc>
      </w:tr>
    </w:tbl>
    <w:p>
      <w:pPr>
        <w:pStyle w:val="FonteImagem"/>
      </w:pPr>
      <w:r>
        <w:t xml:space="preserve">(Fonte: elaboração própria, com base na categorização interpretativa das respostas abertas da 3006)</w:t>
      </w:r>
    </w:p>
    <w:p>
      <w:pPr>
        <w:pStyle w:val="Corpodetexto"/>
      </w:pPr>
      <w:r>
        <w:t xml:space="preserve">As respostas sugerem que os usos declarados se concentram em apoio textual, pesquisa, elaboração de documentos, assistentes virtuais, automação de rotinas, análise de dados, apoio a serviços internos e integração com soluções de terceiros. Também há menções a projetos em desenvolvimento, provas de conceito e estudos preliminares.</w:t>
      </w:r>
    </w:p>
    <w:p>
      <w:pPr>
        <w:pStyle w:val="Corpodetexto"/>
      </w:pPr>
      <w:r>
        <w:t xml:space="preserve">Esse padrão é compatível com estágio inicial de adoção: há experimentação, projetos localizados e uso de ferramentas de produtividade, mas ainda há baixa evidência de governança institucional ampla, inventário de soluções, gestão de riscos, critérios de validação e responsabilização por decisões apoiadas por IA.</w:t>
      </w:r>
    </w:p>
    <w:bookmarkEnd w:id="27"/>
    <w:bookmarkStart w:id="28" w:name="principais-riscos-identificados"/>
    <w:p>
      <w:pPr>
        <w:pStyle w:val="Ttulo1"/>
      </w:pPr>
      <w:r>
        <w:t xml:space="preserve">9. Principais riscos identificados</w:t>
      </w:r>
    </w:p>
    <w:p>
      <w:pPr>
        <w:pStyle w:val="FirstParagraph"/>
      </w:pPr>
      <w:r>
        <w:t xml:space="preserve">A análise das respostas aponta riscos indicativos que merecem atenção prioritária em futuras ações de controle. Esses riscos não constituem achados individualizados neste anexo, mas sinalizam áreas em que a exposição institucional pode ser relevante.</w:t>
      </w:r>
    </w:p>
    <w:p>
      <w:pPr>
        <w:pStyle w:val="TableCaption"/>
        <w:keepNext/>
      </w:pPr>
      <w:r>
        <w:t xml:space="preserve">Tabela 8 - Riscos indicativos derivados das respostas de IA</w:t>
      </w:r>
    </w:p>
    <w:tbl>
      <w:tblPr>
        <w:tblStyle w:val="Table"/>
        <w:tblW w:type="pct" w:w="5000"/>
        <w:jc w:val="center"/>
        <w:tblLayout w:type="autofit"/>
        <w:tblLook w:firstRow="1" w:lastRow="0" w:firstColumn="0" w:lastColumn="0" w:noHBand="0" w:noVBand="0" w:val="0020"/>
        <w:tblCaption w:val="Tabela 8 - Riscos indicativos derivados das respostas de IA"/>
      </w:tblPr>
      <w:tblGrid>
        <w:gridCol w:w="2160"/>
        <w:gridCol w:w="2880"/>
        <w:gridCol w:w="2880"/>
      </w:tblGrid>
      <w:tr>
        <w:trPr>
          <w:tblHeader w:val="on"/>
          <w:cantSplit/>
        </w:trPr>
        <w:tc>
          <w:tcPr/>
          <w:p>
            <w:pPr>
              <w:pStyle w:val="Compact"/>
              <w:jc w:val="both"/>
            </w:pPr>
            <w:r>
              <w:rPr>
                <w:rFonts w:ascii="Calibri" w:hAnsi="Calibri"/>
                <w:sz w:val="20"/>
              </w:rPr>
              <w:t xml:space="preserve">Risco indicativo</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Medidas de IA generativa sem identificação de acessos na rede</w:t>
            </w:r>
          </w:p>
        </w:tc>
        <w:tc>
          <w:tcPr/>
          <w:p>
            <w:pPr>
              <w:pStyle w:val="Compact"/>
              <w:jc w:val="both"/>
            </w:pPr>
            <w:r>
              <w:rPr>
                <w:rFonts w:ascii="Calibri" w:hAnsi="Calibri"/>
                <w:sz w:val="18"/>
              </w:rPr>
              <w:t xml:space="preserve">19</w:t>
            </w:r>
          </w:p>
        </w:tc>
        <w:tc>
          <w:tcPr/>
          <w:p>
            <w:pPr>
              <w:pStyle w:val="Compact"/>
              <w:jc w:val="both"/>
            </w:pPr>
            <w:r>
              <w:rPr>
                <w:rFonts w:ascii="Calibri" w:hAnsi="Calibri"/>
                <w:sz w:val="18"/>
              </w:rPr>
              <w:t xml:space="preserve">16,8%</w:t>
            </w:r>
          </w:p>
        </w:tc>
      </w:tr>
      <w:tr>
        <w:trPr>
          <w:cantSplit/>
        </w:trPr>
        <w:tc>
          <w:tcPr/>
          <w:p>
            <w:pPr>
              <w:pStyle w:val="Compact"/>
              <w:jc w:val="both"/>
            </w:pPr>
            <w:r>
              <w:rPr>
                <w:rFonts w:ascii="Calibri" w:hAnsi="Calibri"/>
                <w:sz w:val="18"/>
              </w:rPr>
              <w:t xml:space="preserve">Diretrizes sem avaliação prévia de riscos</w:t>
            </w:r>
          </w:p>
        </w:tc>
        <w:tc>
          <w:tcPr/>
          <w:p>
            <w:pPr>
              <w:pStyle w:val="Compact"/>
              <w:jc w:val="both"/>
            </w:pPr>
            <w:r>
              <w:rPr>
                <w:rFonts w:ascii="Calibri" w:hAnsi="Calibri"/>
                <w:sz w:val="18"/>
              </w:rPr>
              <w:t xml:space="preserve">17</w:t>
            </w:r>
          </w:p>
        </w:tc>
        <w:tc>
          <w:tcPr/>
          <w:p>
            <w:pPr>
              <w:pStyle w:val="Compact"/>
              <w:jc w:val="both"/>
            </w:pPr>
            <w:r>
              <w:rPr>
                <w:rFonts w:ascii="Calibri" w:hAnsi="Calibri"/>
                <w:sz w:val="18"/>
              </w:rPr>
              <w:t xml:space="preserve">15,0%</w:t>
            </w:r>
          </w:p>
        </w:tc>
      </w:tr>
      <w:tr>
        <w:trPr>
          <w:cantSplit/>
        </w:trPr>
        <w:tc>
          <w:tcPr/>
          <w:p>
            <w:pPr>
              <w:pStyle w:val="Compact"/>
              <w:jc w:val="both"/>
            </w:pPr>
            <w:r>
              <w:rPr>
                <w:rFonts w:ascii="Calibri" w:hAnsi="Calibri"/>
                <w:sz w:val="18"/>
              </w:rPr>
              <w:t xml:space="preserve">Diretrizes sem revisão humana prevista</w:t>
            </w:r>
          </w:p>
        </w:tc>
        <w:tc>
          <w:tcPr/>
          <w:p>
            <w:pPr>
              <w:pStyle w:val="Compact"/>
              <w:jc w:val="both"/>
            </w:pPr>
            <w:r>
              <w:rPr>
                <w:rFonts w:ascii="Calibri" w:hAnsi="Calibri"/>
                <w:sz w:val="18"/>
              </w:rPr>
              <w:t xml:space="preserve">16</w:t>
            </w:r>
          </w:p>
        </w:tc>
        <w:tc>
          <w:tcPr/>
          <w:p>
            <w:pPr>
              <w:pStyle w:val="Compact"/>
              <w:jc w:val="both"/>
            </w:pPr>
            <w:r>
              <w:rPr>
                <w:rFonts w:ascii="Calibri" w:hAnsi="Calibri"/>
                <w:sz w:val="18"/>
              </w:rPr>
              <w:t xml:space="preserve">14,2%</w:t>
            </w:r>
          </w:p>
        </w:tc>
      </w:tr>
      <w:tr>
        <w:trPr>
          <w:cantSplit/>
        </w:trPr>
        <w:tc>
          <w:tcPr/>
          <w:p>
            <w:pPr>
              <w:pStyle w:val="Compact"/>
              <w:jc w:val="both"/>
            </w:pPr>
            <w:r>
              <w:rPr>
                <w:rFonts w:ascii="Calibri" w:hAnsi="Calibri"/>
                <w:sz w:val="18"/>
              </w:rPr>
              <w:t xml:space="preserve">Uso ou plano de IA sem controle de IA generativa</w:t>
            </w:r>
          </w:p>
        </w:tc>
        <w:tc>
          <w:tcPr/>
          <w:p>
            <w:pPr>
              <w:pStyle w:val="Compact"/>
              <w:jc w:val="both"/>
            </w:pPr>
            <w:r>
              <w:rPr>
                <w:rFonts w:ascii="Calibri" w:hAnsi="Calibri"/>
                <w:sz w:val="18"/>
              </w:rPr>
              <w:t xml:space="preserve">15</w:t>
            </w:r>
          </w:p>
        </w:tc>
        <w:tc>
          <w:tcPr/>
          <w:p>
            <w:pPr>
              <w:pStyle w:val="Compact"/>
              <w:jc w:val="both"/>
            </w:pPr>
            <w:r>
              <w:rPr>
                <w:rFonts w:ascii="Calibri" w:hAnsi="Calibri"/>
                <w:sz w:val="18"/>
              </w:rPr>
              <w:t xml:space="preserve">13,3%</w:t>
            </w:r>
          </w:p>
        </w:tc>
      </w:tr>
      <w:tr>
        <w:trPr>
          <w:cantSplit/>
        </w:trPr>
        <w:tc>
          <w:tcPr/>
          <w:p>
            <w:pPr>
              <w:pStyle w:val="Compact"/>
              <w:jc w:val="both"/>
            </w:pPr>
            <w:r>
              <w:rPr>
                <w:rFonts w:ascii="Calibri" w:hAnsi="Calibri"/>
                <w:sz w:val="18"/>
              </w:rPr>
              <w:t xml:space="preserve">Diretrizes sem regra para dados em prompts</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11,5%</w:t>
            </w:r>
          </w:p>
        </w:tc>
      </w:tr>
      <w:tr>
        <w:trPr>
          <w:cantSplit/>
        </w:trPr>
        <w:tc>
          <w:tcPr/>
          <w:p>
            <w:pPr>
              <w:pStyle w:val="Compact"/>
              <w:jc w:val="both"/>
            </w:pPr>
            <w:r>
              <w:rPr>
                <w:rFonts w:ascii="Calibri" w:hAnsi="Calibri"/>
                <w:sz w:val="18"/>
              </w:rPr>
              <w:t xml:space="preserve">Uso ou plano de IA sem diretrizes formais</w:t>
            </w:r>
          </w:p>
        </w:tc>
        <w:tc>
          <w:tcPr/>
          <w:p>
            <w:pPr>
              <w:pStyle w:val="Compact"/>
              <w:jc w:val="both"/>
            </w:pPr>
            <w:r>
              <w:rPr>
                <w:rFonts w:ascii="Calibri" w:hAnsi="Calibri"/>
                <w:sz w:val="18"/>
              </w:rPr>
              <w:t xml:space="preserve">12</w:t>
            </w:r>
          </w:p>
        </w:tc>
        <w:tc>
          <w:tcPr/>
          <w:p>
            <w:pPr>
              <w:pStyle w:val="Compact"/>
              <w:jc w:val="both"/>
            </w:pPr>
            <w:r>
              <w:rPr>
                <w:rFonts w:ascii="Calibri" w:hAnsi="Calibri"/>
                <w:sz w:val="18"/>
              </w:rPr>
              <w:t xml:space="preserve">10,6%</w:t>
            </w:r>
          </w:p>
        </w:tc>
      </w:tr>
      <w:tr>
        <w:trPr>
          <w:cantSplit/>
        </w:trPr>
        <w:tc>
          <w:tcPr/>
          <w:p>
            <w:pPr>
              <w:pStyle w:val="Compact"/>
              <w:jc w:val="both"/>
            </w:pPr>
            <w:r>
              <w:rPr>
                <w:rFonts w:ascii="Calibri" w:hAnsi="Calibri"/>
                <w:sz w:val="18"/>
              </w:rPr>
              <w:t xml:space="preserve">Contratação de IA sem controle de IA generativa</w:t>
            </w:r>
          </w:p>
        </w:tc>
        <w:tc>
          <w:tcPr/>
          <w:p>
            <w:pPr>
              <w:pStyle w:val="Compact"/>
              <w:jc w:val="both"/>
            </w:pPr>
            <w:r>
              <w:rPr>
                <w:rFonts w:ascii="Calibri" w:hAnsi="Calibri"/>
                <w:sz w:val="18"/>
              </w:rPr>
              <w:t xml:space="preserve">12</w:t>
            </w:r>
          </w:p>
        </w:tc>
        <w:tc>
          <w:tcPr/>
          <w:p>
            <w:pPr>
              <w:pStyle w:val="Compact"/>
              <w:jc w:val="both"/>
            </w:pPr>
            <w:r>
              <w:rPr>
                <w:rFonts w:ascii="Calibri" w:hAnsi="Calibri"/>
                <w:sz w:val="18"/>
              </w:rPr>
              <w:t xml:space="preserve">10,6%</w:t>
            </w:r>
          </w:p>
        </w:tc>
      </w:tr>
      <w:tr>
        <w:trPr>
          <w:cantSplit/>
        </w:trPr>
        <w:tc>
          <w:tcPr/>
          <w:p>
            <w:pPr>
              <w:pStyle w:val="Compact"/>
              <w:jc w:val="both"/>
            </w:pPr>
            <w:r>
              <w:rPr>
                <w:rFonts w:ascii="Calibri" w:hAnsi="Calibri"/>
                <w:sz w:val="18"/>
              </w:rPr>
              <w:t xml:space="preserve">Contratação de IA sem diretrizes formais</w:t>
            </w:r>
          </w:p>
        </w:tc>
        <w:tc>
          <w:tcPr/>
          <w:p>
            <w:pPr>
              <w:pStyle w:val="Compact"/>
              <w:jc w:val="both"/>
            </w:pPr>
            <w:r>
              <w:rPr>
                <w:rFonts w:ascii="Calibri" w:hAnsi="Calibri"/>
                <w:sz w:val="18"/>
              </w:rPr>
              <w:t xml:space="preserve">10</w:t>
            </w:r>
          </w:p>
        </w:tc>
        <w:tc>
          <w:tcPr/>
          <w:p>
            <w:pPr>
              <w:pStyle w:val="Compact"/>
              <w:jc w:val="both"/>
            </w:pPr>
            <w:r>
              <w:rPr>
                <w:rFonts w:ascii="Calibri" w:hAnsi="Calibri"/>
                <w:sz w:val="18"/>
              </w:rPr>
              <w:t xml:space="preserve">8,8%</w:t>
            </w:r>
          </w:p>
        </w:tc>
      </w:tr>
      <w:tr>
        <w:trPr>
          <w:cantSplit/>
        </w:trPr>
        <w:tc>
          <w:tcPr/>
          <w:p>
            <w:pPr>
              <w:pStyle w:val="Compact"/>
              <w:jc w:val="both"/>
            </w:pPr>
            <w:r>
              <w:rPr>
                <w:rFonts w:ascii="Calibri" w:hAnsi="Calibri"/>
                <w:sz w:val="18"/>
              </w:rPr>
              <w:t xml:space="preserve">IA generativa contratada sem diretrizes robustas</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5,3%</w:t>
            </w:r>
          </w:p>
        </w:tc>
      </w:tr>
      <w:tr>
        <w:trPr>
          <w:cantSplit/>
        </w:trPr>
        <w:tc>
          <w:tcPr/>
          <w:p>
            <w:pPr>
              <w:pStyle w:val="Compact"/>
              <w:keepNext/>
              <w:jc w:val="both"/>
            </w:pPr>
            <w:r>
              <w:rPr>
                <w:rFonts w:ascii="Calibri" w:hAnsi="Calibri"/>
                <w:sz w:val="18"/>
              </w:rPr>
              <w:t xml:space="preserve">IA em produção sem diretrizes robustas</w:t>
            </w:r>
          </w:p>
        </w:tc>
        <w:tc>
          <w:tcPr/>
          <w:p>
            <w:pPr>
              <w:pStyle w:val="Compact"/>
              <w:keepNext/>
              <w:jc w:val="both"/>
            </w:pPr>
            <w:r>
              <w:rPr>
                <w:rFonts w:ascii="Calibri" w:hAnsi="Calibri"/>
                <w:sz w:val="18"/>
              </w:rPr>
              <w:t xml:space="preserve">5</w:t>
            </w:r>
          </w:p>
        </w:tc>
        <w:tc>
          <w:tcPr/>
          <w:p>
            <w:pPr>
              <w:pStyle w:val="Compact"/>
              <w:keepNext/>
              <w:jc w:val="both"/>
            </w:pPr>
            <w:r>
              <w:rPr>
                <w:rFonts w:ascii="Calibri" w:hAnsi="Calibri"/>
                <w:sz w:val="18"/>
              </w:rPr>
              <w:t xml:space="preserve">4,4%</w:t>
            </w:r>
          </w:p>
        </w:tc>
      </w:tr>
    </w:tbl>
    <w:p>
      <w:pPr>
        <w:pStyle w:val="FonteImagem"/>
      </w:pPr>
      <w:r>
        <w:t xml:space="preserve">(Fonte: elaboração própria, com base nas respostas atualizadas do questionário iGovTI 2026)</w:t>
      </w:r>
    </w:p>
    <w:p>
      <w:pPr>
        <w:pStyle w:val="Corpodetexto"/>
      </w:pPr>
      <w:r>
        <w:t xml:space="preserve">Os riscos mais relevantes podem ser agrupados em cinco frentes.</w:t>
      </w:r>
    </w:p>
    <w:p>
      <w:pPr>
        <w:pStyle w:val="Corpodetexto"/>
      </w:pPr>
      <w:r>
        <w:t xml:space="preserve">Primeiro, há risco de</w:t>
      </w:r>
      <w:r>
        <w:t xml:space="preserve"> </w:t>
      </w:r>
      <w:r>
        <w:rPr>
          <w:b/>
          <w:bCs/>
        </w:rPr>
        <w:t xml:space="preserve">uso não mapeado de IA generativa</w:t>
      </w:r>
      <w:r>
        <w:t xml:space="preserve">, inclusive por contas pessoais ou ferramentas públicas. Esse risco é relevante mesmo em organizações que declararam não possuir uso institucional, pois pode ocorrer de forma descentralizada, sem conhecimento da alta administração ou da área de TI.</w:t>
      </w:r>
    </w:p>
    <w:p>
      <w:pPr>
        <w:pStyle w:val="Corpodetexto"/>
      </w:pPr>
      <w:r>
        <w:t xml:space="preserve">Segundo, há risco de</w:t>
      </w:r>
      <w:r>
        <w:t xml:space="preserve"> </w:t>
      </w:r>
      <w:r>
        <w:rPr>
          <w:b/>
          <w:bCs/>
        </w:rPr>
        <w:t xml:space="preserve">exposição de dados institucionais, pessoais ou sensíveis em prompts</w:t>
      </w:r>
      <w:r>
        <w:t xml:space="preserve">. A ausência de regras claras sobre quais dados podem ser utilizados em ferramentas de IA, especialmente generativa, pode gerar violação de sigilo, descumprimento da LGPD, perda de controle sobre informações e responsabilização institucional.</w:t>
      </w:r>
    </w:p>
    <w:p>
      <w:pPr>
        <w:pStyle w:val="Corpodetexto"/>
      </w:pPr>
      <w:r>
        <w:t xml:space="preserve">Terceiro, há risco de</w:t>
      </w:r>
      <w:r>
        <w:t xml:space="preserve"> </w:t>
      </w:r>
      <w:r>
        <w:rPr>
          <w:b/>
          <w:bCs/>
        </w:rPr>
        <w:t xml:space="preserve">adoção de IA sem avaliação prévia de riscos, testes e validações</w:t>
      </w:r>
      <w:r>
        <w:t xml:space="preserve">. Soluções de IA podem produzir respostas incorretas, enviesadas, instáveis ou inadequadas ao contexto público. Sem validação formal, a organização pode incorporar resultados automatizados sem compreender limites, premissas e riscos do modelo.</w:t>
      </w:r>
    </w:p>
    <w:p>
      <w:pPr>
        <w:pStyle w:val="Corpodetexto"/>
      </w:pPr>
      <w:r>
        <w:t xml:space="preserve">Quarto, há risco de</w:t>
      </w:r>
      <w:r>
        <w:t xml:space="preserve"> </w:t>
      </w:r>
      <w:r>
        <w:rPr>
          <w:b/>
          <w:bCs/>
        </w:rPr>
        <w:t xml:space="preserve">decisões ou serviços apoiados por IA sem revisão humana adequada</w:t>
      </w:r>
      <w:r>
        <w:t xml:space="preserve">. Esse ponto é especialmente sensível quando a IA influencia atendimento ao cidadão, análise de requerimentos, priorização de demandas, fiscalização, concessão de benefícios, processos sancionatórios ou decisões que afetem direitos.</w:t>
      </w:r>
    </w:p>
    <w:p>
      <w:pPr>
        <w:pStyle w:val="Corpodetexto"/>
      </w:pPr>
      <w:r>
        <w:t xml:space="preserve">Quinto, há risco de</w:t>
      </w:r>
      <w:r>
        <w:t xml:space="preserve"> </w:t>
      </w:r>
      <w:r>
        <w:rPr>
          <w:b/>
          <w:bCs/>
        </w:rPr>
        <w:t xml:space="preserve">contratações de IA sem requisitos suficientes de governança, auditoria, transparência, segurança, proteção de dados e fiscalização contratual</w:t>
      </w:r>
      <w:r>
        <w:t xml:space="preserve">. A contratação de soluções de IA exige atenção a requisitos que nem sempre estão presentes em contratações tradicionais de software, como explicabilidade, registros de auditoria, uso dos dados pelo fornecedor, testes de desempenho, supervisão humana, monitoramento de vieses, cláusulas de confidencialidade e responsabilidades por erros.</w:t>
      </w:r>
    </w:p>
    <w:bookmarkEnd w:id="28"/>
    <w:bookmarkStart w:id="29" w:name="X0aaa644395d8a9d70d5c2bfe58b64edef38c281"/>
    <w:p>
      <w:pPr>
        <w:pStyle w:val="Ttulo1"/>
      </w:pPr>
      <w:r>
        <w:t xml:space="preserve">10. Organizações com sinais de maior maturidade</w:t>
      </w:r>
    </w:p>
    <w:p>
      <w:pPr>
        <w:pStyle w:val="FirstParagraph"/>
      </w:pPr>
      <w:r>
        <w:t xml:space="preserve">Foram identificadas</w:t>
      </w:r>
      <w:r>
        <w:t xml:space="preserve"> </w:t>
      </w:r>
      <w:r>
        <w:rPr>
          <w:b/>
          <w:bCs/>
        </w:rPr>
        <w:t xml:space="preserve">8 organizações</w:t>
      </w:r>
      <w:r>
        <w:t xml:space="preserve"> </w:t>
      </w:r>
      <w:r>
        <w:t xml:space="preserve">que combinaram adoção parcial ou superior de IA, diretrizes parciais ou superiores e algum grau de controle sobre IA generativa:</w:t>
      </w:r>
      <w:r>
        <w:t xml:space="preserve"> </w:t>
      </w:r>
      <w:r>
        <w:rPr>
          <w:b/>
          <w:bCs/>
        </w:rPr>
        <w:t xml:space="preserve">AGERIO, JUCERJA, PGE, SEFAZ, SES, SETD, TCE-RJ e TJRJ</w:t>
      </w:r>
      <w:r>
        <w:t xml:space="preserve">.</w:t>
      </w:r>
    </w:p>
    <w:p>
      <w:pPr>
        <w:pStyle w:val="Corpodetexto"/>
      </w:pPr>
      <w:r>
        <w:t xml:space="preserve">Essa identificação não deve ser lida como ranking de desempenho nem como certificação de conformidade. Ela apenas indica que, pelas respostas finais ao questionário, essas organizações declararam combinação mais consistente entre uso, governança e controle. Ainda assim, cada caso dependeria de fiscalização específica para avaliar suficiência das evidências, efetividade dos controles, riscos dos casos de uso, aderência contratual, tratamento de dados e supervisão humana.</w:t>
      </w:r>
    </w:p>
    <w:p>
      <w:pPr>
        <w:pStyle w:val="Corpodetexto"/>
      </w:pPr>
      <w:r>
        <w:t xml:space="preserve">Entre essas organizações, há diferentes perfis: algumas declararam contratações de soluções ou serviços de IA; outras indicaram desenvolvimento próprio, uso em produção, diretrizes institucionais ou controles sobre ferramentas generativas. Esse conjunto pode servir como ponto de partida para estudos de boas práticas, desde que as experiências sejam validadas e contextualizadas antes de eventual disseminação.</w:t>
      </w:r>
    </w:p>
    <w:bookmarkEnd w:id="29"/>
    <w:bookmarkStart w:id="30" w:name="próximos-passos-de-controle"/>
    <w:p>
      <w:pPr>
        <w:pStyle w:val="Ttulo1"/>
      </w:pPr>
      <w:r>
        <w:t xml:space="preserve">11. Próximos passos de controle</w:t>
      </w:r>
    </w:p>
    <w:p>
      <w:pPr>
        <w:pStyle w:val="FirstParagraph"/>
      </w:pPr>
      <w:r>
        <w:t xml:space="preserve">Os resultados indicam oportunidades relevantes de atuação do TCE-RJ e de aprimoramento pelos jurisdicionados. As medidas abaixo não configuram determinações individualizadas, mas linhas de ação possíveis para endereçar os riscos diagnosticados.</w:t>
      </w:r>
    </w:p>
    <w:p>
      <w:pPr>
        <w:pStyle w:val="Corpodetexto"/>
      </w:pPr>
      <w:r>
        <w:t xml:space="preserve">Uma primeira linha de atuação consiste em realizar</w:t>
      </w:r>
      <w:r>
        <w:t xml:space="preserve"> </w:t>
      </w:r>
      <w:r>
        <w:rPr>
          <w:b/>
          <w:bCs/>
        </w:rPr>
        <w:t xml:space="preserve">fiscalizações específicas sobre governança de IA</w:t>
      </w:r>
      <w:r>
        <w:t xml:space="preserve">, priorizando organizações que declararam uso institucional, IA em produção, contratação de IA generativa ou contratação de serviços especializados sem diretrizes e controles compatíveis. Essas fiscalizações poderiam verificar inventário de soluções, casos de uso, bases de dados utilizadas, contratos, avaliação de riscos, validação de modelos, registros de auditoria, revisão humana e transparência ao usuário.</w:t>
      </w:r>
    </w:p>
    <w:p>
      <w:pPr>
        <w:pStyle w:val="Corpodetexto"/>
      </w:pPr>
      <w:r>
        <w:t xml:space="preserve">Outra frente consiste em promover</w:t>
      </w:r>
      <w:r>
        <w:t xml:space="preserve"> </w:t>
      </w:r>
      <w:r>
        <w:rPr>
          <w:b/>
          <w:bCs/>
        </w:rPr>
        <w:t xml:space="preserve">levantamentos periódicos sobre maturidade em IA</w:t>
      </w:r>
      <w:r>
        <w:t xml:space="preserve">, acompanhando a evolução da adoção, das diretrizes institucionais, dos controles de IA generativa e das contratações. Esse acompanhamento permitiria diferenciar organizações que estão apenas experimentando ferramentas de produtividade daquelas que já utilizam IA em processos críticos ou serviços ao cidadão.</w:t>
      </w:r>
    </w:p>
    <w:p>
      <w:pPr>
        <w:pStyle w:val="Corpodetexto"/>
      </w:pPr>
      <w:r>
        <w:t xml:space="preserve">Também se recomenda avaliar a realização de</w:t>
      </w:r>
      <w:r>
        <w:t xml:space="preserve"> </w:t>
      </w:r>
      <w:r>
        <w:rPr>
          <w:b/>
          <w:bCs/>
        </w:rPr>
        <w:t xml:space="preserve">capacitações</w:t>
      </w:r>
      <w:r>
        <w:t xml:space="preserve"> </w:t>
      </w:r>
      <w:r>
        <w:t xml:space="preserve">para gestores de TI, segurança da informação, controle interno, áreas finalísticas e equipes de contratação. Os temas prioritários incluem: governança de IA, proteção de dados em prompts, LGPD, riscos de IA generativa, supervisão humana, validação de resultados, requisitos técnicos de contratação, fiscalização de contratos e responsabilização por decisões apoiadas por IA.</w:t>
      </w:r>
    </w:p>
    <w:p>
      <w:pPr>
        <w:pStyle w:val="Corpodetexto"/>
      </w:pPr>
      <w:r>
        <w:t xml:space="preserve">Além disso, o TCE-RJ pode promover</w:t>
      </w:r>
      <w:r>
        <w:t xml:space="preserve"> </w:t>
      </w:r>
      <w:r>
        <w:rPr>
          <w:b/>
          <w:bCs/>
        </w:rPr>
        <w:t xml:space="preserve">workshops orientativos</w:t>
      </w:r>
      <w:r>
        <w:t xml:space="preserve"> </w:t>
      </w:r>
      <w:r>
        <w:t xml:space="preserve">com jurisdicionados para discutir casos de uso, dificuldades de contratação, modelos de controle, requisitos mínimos e experiências práticas. Esses encontros podem reduzir assimetria de conhecimento, melhorar a qualidade das contratações e prevenir a adoção de soluções sem governança proporcional.</w:t>
      </w:r>
    </w:p>
    <w:p>
      <w:pPr>
        <w:pStyle w:val="Corpodetexto"/>
      </w:pPr>
      <w:r>
        <w:t xml:space="preserve">Outra medida útil é a elaboração de</w:t>
      </w:r>
      <w:r>
        <w:t xml:space="preserve"> </w:t>
      </w:r>
      <w:r>
        <w:rPr>
          <w:b/>
          <w:bCs/>
        </w:rPr>
        <w:t xml:space="preserve">guias, checklists ou modelos mínimos</w:t>
      </w:r>
      <w:r>
        <w:t xml:space="preserve"> </w:t>
      </w:r>
      <w:r>
        <w:t xml:space="preserve">para apoiar os jurisdicionados. Esses instrumentos poderiam tratar de política institucional de IA, inventário de soluções, homologação de ferramentas generativas, avaliação de riscos, uso de dados sensíveis, cláusulas contratuais, critérios de validação, revisão humana, transparência ao usuário e registros de auditoria.</w:t>
      </w:r>
    </w:p>
    <w:p>
      <w:pPr>
        <w:pStyle w:val="Corpodetexto"/>
      </w:pPr>
      <w:r>
        <w:t xml:space="preserve">Também é recomendável induzir a criação de</w:t>
      </w:r>
      <w:r>
        <w:t xml:space="preserve"> </w:t>
      </w:r>
      <w:r>
        <w:rPr>
          <w:b/>
          <w:bCs/>
        </w:rPr>
        <w:t xml:space="preserve">inventário institucional de soluções de IA e ferramentas generativas utilizadas</w:t>
      </w:r>
      <w:r>
        <w:t xml:space="preserve">, incluindo ferramentas públicas acessadas na rede corporativa, soluções contratadas, funcionalidades de IA embutidas em softwares de mercado, soluções desenvolvidas internamente e usos experimentais. Sem inventário, a organização não dispõe de base mínima para avaliar riscos, custos, dependências, dados tratados ou responsabilidades.</w:t>
      </w:r>
    </w:p>
    <w:p>
      <w:pPr>
        <w:pStyle w:val="Corpodetexto"/>
      </w:pPr>
      <w:r>
        <w:t xml:space="preserve">Por fim, pode-se avaliar a construção de uma</w:t>
      </w:r>
      <w:r>
        <w:t xml:space="preserve"> </w:t>
      </w:r>
      <w:r>
        <w:rPr>
          <w:b/>
          <w:bCs/>
        </w:rPr>
        <w:t xml:space="preserve">agenda de controle orientada por risco</w:t>
      </w:r>
      <w:r>
        <w:t xml:space="preserve">, concentrando ações em quatro temas prioritários: IA generativa e dados em prompts; contratações de IA; IA em produção com impacto sobre cidadãos; e ausência de avaliação de riscos, validação e revisão humana. Essa priorização é compatível com o estágio inicial identificado no diagnóstico e evita tratar todos os usos de IA com o mesmo nível de risco.</w:t>
      </w:r>
    </w:p>
    <w:bookmarkEnd w:id="30"/>
    <w:bookmarkStart w:id="31" w:name="conclusão"/>
    <w:p>
      <w:pPr>
        <w:pStyle w:val="Ttulo1"/>
      </w:pPr>
      <w:r>
        <w:t xml:space="preserve">12. Conclusão</w:t>
      </w:r>
    </w:p>
    <w:p>
      <w:pPr>
        <w:pStyle w:val="FirstParagraph"/>
      </w:pPr>
      <w:r>
        <w:t xml:space="preserve">O diagnóstico evidencia que a inteligência artificial ainda se encontra em estágio inicial de institucionalização na maior parte dos auditados do TCE-RJ. Apenas</w:t>
      </w:r>
      <w:r>
        <w:t xml:space="preserve"> </w:t>
      </w:r>
      <w:r>
        <w:rPr>
          <w:b/>
          <w:bCs/>
        </w:rPr>
        <w:t xml:space="preserve">28,3%</w:t>
      </w:r>
      <w:r>
        <w:t xml:space="preserve"> </w:t>
      </w:r>
      <w:r>
        <w:t xml:space="preserve">declararam algum grau de uso institucional, decisão formal ou plano para IA, e somente</w:t>
      </w:r>
      <w:r>
        <w:t xml:space="preserve"> </w:t>
      </w:r>
      <w:r>
        <w:rPr>
          <w:b/>
          <w:bCs/>
        </w:rPr>
        <w:t xml:space="preserve">14,2%</w:t>
      </w:r>
      <w:r>
        <w:t xml:space="preserve"> </w:t>
      </w:r>
      <w:r>
        <w:t xml:space="preserve">declararam adoção parcial ou em maior parte/total. As diretrizes e controles aparecem em proporções ainda menores:</w:t>
      </w:r>
      <w:r>
        <w:t xml:space="preserve"> </w:t>
      </w:r>
      <w:r>
        <w:rPr>
          <w:b/>
          <w:bCs/>
        </w:rPr>
        <w:t xml:space="preserve">9,7%</w:t>
      </w:r>
      <w:r>
        <w:t xml:space="preserve"> </w:t>
      </w:r>
      <w:r>
        <w:t xml:space="preserve">declararam diretrizes de IA em nível parcial ou superior, e</w:t>
      </w:r>
      <w:r>
        <w:t xml:space="preserve"> </w:t>
      </w:r>
      <w:r>
        <w:rPr>
          <w:b/>
          <w:bCs/>
        </w:rPr>
        <w:t xml:space="preserve">9,7%</w:t>
      </w:r>
      <w:r>
        <w:t xml:space="preserve"> </w:t>
      </w:r>
      <w:r>
        <w:t xml:space="preserve">declararam controles de IA generativa em nível parcial ou superior.</w:t>
      </w:r>
    </w:p>
    <w:p>
      <w:pPr>
        <w:pStyle w:val="Corpodetexto"/>
      </w:pPr>
      <w:r>
        <w:t xml:space="preserve">Esse cenário combina dois movimentos relevantes: de um lado, há baixa maturidade formal; de outro, as respostas abertas indicam usos, experimentações, contratações, ferramentas de apoio textual, assistentes, automações e projetos em desenvolvimento. A principal preocupação decorre justamente dessa combinação: a IA pode estar sendo utilizada ou experimentada antes da consolidação de políticas, inventários, regras de dados, controles técnicos, avaliação de riscos e supervisão humana.</w:t>
      </w:r>
    </w:p>
    <w:p>
      <w:pPr>
        <w:pStyle w:val="Corpodetexto"/>
      </w:pPr>
      <w:r>
        <w:t xml:space="preserve">Assim, o principal desafio para os próximos ciclos de controle não é apenas verificar se os auditados usam IA, mas avaliar</w:t>
      </w:r>
      <w:r>
        <w:t xml:space="preserve"> </w:t>
      </w:r>
      <w:r>
        <w:rPr>
          <w:b/>
          <w:bCs/>
        </w:rPr>
        <w:t xml:space="preserve">como</w:t>
      </w:r>
      <w:r>
        <w:t xml:space="preserve"> </w:t>
      </w:r>
      <w:r>
        <w:t xml:space="preserve">usam,</w:t>
      </w:r>
      <w:r>
        <w:t xml:space="preserve"> </w:t>
      </w:r>
      <w:r>
        <w:rPr>
          <w:b/>
          <w:bCs/>
        </w:rPr>
        <w:t xml:space="preserve">com quais dados</w:t>
      </w:r>
      <w:r>
        <w:t xml:space="preserve">,</w:t>
      </w:r>
      <w:r>
        <w:t xml:space="preserve"> </w:t>
      </w:r>
      <w:r>
        <w:rPr>
          <w:b/>
          <w:bCs/>
        </w:rPr>
        <w:t xml:space="preserve">sob quais regras</w:t>
      </w:r>
      <w:r>
        <w:t xml:space="preserve">,</w:t>
      </w:r>
      <w:r>
        <w:t xml:space="preserve"> </w:t>
      </w:r>
      <w:r>
        <w:rPr>
          <w:b/>
          <w:bCs/>
        </w:rPr>
        <w:t xml:space="preserve">com que validação</w:t>
      </w:r>
      <w:r>
        <w:t xml:space="preserve">,</w:t>
      </w:r>
      <w:r>
        <w:t xml:space="preserve"> </w:t>
      </w:r>
      <w:r>
        <w:rPr>
          <w:b/>
          <w:bCs/>
        </w:rPr>
        <w:t xml:space="preserve">com qual transparência</w:t>
      </w:r>
      <w:r>
        <w:t xml:space="preserve"> </w:t>
      </w:r>
      <w:r>
        <w:t xml:space="preserve">e</w:t>
      </w:r>
      <w:r>
        <w:t xml:space="preserve"> </w:t>
      </w:r>
      <w:r>
        <w:rPr>
          <w:b/>
          <w:bCs/>
        </w:rPr>
        <w:t xml:space="preserve">com que responsabilidade institucional</w:t>
      </w:r>
      <w:r>
        <w:t xml:space="preserve">. O tema exige atuação preventiva e orientativa, sem prejuízo de fiscalizações específicas quando o uso de IA envolver dados sensíveis, serviços críticos, contratações relevantes ou decisões que afetem direitos de cidadãos.</w:t>
      </w:r>
    </w:p>
    <w:bookmarkEnd w:id="31"/>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sdt>
      <w:sdtPr>
        <w:id w:val="164362300"/>
        <w:docPartObj>
          <w:docPartGallery w:val="Watermarks"/>
          <w:docPartUnique/>
        </w:docPartObj>
      </w:sdtPr>
      <w:sdtEndPr/>
      <w:sdtContent>
        <w:r>
          <w:pict w14:anchorId="1C2ACF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714346" o:spid="_x0000_s2055" type="#_x0000_t136" style="position:absolute;left:0;text-align:left;margin-left:0;margin-top:0;width:465.1pt;height:174.4pt;rotation:315;z-index:-251649024;mso-position-horizontal:center;mso-position-horizontal-relative:margin;mso-position-vertical:center;mso-position-vertical-relative:margin" o:allowincell="f" fillcolor="silver" stroked="f">
              <v:fill opacity=".5"/>
              <v:textpath style="font-family:&quot;calibri&quot;;font-size:1pt" string="SIGILOSO"/>
              <w10:wrap anchorx="margin" anchory="margin"/>
            </v:shape>
          </w:pict>
        </w:r>
      </w:sdtContent>
    </w:sdt>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header" Target="header1.xml"/><Relationship Id="rId19" Type="http://schemas.openxmlformats.org/officeDocument/2006/relationships/image" Target="media/rId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Cenário de utilização de IA no ERJ</dc:title>
  <dc:creator/>
  <dc:language>pt-BR</dc:language>
  <cp:keywords/>
  <dcterms:created xsi:type="dcterms:W3CDTF">2026-07-19T13:59:13Z</dcterms:created>
  <dcterms:modified xsi:type="dcterms:W3CDTF">2026-07-19T13:59:13Z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ies>
</file>