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FDBFE" w14:textId="77777777" w:rsidR="002D2D31" w:rsidRDefault="002D2D31" w:rsidP="001E6730">
      <w:pPr>
        <w:jc w:val="center"/>
        <w:rPr>
          <w:rFonts w:ascii="Arial" w:hAnsi="Arial" w:cs="Arial"/>
          <w:b/>
        </w:rPr>
      </w:pPr>
    </w:p>
    <w:p w14:paraId="37E75FF0" w14:textId="77777777" w:rsidR="00AE7776" w:rsidRDefault="002D2D31" w:rsidP="001E6730">
      <w:pPr>
        <w:jc w:val="center"/>
        <w:rPr>
          <w:rFonts w:ascii="Arial" w:hAnsi="Arial" w:cs="Arial"/>
          <w:b/>
        </w:rPr>
      </w:pPr>
      <w:r>
        <w:rPr>
          <w:rFonts w:ascii="Arial" w:hAnsi="Arial" w:cs="Arial"/>
          <w:b/>
        </w:rPr>
        <w:t>MATRIZ DE ACHADOS</w:t>
      </w:r>
    </w:p>
    <w:p w14:paraId="42584AA9" w14:textId="77777777" w:rsidR="00644DA6" w:rsidRDefault="00644DA6" w:rsidP="001E6730">
      <w:pPr>
        <w:jc w:val="center"/>
        <w:rPr>
          <w:rFonts w:ascii="Arial" w:hAnsi="Arial" w:cs="Arial"/>
          <w:b/>
        </w:rPr>
      </w:pP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4A3674" w:rsidRPr="00636B72" w14:paraId="08F5CB99" w14:textId="77777777" w:rsidTr="004A3674">
        <w:trPr>
          <w:trHeight w:val="300"/>
          <w:tblHeader/>
        </w:trPr>
        <w:tc>
          <w:tcPr>
            <w:tcW w:w="473" w:type="pct"/>
          </w:tcPr>
          <w:p w14:paraId="50351261" w14:textId="77777777" w:rsidR="004A3674" w:rsidRPr="00636B72" w:rsidRDefault="004A367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ACHADO</w:t>
            </w:r>
          </w:p>
        </w:tc>
        <w:tc>
          <w:tcPr>
            <w:tcW w:w="752" w:type="pct"/>
            <w:vAlign w:val="center"/>
          </w:tcPr>
          <w:p w14:paraId="1F0EFD0A" w14:textId="77777777" w:rsidR="004A3674" w:rsidRPr="00636B72" w:rsidRDefault="004A367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1D0E2E65"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4416904A" w14:textId="77777777" w:rsidR="004A3674" w:rsidRPr="00636B72" w:rsidRDefault="004A367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0AA382E"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0D3A19A0" w14:textId="77777777" w:rsidR="004A3674" w:rsidRPr="00636B72" w:rsidRDefault="004A3674">
            <w:pPr>
              <w:spacing w:before="40" w:after="60"/>
              <w:jc w:val="center"/>
              <w:rPr>
                <w:rFonts w:ascii="Arial" w:hAnsi="Arial" w:cs="Arial"/>
                <w:b/>
                <w:bCs/>
                <w:sz w:val="16"/>
                <w:szCs w:val="16"/>
              </w:rPr>
            </w:pPr>
            <w:r>
              <w:rPr>
                <w:rFonts w:ascii="Arial" w:hAnsi="Arial" w:cs="Arial"/>
                <w:b/>
                <w:bCs/>
                <w:sz w:val="16"/>
                <w:szCs w:val="16"/>
              </w:rPr>
              <w:t>ENCAMINHAMENTO</w:t>
            </w:r>
          </w:p>
        </w:tc>
      </w:tr>
      <w:tr w:rsidR="00C6354A" w:rsidRPr="00636B72" w14:paraId="23EC5547" w14:textId="77777777" w:rsidTr="004A3674">
        <w:trPr>
          <w:trHeight w:val="300"/>
        </w:trPr>
        <w:tc>
          <w:tcPr>
            <w:tcW w:w="473" w:type="pct"/>
          </w:tcPr>
          <w:p w14:paraId="58905019" w14:textId="77777777" w:rsidR="0033067B" w:rsidRDefault="00581C72">
            <w:pPr>
              <w:spacing w:after="60"/>
              <w:jc w:val="both"/>
              <w:rPr>
                <w:rFonts w:ascii="Arial" w:hAnsi="Arial" w:cs="Arial"/>
                <w:b/>
                <w:bCs/>
                <w:sz w:val="18"/>
                <w:szCs w:val="18"/>
              </w:rPr>
            </w:pPr>
            <w:r>
              <w:rPr>
                <w:rFonts w:ascii="Arial" w:hAnsi="Arial" w:cs="Arial"/>
                <w:b/>
                <w:bCs/>
                <w:sz w:val="18"/>
                <w:szCs w:val="18"/>
              </w:rPr>
              <w:t>ACHADO 01</w:t>
            </w:r>
          </w:p>
          <w:p w14:paraId="335DACAB" w14:textId="77777777" w:rsidR="0033067B" w:rsidRDefault="0033067B">
            <w:pPr>
              <w:spacing w:after="60"/>
              <w:jc w:val="both"/>
              <w:rPr>
                <w:rFonts w:ascii="Arial" w:hAnsi="Arial" w:cs="Arial"/>
                <w:b/>
                <w:bCs/>
                <w:sz w:val="18"/>
                <w:szCs w:val="18"/>
              </w:rPr>
            </w:pPr>
          </w:p>
          <w:p w14:paraId="2BB5F0F1" w14:textId="77777777" w:rsidR="0033067B" w:rsidRDefault="00581C72">
            <w:pPr>
              <w:spacing w:after="60"/>
              <w:jc w:val="both"/>
              <w:rPr>
                <w:rFonts w:ascii="Arial" w:hAnsi="Arial" w:cs="Arial"/>
                <w:b/>
                <w:bCs/>
                <w:sz w:val="18"/>
                <w:szCs w:val="18"/>
              </w:rPr>
            </w:pPr>
            <w:r>
              <w:rPr>
                <w:rFonts w:ascii="Arial" w:hAnsi="Arial" w:cs="Arial"/>
                <w:sz w:val="18"/>
                <w:szCs w:val="18"/>
              </w:rPr>
              <w:t>Estrutura de TIC insuficiente para coordenar, gerir e sustentar a tecnologia da informação</w:t>
            </w:r>
          </w:p>
        </w:tc>
        <w:tc>
          <w:tcPr>
            <w:tcW w:w="752" w:type="pct"/>
          </w:tcPr>
          <w:p w14:paraId="7DE918B3"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APO01.04 - Definir e implementar as estruturas organizacionais:</w:t>
            </w:r>
            <w:r>
              <w:rPr>
                <w:rFonts w:ascii="Arial" w:hAnsi="Arial" w:cs="Arial"/>
                <w:sz w:val="18"/>
                <w:szCs w:val="18"/>
              </w:rPr>
              <w:t xml:space="preserve"> estabelecer estruturas organizacionais internas e externas necessárias para apoiar os objetivos de governança e gestão de TI.</w:t>
            </w:r>
          </w:p>
          <w:p w14:paraId="72659258" w14:textId="77777777" w:rsidR="0033067B" w:rsidRDefault="0033067B">
            <w:pPr>
              <w:jc w:val="both"/>
              <w:rPr>
                <w:rFonts w:ascii="Arial" w:hAnsi="Arial" w:cs="Arial"/>
                <w:sz w:val="18"/>
                <w:szCs w:val="18"/>
                <w:vertAlign w:val="superscript"/>
              </w:rPr>
            </w:pPr>
          </w:p>
          <w:p w14:paraId="3DAC3BF8"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APO01.09 - Definição e comunicação de políticas e procedimentos:</w:t>
            </w:r>
            <w:r>
              <w:rPr>
                <w:rFonts w:ascii="Arial" w:hAnsi="Arial" w:cs="Arial"/>
                <w:sz w:val="18"/>
                <w:szCs w:val="18"/>
              </w:rPr>
              <w:t xml:space="preserve"> estabelecer e comunicar políticas e procedimentos de gestão de TI que orientem papéis, responsabilidades e controles.</w:t>
            </w:r>
          </w:p>
          <w:p w14:paraId="138578A1" w14:textId="77777777" w:rsidR="0033067B" w:rsidRDefault="0033067B">
            <w:pPr>
              <w:jc w:val="both"/>
              <w:rPr>
                <w:rFonts w:ascii="Arial" w:hAnsi="Arial" w:cs="Arial"/>
                <w:sz w:val="18"/>
                <w:szCs w:val="18"/>
                <w:vertAlign w:val="superscript"/>
              </w:rPr>
            </w:pPr>
          </w:p>
          <w:p w14:paraId="027182AC" w14:textId="77777777" w:rsidR="0033067B" w:rsidRDefault="00581C72">
            <w:pPr>
              <w:jc w:val="both"/>
              <w:rPr>
                <w:rFonts w:ascii="Arial" w:hAnsi="Arial" w:cs="Arial"/>
                <w:sz w:val="18"/>
                <w:szCs w:val="18"/>
                <w:vertAlign w:val="superscript"/>
              </w:rPr>
            </w:pPr>
            <w:r>
              <w:rPr>
                <w:rFonts w:ascii="Arial" w:hAnsi="Arial" w:cs="Arial"/>
                <w:b/>
                <w:sz w:val="18"/>
                <w:szCs w:val="18"/>
              </w:rPr>
              <w:t>ABNT NBR ISO/IEC 38500:</w:t>
            </w:r>
            <w:r>
              <w:rPr>
                <w:rFonts w:ascii="Arial" w:hAnsi="Arial" w:cs="Arial"/>
                <w:sz w:val="18"/>
                <w:szCs w:val="18"/>
              </w:rPr>
              <w:t xml:space="preserve"> 2025, item 5.6.1 - Governança efetiva de TI: responsabilização clara, estrutura adequada de tomada de decisão e direção organizacional compatível com o uso atual e futuro da tecnologia.</w:t>
            </w:r>
          </w:p>
          <w:p w14:paraId="57AEAD37" w14:textId="77777777" w:rsidR="0033067B" w:rsidRDefault="0033067B">
            <w:pPr>
              <w:jc w:val="both"/>
              <w:rPr>
                <w:rFonts w:ascii="Arial" w:hAnsi="Arial" w:cs="Arial"/>
                <w:sz w:val="18"/>
                <w:szCs w:val="18"/>
                <w:vertAlign w:val="superscript"/>
              </w:rPr>
            </w:pPr>
          </w:p>
          <w:p w14:paraId="633801AE"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w:t>
            </w:r>
          </w:p>
          <w:p w14:paraId="76A553DD" w14:textId="77777777" w:rsidR="0033067B" w:rsidRDefault="0033067B">
            <w:pPr>
              <w:jc w:val="both"/>
              <w:rPr>
                <w:rFonts w:ascii="Arial" w:hAnsi="Arial" w:cs="Arial"/>
                <w:sz w:val="18"/>
                <w:szCs w:val="18"/>
                <w:vertAlign w:val="superscript"/>
              </w:rPr>
            </w:pPr>
          </w:p>
          <w:p w14:paraId="3F8F3574"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APO01.06 - Aprimorar o posicionamento da função de TI:</w:t>
            </w:r>
            <w:r>
              <w:rPr>
                <w:rFonts w:ascii="Arial" w:hAnsi="Arial" w:cs="Arial"/>
                <w:sz w:val="18"/>
                <w:szCs w:val="18"/>
              </w:rPr>
              <w:t xml:space="preserve"> posicionar a função de tecnologia de modo compatível com sua relevância estratégica, responsabilidades e necessidade de interação com a alta administração.</w:t>
            </w:r>
          </w:p>
          <w:p w14:paraId="740279D4" w14:textId="77777777" w:rsidR="0033067B" w:rsidRDefault="0033067B">
            <w:pPr>
              <w:jc w:val="both"/>
              <w:rPr>
                <w:rFonts w:ascii="Arial" w:hAnsi="Arial" w:cs="Arial"/>
                <w:sz w:val="18"/>
                <w:szCs w:val="18"/>
                <w:vertAlign w:val="superscript"/>
              </w:rPr>
            </w:pPr>
          </w:p>
          <w:p w14:paraId="1E08C04A" w14:textId="77777777" w:rsidR="0033067B" w:rsidRDefault="00581C72">
            <w:pPr>
              <w:jc w:val="both"/>
              <w:rPr>
                <w:rFonts w:ascii="Arial" w:hAnsi="Arial" w:cs="Arial"/>
                <w:sz w:val="18"/>
                <w:szCs w:val="18"/>
                <w:vertAlign w:val="superscript"/>
              </w:rPr>
            </w:pPr>
            <w:r>
              <w:rPr>
                <w:rFonts w:ascii="Arial" w:hAnsi="Arial" w:cs="Arial"/>
                <w:b/>
                <w:sz w:val="18"/>
                <w:szCs w:val="18"/>
              </w:rPr>
              <w:t>Portaria SGD/ME nº 778/2019, art. 4º, § 1º - Referência de posicionamento organizacional:</w:t>
            </w:r>
            <w:r>
              <w:rPr>
                <w:rFonts w:ascii="Arial" w:hAnsi="Arial" w:cs="Arial"/>
                <w:sz w:val="18"/>
                <w:szCs w:val="18"/>
              </w:rPr>
              <w:t xml:space="preserve"> para a obtenção de melhores resultados, a área de TIC de cada órgão ou entidade deve, preferencialmente, estar vinculada à alta administração, com o intuito de apoiá-la na tomada de decisões e no alcance dos objetivos estratégicos.</w:t>
            </w:r>
          </w:p>
        </w:tc>
        <w:tc>
          <w:tcPr>
            <w:tcW w:w="752" w:type="pct"/>
          </w:tcPr>
          <w:p w14:paraId="50C59D8A"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48399BFC" w14:textId="77777777" w:rsidR="0033067B" w:rsidRDefault="0033067B">
            <w:pPr>
              <w:spacing w:after="60"/>
              <w:jc w:val="both"/>
              <w:rPr>
                <w:rFonts w:ascii="Arial" w:hAnsi="Arial" w:cs="Arial"/>
                <w:sz w:val="18"/>
                <w:szCs w:val="18"/>
              </w:rPr>
            </w:pPr>
          </w:p>
          <w:p w14:paraId="6521FF1E"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formalização da área, unidade, setor ou função de TIC.</w:t>
            </w:r>
          </w:p>
          <w:p w14:paraId="6445034E"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incompatibilidade ou insuficiência de evidência que formalize a área, unidade, setor ou função de TIC.</w:t>
            </w:r>
          </w:p>
          <w:p w14:paraId="469CA645"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atribuições formalizadas da área de TIC.</w:t>
            </w:r>
          </w:p>
          <w:p w14:paraId="02A3843B" w14:textId="77777777" w:rsidR="0033067B" w:rsidRDefault="00581C72">
            <w:pPr>
              <w:spacing w:after="60"/>
              <w:jc w:val="both"/>
              <w:rPr>
                <w:rFonts w:ascii="Arial" w:hAnsi="Arial" w:cs="Arial"/>
                <w:sz w:val="18"/>
                <w:szCs w:val="18"/>
              </w:rPr>
            </w:pPr>
            <w:r>
              <w:rPr>
                <w:rFonts w:ascii="Arial" w:hAnsi="Arial" w:cs="Arial"/>
                <w:sz w:val="18"/>
                <w:szCs w:val="18"/>
              </w:rPr>
              <w:t>d) Ausência, desatualização, incompatibilidade ou insuficiência de evidência que defina atribuições essenciais da área de TIC, como governança, planejamento, gestão, sustentação tecnológica, sistemas, segurança da informação, contratos, dados ou atividades correlatas.</w:t>
            </w:r>
          </w:p>
          <w:p w14:paraId="561472C5" w14:textId="77777777" w:rsidR="0033067B" w:rsidRDefault="00581C72">
            <w:pPr>
              <w:spacing w:after="60"/>
              <w:jc w:val="both"/>
              <w:rPr>
                <w:rFonts w:ascii="Arial" w:hAnsi="Arial" w:cs="Arial"/>
                <w:sz w:val="18"/>
                <w:szCs w:val="18"/>
              </w:rPr>
            </w:pPr>
            <w:r>
              <w:rPr>
                <w:rFonts w:ascii="Arial" w:hAnsi="Arial" w:cs="Arial"/>
                <w:sz w:val="18"/>
                <w:szCs w:val="18"/>
              </w:rPr>
              <w:t>e) Resposta que indique posicionamento inexistente ou incompatível da área de TIC.</w:t>
            </w:r>
          </w:p>
          <w:p w14:paraId="6983D744" w14:textId="77777777" w:rsidR="0033067B" w:rsidRDefault="00581C72">
            <w:pPr>
              <w:spacing w:after="60"/>
              <w:jc w:val="both"/>
              <w:rPr>
                <w:rFonts w:ascii="Arial" w:hAnsi="Arial" w:cs="Arial"/>
                <w:sz w:val="18"/>
                <w:szCs w:val="18"/>
              </w:rPr>
            </w:pPr>
            <w:r>
              <w:rPr>
                <w:rFonts w:ascii="Arial" w:hAnsi="Arial" w:cs="Arial"/>
                <w:sz w:val="18"/>
                <w:szCs w:val="18"/>
              </w:rPr>
              <w:t>f) Evidência anexada inexistente, incompatível ou insuficiente para demonstrar posicionamento adequado da área de TIC.</w:t>
            </w:r>
          </w:p>
        </w:tc>
        <w:tc>
          <w:tcPr>
            <w:tcW w:w="790" w:type="pct"/>
          </w:tcPr>
          <w:p w14:paraId="01E64B89"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7AEC7599" w14:textId="77777777" w:rsidR="0033067B" w:rsidRDefault="00581C72">
            <w:pPr>
              <w:spacing w:after="60"/>
              <w:jc w:val="both"/>
              <w:rPr>
                <w:rFonts w:ascii="Arial" w:hAnsi="Arial" w:cs="Arial"/>
                <w:sz w:val="18"/>
                <w:szCs w:val="18"/>
              </w:rPr>
            </w:pPr>
            <w:r>
              <w:rPr>
                <w:rFonts w:ascii="Arial" w:hAnsi="Arial" w:cs="Arial"/>
                <w:b/>
                <w:bCs/>
                <w:sz w:val="18"/>
                <w:szCs w:val="18"/>
              </w:rPr>
              <w:t>Fragilidade na responsabilização:</w:t>
            </w:r>
            <w:r>
              <w:rPr>
                <w:rFonts w:ascii="Arial" w:hAnsi="Arial" w:cs="Arial"/>
                <w:sz w:val="18"/>
                <w:szCs w:val="18"/>
              </w:rPr>
              <w:t xml:space="preserve"> Ausência de unidade ou função institucionalmente reconhecida para coordenar o uso da tecnologia da informação e responder por seus resultados.</w:t>
            </w:r>
          </w:p>
          <w:p w14:paraId="5C685C94" w14:textId="77777777" w:rsidR="0033067B" w:rsidRDefault="0033067B">
            <w:pPr>
              <w:spacing w:after="60"/>
              <w:jc w:val="both"/>
              <w:rPr>
                <w:rFonts w:ascii="Arial" w:hAnsi="Arial" w:cs="Arial"/>
                <w:sz w:val="18"/>
                <w:szCs w:val="18"/>
              </w:rPr>
            </w:pPr>
          </w:p>
          <w:p w14:paraId="2AB47D32" w14:textId="77777777" w:rsidR="0033067B" w:rsidRDefault="00581C72">
            <w:pPr>
              <w:spacing w:after="60"/>
              <w:jc w:val="both"/>
              <w:rPr>
                <w:rFonts w:ascii="Arial" w:hAnsi="Arial" w:cs="Arial"/>
                <w:sz w:val="18"/>
                <w:szCs w:val="18"/>
              </w:rPr>
            </w:pPr>
            <w:r>
              <w:rPr>
                <w:rFonts w:ascii="Arial" w:hAnsi="Arial" w:cs="Arial"/>
                <w:b/>
                <w:bCs/>
                <w:sz w:val="18"/>
                <w:szCs w:val="18"/>
              </w:rPr>
              <w:t>Atuação reativa e fragmentada:</w:t>
            </w:r>
            <w:r>
              <w:rPr>
                <w:rFonts w:ascii="Arial" w:hAnsi="Arial" w:cs="Arial"/>
                <w:sz w:val="18"/>
                <w:szCs w:val="18"/>
              </w:rPr>
              <w:t xml:space="preserve"> Falta de clareza sobre as responsabilidades de planejamento, coordenação, gestão, execução, monitoramento e controle da TIC.</w:t>
            </w:r>
          </w:p>
          <w:p w14:paraId="6933C26D" w14:textId="77777777" w:rsidR="0033067B" w:rsidRDefault="0033067B">
            <w:pPr>
              <w:spacing w:after="60"/>
              <w:jc w:val="both"/>
              <w:rPr>
                <w:rFonts w:ascii="Arial" w:hAnsi="Arial" w:cs="Arial"/>
                <w:sz w:val="18"/>
                <w:szCs w:val="18"/>
              </w:rPr>
            </w:pPr>
          </w:p>
          <w:p w14:paraId="01B6B295" w14:textId="77777777" w:rsidR="0033067B" w:rsidRDefault="00581C72">
            <w:pPr>
              <w:spacing w:after="60"/>
              <w:jc w:val="both"/>
              <w:rPr>
                <w:rFonts w:ascii="Arial" w:hAnsi="Arial" w:cs="Arial"/>
                <w:sz w:val="18"/>
                <w:szCs w:val="18"/>
              </w:rPr>
            </w:pPr>
            <w:r>
              <w:rPr>
                <w:rFonts w:ascii="Arial" w:hAnsi="Arial" w:cs="Arial"/>
                <w:b/>
                <w:bCs/>
                <w:sz w:val="18"/>
                <w:szCs w:val="18"/>
              </w:rPr>
              <w:t>Baixa influência institucional:</w:t>
            </w:r>
            <w:r>
              <w:rPr>
                <w:rFonts w:ascii="Arial" w:hAnsi="Arial" w:cs="Arial"/>
                <w:sz w:val="18"/>
                <w:szCs w:val="18"/>
              </w:rPr>
              <w:t xml:space="preserve"> Participação insuficiente da TIC em decisões estratégicas, orçamentárias, contratuais e de gestão de riscos.</w:t>
            </w:r>
          </w:p>
        </w:tc>
        <w:tc>
          <w:tcPr>
            <w:tcW w:w="1521" w:type="pct"/>
          </w:tcPr>
          <w:p w14:paraId="58EDAF95"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a área, unidade, setor ou função de TIC em regimento, decreto, portaria, resolução, organograma ou instrumento equivalente, definindo sua vinculação e suas responsabilidades essenciais de modo compatível com o porte, a complexidade e a dependência tecnológica da organização.</w:t>
            </w:r>
          </w:p>
          <w:p w14:paraId="3175BC7A" w14:textId="77777777" w:rsidR="0033067B" w:rsidRDefault="0033067B">
            <w:pPr>
              <w:jc w:val="both"/>
              <w:rPr>
                <w:rFonts w:ascii="Arial" w:hAnsi="Arial" w:cs="Arial"/>
                <w:sz w:val="18"/>
                <w:szCs w:val="18"/>
              </w:rPr>
            </w:pPr>
          </w:p>
          <w:p w14:paraId="0CCC5A88"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formalmente as atribuições da área de TIC, atentando-se, minimamente, em abranger as atividades de planejamento, coordenação, gestão, execução, monitoramento e controle da TIC.</w:t>
            </w:r>
          </w:p>
          <w:p w14:paraId="16B9CE74" w14:textId="77777777" w:rsidR="0033067B" w:rsidRDefault="0033067B">
            <w:pPr>
              <w:jc w:val="both"/>
              <w:rPr>
                <w:rFonts w:ascii="Arial" w:hAnsi="Arial" w:cs="Arial"/>
                <w:sz w:val="18"/>
                <w:szCs w:val="18"/>
              </w:rPr>
            </w:pPr>
          </w:p>
          <w:p w14:paraId="7131F0B5"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e ajuste o posicionamento organizacional da área de TIC, atentando-se, minimamente, em assegurar interlocução adequada com a alta administração e participação nas decisões estratégicas, orçamentárias, contratuais e de gestão de riscos relacionadas à tecnologia da informação.</w:t>
            </w:r>
          </w:p>
        </w:tc>
      </w:tr>
    </w:tbl>
    <w:p w14:paraId="3C9052A5" w14:textId="77777777" w:rsidR="008F694B" w:rsidRDefault="008F694B" w:rsidP="001E6730">
      <w:pPr>
        <w:jc w:val="center"/>
        <w:rPr>
          <w:rFonts w:ascii="Arial" w:hAnsi="Arial" w:cs="Arial"/>
          <w:b/>
        </w:rPr>
      </w:pPr>
    </w:p>
    <w:p w14:paraId="07BF5338" w14:textId="77777777" w:rsidR="008F694B" w:rsidRDefault="008F694B">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8F694B" w:rsidRPr="00636B72" w14:paraId="1EF158A8" w14:textId="77777777">
        <w:trPr>
          <w:trHeight w:val="300"/>
          <w:tblHeader/>
        </w:trPr>
        <w:tc>
          <w:tcPr>
            <w:tcW w:w="473" w:type="pct"/>
          </w:tcPr>
          <w:p w14:paraId="51E84590" w14:textId="77777777" w:rsidR="008F694B" w:rsidRPr="00636B72" w:rsidRDefault="008F694B">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56C18452" w14:textId="77777777" w:rsidR="008F694B" w:rsidRPr="00636B72" w:rsidRDefault="008F694B">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58FE23EA"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28B4B7F4" w14:textId="77777777" w:rsidR="008F694B" w:rsidRPr="00636B72" w:rsidRDefault="008F694B">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801CD5B"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382FDB00" w14:textId="77777777" w:rsidR="008F694B" w:rsidRPr="00636B72" w:rsidRDefault="008F694B">
            <w:pPr>
              <w:spacing w:before="40" w:after="60"/>
              <w:jc w:val="center"/>
              <w:rPr>
                <w:rFonts w:ascii="Arial" w:hAnsi="Arial" w:cs="Arial"/>
                <w:b/>
                <w:bCs/>
                <w:sz w:val="16"/>
                <w:szCs w:val="16"/>
              </w:rPr>
            </w:pPr>
            <w:r>
              <w:rPr>
                <w:rFonts w:ascii="Arial" w:hAnsi="Arial" w:cs="Arial"/>
                <w:b/>
                <w:bCs/>
                <w:sz w:val="16"/>
                <w:szCs w:val="16"/>
              </w:rPr>
              <w:t>ENCAMINHAMENTO</w:t>
            </w:r>
          </w:p>
        </w:tc>
      </w:tr>
      <w:tr w:rsidR="00BC3062" w:rsidRPr="00636B72" w14:paraId="3C4DF538" w14:textId="77777777">
        <w:trPr>
          <w:trHeight w:val="300"/>
        </w:trPr>
        <w:tc>
          <w:tcPr>
            <w:tcW w:w="473" w:type="pct"/>
          </w:tcPr>
          <w:p w14:paraId="2BE2EDB7" w14:textId="77777777" w:rsidR="0033067B" w:rsidRDefault="00581C72">
            <w:pPr>
              <w:spacing w:after="60"/>
              <w:jc w:val="both"/>
              <w:rPr>
                <w:rFonts w:ascii="Arial" w:hAnsi="Arial" w:cs="Arial"/>
                <w:b/>
                <w:bCs/>
                <w:sz w:val="18"/>
                <w:szCs w:val="18"/>
              </w:rPr>
            </w:pPr>
            <w:r>
              <w:rPr>
                <w:rFonts w:ascii="Arial" w:hAnsi="Arial" w:cs="Arial"/>
                <w:b/>
                <w:bCs/>
                <w:sz w:val="18"/>
                <w:szCs w:val="18"/>
              </w:rPr>
              <w:t>ACHADO 02</w:t>
            </w:r>
          </w:p>
          <w:p w14:paraId="3BC6404D" w14:textId="77777777" w:rsidR="0033067B" w:rsidRDefault="0033067B">
            <w:pPr>
              <w:spacing w:after="60"/>
              <w:jc w:val="both"/>
              <w:rPr>
                <w:rFonts w:ascii="Arial" w:hAnsi="Arial" w:cs="Arial"/>
                <w:b/>
                <w:bCs/>
                <w:sz w:val="18"/>
                <w:szCs w:val="18"/>
              </w:rPr>
            </w:pPr>
          </w:p>
          <w:p w14:paraId="3F9D9401" w14:textId="77777777" w:rsidR="0033067B" w:rsidRDefault="00581C72">
            <w:pPr>
              <w:spacing w:after="60"/>
              <w:jc w:val="both"/>
              <w:rPr>
                <w:rFonts w:ascii="Arial" w:hAnsi="Arial" w:cs="Arial"/>
                <w:b/>
                <w:bCs/>
                <w:sz w:val="18"/>
                <w:szCs w:val="18"/>
              </w:rPr>
            </w:pPr>
            <w:r>
              <w:rPr>
                <w:rFonts w:ascii="Arial" w:hAnsi="Arial" w:cs="Arial"/>
                <w:sz w:val="18"/>
                <w:szCs w:val="18"/>
              </w:rPr>
              <w:t>Governança de TIC insuficiente para avaliar, dirigir e monitorar a tecnologia da informação</w:t>
            </w:r>
          </w:p>
        </w:tc>
        <w:tc>
          <w:tcPr>
            <w:tcW w:w="752" w:type="pct"/>
          </w:tcPr>
          <w:p w14:paraId="1B43AF86" w14:textId="77777777" w:rsidR="0033067B" w:rsidRDefault="00581C72">
            <w:pPr>
              <w:jc w:val="both"/>
              <w:rPr>
                <w:rFonts w:ascii="Arial" w:hAnsi="Arial" w:cs="Arial"/>
                <w:sz w:val="18"/>
                <w:szCs w:val="18"/>
                <w:vertAlign w:val="superscript"/>
              </w:rPr>
            </w:pPr>
            <w:r>
              <w:rPr>
                <w:rFonts w:ascii="Arial" w:hAnsi="Arial" w:cs="Arial"/>
                <w:b/>
                <w:sz w:val="18"/>
                <w:szCs w:val="18"/>
              </w:rPr>
              <w:t>COBIT 2019, EDM01.02 - Dirigir o sistema de governança:</w:t>
            </w:r>
            <w:r>
              <w:rPr>
                <w:rFonts w:ascii="Arial" w:hAnsi="Arial" w:cs="Arial"/>
                <w:sz w:val="18"/>
                <w:szCs w:val="18"/>
              </w:rPr>
              <w:t xml:space="preserve"> orientar estruturas, princípios, processos e práticas de governança para assegurar que a TI apoie os objetivos organizacionais.</w:t>
            </w:r>
          </w:p>
          <w:p w14:paraId="0EB17442" w14:textId="77777777" w:rsidR="0033067B" w:rsidRDefault="0033067B">
            <w:pPr>
              <w:jc w:val="both"/>
              <w:rPr>
                <w:rFonts w:ascii="Arial" w:hAnsi="Arial" w:cs="Arial"/>
                <w:sz w:val="18"/>
                <w:szCs w:val="18"/>
                <w:vertAlign w:val="superscript"/>
              </w:rPr>
            </w:pPr>
          </w:p>
          <w:p w14:paraId="48C5D3E1" w14:textId="77777777" w:rsidR="0033067B" w:rsidRDefault="00581C72">
            <w:pPr>
              <w:jc w:val="both"/>
              <w:rPr>
                <w:rFonts w:ascii="Arial" w:hAnsi="Arial" w:cs="Arial"/>
                <w:sz w:val="18"/>
                <w:szCs w:val="18"/>
                <w:vertAlign w:val="superscript"/>
              </w:rPr>
            </w:pPr>
            <w:r>
              <w:rPr>
                <w:rFonts w:ascii="Arial" w:hAnsi="Arial" w:cs="Arial"/>
                <w:b/>
                <w:sz w:val="18"/>
                <w:szCs w:val="18"/>
              </w:rPr>
              <w:t>COBIT 2019, MEA01.04 - Avaliar o desempenho:</w:t>
            </w:r>
            <w:r>
              <w:rPr>
                <w:rFonts w:ascii="Arial" w:hAnsi="Arial" w:cs="Arial"/>
                <w:sz w:val="18"/>
                <w:szCs w:val="18"/>
              </w:rPr>
              <w:t xml:space="preserve"> monitorar e avaliar periodicamente o desempenho e a conformidade da TI em relação a objetivos, indicadores, metas e expectativas das partes interessadas.</w:t>
            </w:r>
          </w:p>
          <w:p w14:paraId="685E38A6" w14:textId="77777777" w:rsidR="0033067B" w:rsidRDefault="0033067B">
            <w:pPr>
              <w:jc w:val="both"/>
              <w:rPr>
                <w:rFonts w:ascii="Arial" w:hAnsi="Arial" w:cs="Arial"/>
                <w:sz w:val="18"/>
                <w:szCs w:val="18"/>
                <w:vertAlign w:val="superscript"/>
              </w:rPr>
            </w:pPr>
          </w:p>
          <w:p w14:paraId="01B03750" w14:textId="77777777" w:rsidR="0033067B" w:rsidRDefault="00581C72">
            <w:pPr>
              <w:jc w:val="both"/>
              <w:rPr>
                <w:rFonts w:ascii="Arial" w:hAnsi="Arial" w:cs="Arial"/>
                <w:sz w:val="18"/>
                <w:szCs w:val="18"/>
                <w:vertAlign w:val="superscript"/>
              </w:rPr>
            </w:pPr>
            <w:r>
              <w:rPr>
                <w:rFonts w:ascii="Arial" w:hAnsi="Arial" w:cs="Arial"/>
                <w:b/>
                <w:sz w:val="18"/>
                <w:szCs w:val="18"/>
              </w:rPr>
              <w:t>Acórdão TCE-RJ 44.490/2024-PLEN, item II.1:</w:t>
            </w:r>
            <w:r>
              <w:rPr>
                <w:rFonts w:ascii="Arial" w:hAnsi="Arial" w:cs="Arial"/>
                <w:sz w:val="18"/>
                <w:szCs w:val="18"/>
              </w:rPr>
              <w:t xml:space="preserve"> necessidade de estrutura de governança de TI, especialmente Comitê de Tecnologia da Informação ou instância equivalente, com participação de áreas relevantes, responsabilidade de alinhar as ações de TI aos objetivos institucionais, priorizar investimentos e monitorar o desempenho da TI com base em indicadores e metas.</w:t>
            </w:r>
          </w:p>
          <w:p w14:paraId="6046A6F7" w14:textId="77777777" w:rsidR="0033067B" w:rsidRDefault="0033067B">
            <w:pPr>
              <w:jc w:val="both"/>
              <w:rPr>
                <w:rFonts w:ascii="Arial" w:hAnsi="Arial" w:cs="Arial"/>
                <w:sz w:val="18"/>
                <w:szCs w:val="18"/>
                <w:vertAlign w:val="superscript"/>
              </w:rPr>
            </w:pPr>
          </w:p>
          <w:p w14:paraId="118046B3" w14:textId="77777777" w:rsidR="0033067B" w:rsidRDefault="00581C72">
            <w:pPr>
              <w:jc w:val="both"/>
              <w:rPr>
                <w:rFonts w:ascii="Arial" w:hAnsi="Arial" w:cs="Arial"/>
                <w:sz w:val="18"/>
                <w:szCs w:val="18"/>
                <w:vertAlign w:val="superscript"/>
              </w:rPr>
            </w:pPr>
            <w:r>
              <w:rPr>
                <w:rFonts w:ascii="Arial" w:hAnsi="Arial" w:cs="Arial"/>
                <w:b/>
                <w:sz w:val="18"/>
                <w:szCs w:val="18"/>
              </w:rPr>
              <w:t>Decreto nº 12.198/2024, art. 5º</w:t>
            </w:r>
            <w:r>
              <w:rPr>
                <w:rFonts w:ascii="Arial" w:hAnsi="Arial" w:cs="Arial"/>
                <w:sz w:val="18"/>
                <w:szCs w:val="18"/>
              </w:rPr>
              <w:t xml:space="preserve"> - Instituição do CGD, colegiado responsável por definir diretrizes e estratégias sobre uso de recursos digitais nos órgãos e entidades da administração pública federal direta, autárquica e fundacional.</w:t>
            </w:r>
          </w:p>
          <w:p w14:paraId="0124F9E7" w14:textId="77777777" w:rsidR="0033067B" w:rsidRDefault="0033067B">
            <w:pPr>
              <w:jc w:val="both"/>
              <w:rPr>
                <w:rFonts w:ascii="Arial" w:hAnsi="Arial" w:cs="Arial"/>
                <w:sz w:val="18"/>
                <w:szCs w:val="18"/>
                <w:vertAlign w:val="superscript"/>
              </w:rPr>
            </w:pPr>
          </w:p>
          <w:p w14:paraId="0293C13A"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w:t>
            </w:r>
          </w:p>
        </w:tc>
        <w:tc>
          <w:tcPr>
            <w:tcW w:w="752" w:type="pct"/>
          </w:tcPr>
          <w:p w14:paraId="79688B49"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3AB46438" w14:textId="77777777" w:rsidR="0033067B" w:rsidRDefault="0033067B">
            <w:pPr>
              <w:spacing w:after="60"/>
              <w:jc w:val="both"/>
              <w:rPr>
                <w:rFonts w:ascii="Arial" w:hAnsi="Arial" w:cs="Arial"/>
                <w:sz w:val="18"/>
                <w:szCs w:val="18"/>
              </w:rPr>
            </w:pPr>
          </w:p>
          <w:p w14:paraId="35758AD7"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modelo básico de governança e gestão de TIC.</w:t>
            </w:r>
          </w:p>
          <w:p w14:paraId="795C336B"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incompatibilidade ou insuficiência de evidências que demonstrem diretrizes, papéis, responsabilidades, objetivos, indicadores, metas ou acompanhamento de TIC.</w:t>
            </w:r>
          </w:p>
          <w:p w14:paraId="612D7D7D"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instituição formal de Comitê de TIC ou instância equivalente.</w:t>
            </w:r>
          </w:p>
          <w:p w14:paraId="29341AB9" w14:textId="77777777" w:rsidR="0033067B" w:rsidRDefault="00581C72">
            <w:pPr>
              <w:spacing w:after="60"/>
              <w:jc w:val="both"/>
              <w:rPr>
                <w:rFonts w:ascii="Arial" w:hAnsi="Arial" w:cs="Arial"/>
                <w:sz w:val="18"/>
                <w:szCs w:val="18"/>
              </w:rPr>
            </w:pPr>
            <w:r>
              <w:rPr>
                <w:rFonts w:ascii="Arial" w:hAnsi="Arial" w:cs="Arial"/>
                <w:sz w:val="18"/>
                <w:szCs w:val="18"/>
              </w:rPr>
              <w:t>d) Ausência, desatualização, incompatibilidade ou insuficiência de evidência que formalize Comitê de TIC ou instância equivalente.</w:t>
            </w:r>
          </w:p>
          <w:p w14:paraId="4EF1FDC7" w14:textId="77777777" w:rsidR="0033067B" w:rsidRDefault="00581C72">
            <w:pPr>
              <w:spacing w:after="60"/>
              <w:jc w:val="both"/>
              <w:rPr>
                <w:rFonts w:ascii="Arial" w:hAnsi="Arial" w:cs="Arial"/>
                <w:sz w:val="18"/>
                <w:szCs w:val="18"/>
              </w:rPr>
            </w:pPr>
            <w:r>
              <w:rPr>
                <w:rFonts w:ascii="Arial" w:hAnsi="Arial" w:cs="Arial"/>
                <w:sz w:val="18"/>
                <w:szCs w:val="18"/>
              </w:rPr>
              <w:t>e) Resposta negativa ou insuficiente sobre reuniões, deliberações ou atuação efetiva do Comitê de TIC ou instância equivalente.</w:t>
            </w:r>
          </w:p>
          <w:p w14:paraId="34A19B94" w14:textId="77777777" w:rsidR="0033067B" w:rsidRDefault="00581C72">
            <w:pPr>
              <w:spacing w:after="60"/>
              <w:jc w:val="both"/>
              <w:rPr>
                <w:rFonts w:ascii="Arial" w:hAnsi="Arial" w:cs="Arial"/>
                <w:sz w:val="18"/>
                <w:szCs w:val="18"/>
              </w:rPr>
            </w:pPr>
            <w:r>
              <w:rPr>
                <w:rFonts w:ascii="Arial" w:hAnsi="Arial" w:cs="Arial"/>
                <w:sz w:val="18"/>
                <w:szCs w:val="18"/>
              </w:rPr>
              <w:t>f) Ausência, desatualização, incompatibilidade ou insuficiência de atas, registros de deliberação, encaminhamentos ou acompanhamento de decisões do Comitê de TIC ou instância equivalente.</w:t>
            </w:r>
          </w:p>
        </w:tc>
        <w:tc>
          <w:tcPr>
            <w:tcW w:w="790" w:type="pct"/>
          </w:tcPr>
          <w:p w14:paraId="36DA3FE7"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6DD2512A" w14:textId="77777777" w:rsidR="0033067B" w:rsidRDefault="00581C72">
            <w:pPr>
              <w:spacing w:after="60"/>
              <w:jc w:val="both"/>
              <w:rPr>
                <w:rFonts w:ascii="Arial" w:hAnsi="Arial" w:cs="Arial"/>
                <w:sz w:val="18"/>
                <w:szCs w:val="18"/>
              </w:rPr>
            </w:pPr>
            <w:r>
              <w:rPr>
                <w:rFonts w:ascii="Arial" w:hAnsi="Arial" w:cs="Arial"/>
                <w:b/>
                <w:sz w:val="18"/>
                <w:szCs w:val="18"/>
              </w:rPr>
              <w:t>Baixa clareza decisória:</w:t>
            </w:r>
            <w:r>
              <w:rPr>
                <w:rFonts w:ascii="Arial" w:hAnsi="Arial" w:cs="Arial"/>
                <w:sz w:val="18"/>
                <w:szCs w:val="18"/>
              </w:rPr>
              <w:t xml:space="preserve"> Falta de modelo básico de governança dificulta a definição de papéis, responsabilidades, objetivos, indicadores e metas para a TIC.</w:t>
            </w:r>
          </w:p>
          <w:p w14:paraId="3880A6B4" w14:textId="77777777" w:rsidR="0033067B" w:rsidRDefault="0033067B">
            <w:pPr>
              <w:spacing w:after="60"/>
              <w:jc w:val="both"/>
              <w:rPr>
                <w:rFonts w:ascii="Arial" w:hAnsi="Arial" w:cs="Arial"/>
                <w:sz w:val="18"/>
                <w:szCs w:val="18"/>
              </w:rPr>
            </w:pPr>
          </w:p>
          <w:p w14:paraId="3A881757" w14:textId="77777777" w:rsidR="0033067B" w:rsidRDefault="00581C72">
            <w:pPr>
              <w:spacing w:after="60"/>
              <w:jc w:val="both"/>
              <w:rPr>
                <w:rFonts w:ascii="Arial" w:hAnsi="Arial" w:cs="Arial"/>
                <w:sz w:val="18"/>
                <w:szCs w:val="18"/>
              </w:rPr>
            </w:pPr>
            <w:r>
              <w:rPr>
                <w:rFonts w:ascii="Arial" w:hAnsi="Arial" w:cs="Arial"/>
                <w:b/>
                <w:sz w:val="18"/>
                <w:szCs w:val="18"/>
              </w:rPr>
              <w:t>Priorização pouco transparente:</w:t>
            </w:r>
            <w:r>
              <w:rPr>
                <w:rFonts w:ascii="Arial" w:hAnsi="Arial" w:cs="Arial"/>
                <w:sz w:val="18"/>
                <w:szCs w:val="18"/>
              </w:rPr>
              <w:t xml:space="preserve"> Inexistência de instância colegiada reduz a capacidade de deliberar sobre prioridades, projetos, riscos, serviços, orçamento e contratações de TIC.</w:t>
            </w:r>
          </w:p>
          <w:p w14:paraId="11F4372E" w14:textId="77777777" w:rsidR="0033067B" w:rsidRDefault="0033067B">
            <w:pPr>
              <w:spacing w:after="60"/>
              <w:jc w:val="both"/>
              <w:rPr>
                <w:rFonts w:ascii="Arial" w:hAnsi="Arial" w:cs="Arial"/>
                <w:sz w:val="18"/>
                <w:szCs w:val="18"/>
              </w:rPr>
            </w:pPr>
          </w:p>
          <w:p w14:paraId="60F599A1" w14:textId="77777777" w:rsidR="0033067B" w:rsidRDefault="00581C72">
            <w:pPr>
              <w:spacing w:after="60"/>
              <w:jc w:val="both"/>
              <w:rPr>
                <w:rFonts w:ascii="Arial" w:hAnsi="Arial" w:cs="Arial"/>
                <w:sz w:val="18"/>
                <w:szCs w:val="18"/>
              </w:rPr>
            </w:pPr>
            <w:r>
              <w:rPr>
                <w:rFonts w:ascii="Arial" w:hAnsi="Arial" w:cs="Arial"/>
                <w:b/>
                <w:sz w:val="18"/>
                <w:szCs w:val="18"/>
              </w:rPr>
              <w:t>Governança sem atuação efetiva:</w:t>
            </w:r>
            <w:r>
              <w:rPr>
                <w:rFonts w:ascii="Arial" w:hAnsi="Arial" w:cs="Arial"/>
                <w:sz w:val="18"/>
                <w:szCs w:val="18"/>
              </w:rPr>
              <w:t xml:space="preserve"> Ausência de reuniões, registros de deliberação e acompanhamento compromete a continuidade das decisões e a responsabilização pelos encaminhamentos.</w:t>
            </w:r>
          </w:p>
        </w:tc>
        <w:tc>
          <w:tcPr>
            <w:tcW w:w="1521" w:type="pct"/>
          </w:tcPr>
          <w:p w14:paraId="49139EFD"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modelo básico de governança e gestão de TIC, atentando-se, minimamente, em definir papéis e responsabilidades, objetivos, indicadores, metas e forma de acompanhamento periódico do desempenho da TIC pela alta administração.</w:t>
            </w:r>
          </w:p>
          <w:p w14:paraId="10C72029" w14:textId="77777777" w:rsidR="0033067B" w:rsidRDefault="0033067B">
            <w:pPr>
              <w:jc w:val="both"/>
              <w:rPr>
                <w:rFonts w:ascii="Arial" w:hAnsi="Arial" w:cs="Arial"/>
                <w:sz w:val="18"/>
                <w:szCs w:val="18"/>
              </w:rPr>
            </w:pPr>
          </w:p>
          <w:p w14:paraId="42298CFA"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formalmente Comitê de TIC ou instância equivalente, atentando-se, minimamente, em definir sua composição, competências, periodicidade de reuniões, forma de registro das deliberações e acompanhamento dos encaminhamentos.</w:t>
            </w:r>
          </w:p>
          <w:p w14:paraId="4F12229E" w14:textId="77777777" w:rsidR="0033067B" w:rsidRDefault="0033067B">
            <w:pPr>
              <w:jc w:val="both"/>
              <w:rPr>
                <w:rFonts w:ascii="Arial" w:hAnsi="Arial" w:cs="Arial"/>
                <w:sz w:val="18"/>
                <w:szCs w:val="18"/>
              </w:rPr>
            </w:pPr>
          </w:p>
          <w:p w14:paraId="05C6F266"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assegure o funcionamento efetivo do Comitê de TIC ou instância equivalente, atentando-se, minimamente, em realizar reuniões periódicas, registrar atas, deliberações e encaminhamentos e acompanhar as decisões sobre prioridades, projetos, riscos, serviços, orçamento e contratações de TIC.</w:t>
            </w:r>
          </w:p>
        </w:tc>
      </w:tr>
    </w:tbl>
    <w:p w14:paraId="15C527BC" w14:textId="77777777" w:rsidR="00467394" w:rsidRDefault="00467394" w:rsidP="001E6730">
      <w:pPr>
        <w:jc w:val="center"/>
        <w:rPr>
          <w:rFonts w:ascii="Arial" w:hAnsi="Arial" w:cs="Arial"/>
          <w:b/>
        </w:rPr>
      </w:pPr>
    </w:p>
    <w:p w14:paraId="4792083A" w14:textId="77777777" w:rsidR="00467394" w:rsidRDefault="00467394">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467394" w:rsidRPr="00636B72" w14:paraId="6B293243" w14:textId="77777777" w:rsidTr="003A6734">
        <w:trPr>
          <w:trHeight w:val="300"/>
          <w:tblHeader/>
        </w:trPr>
        <w:tc>
          <w:tcPr>
            <w:tcW w:w="473" w:type="pct"/>
          </w:tcPr>
          <w:p w14:paraId="48526400" w14:textId="77777777" w:rsidR="00467394" w:rsidRPr="00636B72" w:rsidRDefault="00467394"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1BD3200E" w14:textId="77777777" w:rsidR="00467394" w:rsidRPr="00636B72" w:rsidRDefault="00467394"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0D817A94"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B4829CD" w14:textId="77777777" w:rsidR="00467394" w:rsidRPr="00636B72" w:rsidRDefault="00467394"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5A78737D"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59F37054" w14:textId="77777777" w:rsidR="00467394" w:rsidRPr="00636B72" w:rsidRDefault="00467394"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467394" w:rsidRPr="00636B72" w14:paraId="3E84FBD8" w14:textId="77777777" w:rsidTr="003A6734">
        <w:trPr>
          <w:trHeight w:val="300"/>
        </w:trPr>
        <w:tc>
          <w:tcPr>
            <w:tcW w:w="473" w:type="pct"/>
          </w:tcPr>
          <w:p w14:paraId="267A15D3" w14:textId="77777777" w:rsidR="0033067B" w:rsidRDefault="00581C72">
            <w:pPr>
              <w:spacing w:after="60"/>
              <w:jc w:val="both"/>
              <w:rPr>
                <w:rFonts w:ascii="Arial" w:hAnsi="Arial" w:cs="Arial"/>
                <w:b/>
                <w:bCs/>
                <w:sz w:val="18"/>
                <w:szCs w:val="18"/>
              </w:rPr>
            </w:pPr>
            <w:r>
              <w:rPr>
                <w:rFonts w:ascii="Arial" w:hAnsi="Arial" w:cs="Arial"/>
                <w:b/>
                <w:bCs/>
                <w:sz w:val="18"/>
                <w:szCs w:val="18"/>
              </w:rPr>
              <w:t>ACHADO 03</w:t>
            </w:r>
          </w:p>
          <w:p w14:paraId="34A3FF44" w14:textId="77777777" w:rsidR="0033067B" w:rsidRDefault="0033067B">
            <w:pPr>
              <w:spacing w:after="60"/>
              <w:jc w:val="both"/>
              <w:rPr>
                <w:rFonts w:ascii="Arial" w:hAnsi="Arial" w:cs="Arial"/>
                <w:b/>
                <w:bCs/>
                <w:sz w:val="18"/>
                <w:szCs w:val="18"/>
              </w:rPr>
            </w:pPr>
          </w:p>
          <w:p w14:paraId="1284B5B6" w14:textId="77777777" w:rsidR="0033067B" w:rsidRDefault="00581C72">
            <w:pPr>
              <w:spacing w:after="60"/>
              <w:jc w:val="both"/>
              <w:rPr>
                <w:rFonts w:ascii="Arial" w:hAnsi="Arial" w:cs="Arial"/>
                <w:b/>
                <w:bCs/>
                <w:sz w:val="18"/>
                <w:szCs w:val="18"/>
              </w:rPr>
            </w:pPr>
            <w:r>
              <w:rPr>
                <w:rFonts w:ascii="Arial" w:hAnsi="Arial" w:cs="Arial"/>
                <w:sz w:val="18"/>
                <w:szCs w:val="18"/>
              </w:rPr>
              <w:t>Planejamento de TIC inexistente, insuficiente, desatualizado ou desconectado da gestão, do orçamento e das contratações</w:t>
            </w:r>
          </w:p>
        </w:tc>
        <w:tc>
          <w:tcPr>
            <w:tcW w:w="752" w:type="pct"/>
          </w:tcPr>
          <w:p w14:paraId="083BD113" w14:textId="77777777" w:rsidR="0033067B" w:rsidRDefault="00581C72">
            <w:pPr>
              <w:jc w:val="both"/>
              <w:rPr>
                <w:rFonts w:ascii="Arial" w:hAnsi="Arial" w:cs="Arial"/>
                <w:sz w:val="18"/>
                <w:szCs w:val="18"/>
                <w:vertAlign w:val="superscript"/>
              </w:rPr>
            </w:pPr>
            <w:r>
              <w:rPr>
                <w:rFonts w:ascii="Arial" w:hAnsi="Arial" w:cs="Arial"/>
                <w:b/>
                <w:sz w:val="18"/>
                <w:szCs w:val="18"/>
              </w:rPr>
              <w:t>COBIT 2019, APO02.05 - Definir o plano e o roteiro estratégico:</w:t>
            </w:r>
            <w:r>
              <w:rPr>
                <w:rFonts w:ascii="Arial" w:hAnsi="Arial" w:cs="Arial"/>
                <w:sz w:val="18"/>
                <w:szCs w:val="18"/>
              </w:rPr>
              <w:t xml:space="preserve"> estabelecer plano e roteiro de TIC que traduzam a estratégia em iniciativas, prioridades, recursos, dependências, prazos e benefícios esperados.</w:t>
            </w:r>
          </w:p>
          <w:p w14:paraId="79D08417" w14:textId="77777777" w:rsidR="0033067B" w:rsidRDefault="0033067B">
            <w:pPr>
              <w:jc w:val="both"/>
              <w:rPr>
                <w:rFonts w:ascii="Arial" w:hAnsi="Arial" w:cs="Arial"/>
                <w:sz w:val="18"/>
                <w:szCs w:val="18"/>
                <w:vertAlign w:val="superscript"/>
              </w:rPr>
            </w:pPr>
          </w:p>
          <w:p w14:paraId="4F685D6A" w14:textId="77777777" w:rsidR="0033067B" w:rsidRDefault="00581C72">
            <w:pPr>
              <w:jc w:val="both"/>
              <w:rPr>
                <w:rFonts w:ascii="Arial" w:hAnsi="Arial" w:cs="Arial"/>
                <w:sz w:val="18"/>
                <w:szCs w:val="18"/>
                <w:vertAlign w:val="superscript"/>
              </w:rPr>
            </w:pPr>
            <w:r>
              <w:rPr>
                <w:rFonts w:ascii="Arial" w:hAnsi="Arial" w:cs="Arial"/>
                <w:b/>
                <w:sz w:val="18"/>
                <w:szCs w:val="18"/>
              </w:rPr>
              <w:t>Acórdão 1.411/2014-TCU-Plenário, item 9.1.6 e subitens 9.1.6.1 a 9.1.6.4:</w:t>
            </w:r>
            <w:r>
              <w:rPr>
                <w:rFonts w:ascii="Arial" w:hAnsi="Arial" w:cs="Arial"/>
                <w:sz w:val="18"/>
                <w:szCs w:val="18"/>
              </w:rPr>
              <w:t xml:space="preserve"> necessidade de instituir formalmente plano diretor de TI, contemplando desdobramento de diretrizes estratégicas, vinculação das ações de TI a indicadores e metas de negócio, vinculação das ações de TI a indicadores e metas de serviços ao cidadão e vinculação das ações priorizadas ao orçamento de TI.</w:t>
            </w:r>
          </w:p>
          <w:p w14:paraId="71D49D79" w14:textId="77777777" w:rsidR="0033067B" w:rsidRDefault="0033067B">
            <w:pPr>
              <w:jc w:val="both"/>
              <w:rPr>
                <w:rFonts w:ascii="Arial" w:hAnsi="Arial" w:cs="Arial"/>
                <w:sz w:val="18"/>
                <w:szCs w:val="18"/>
                <w:vertAlign w:val="superscript"/>
              </w:rPr>
            </w:pPr>
          </w:p>
          <w:p w14:paraId="04AA0F5D" w14:textId="77777777" w:rsidR="0033067B" w:rsidRDefault="00581C72">
            <w:pPr>
              <w:jc w:val="both"/>
              <w:rPr>
                <w:rFonts w:ascii="Arial" w:hAnsi="Arial" w:cs="Arial"/>
                <w:sz w:val="18"/>
                <w:szCs w:val="18"/>
                <w:vertAlign w:val="superscript"/>
              </w:rPr>
            </w:pPr>
            <w:r>
              <w:rPr>
                <w:rFonts w:ascii="Arial" w:hAnsi="Arial" w:cs="Arial"/>
                <w:b/>
                <w:sz w:val="18"/>
                <w:szCs w:val="18"/>
              </w:rPr>
              <w:t>Acórdão TCE-RJ 44.490/2024-PLEN, item II.3 e subitens II.3.1 a II.3.5:</w:t>
            </w:r>
            <w:r>
              <w:rPr>
                <w:rFonts w:ascii="Arial" w:hAnsi="Arial" w:cs="Arial"/>
                <w:sz w:val="18"/>
                <w:szCs w:val="18"/>
              </w:rPr>
              <w:t xml:space="preserve"> necessidade de estabelecer processo estruturado, com participação de representantes das principais secretarias, para elaborar, manter e revisar periodicamente o PDTI, contemplando objetivos, indicadores e metas de TI alinhados aos objetivos de negócio, riscos que possam impactar objetivos e metas, projetos, aquisições e ações necessárias, alocação de recursos e ações de divulgação e monitoramento do PDTI após aprovação pela autoridade máxima.</w:t>
            </w:r>
          </w:p>
          <w:p w14:paraId="0B1C258D" w14:textId="77777777" w:rsidR="0033067B" w:rsidRDefault="0033067B">
            <w:pPr>
              <w:jc w:val="both"/>
              <w:rPr>
                <w:rFonts w:ascii="Arial" w:hAnsi="Arial" w:cs="Arial"/>
                <w:sz w:val="18"/>
                <w:szCs w:val="18"/>
                <w:vertAlign w:val="superscript"/>
              </w:rPr>
            </w:pPr>
          </w:p>
          <w:p w14:paraId="51D93FA1" w14:textId="77777777" w:rsidR="0033067B" w:rsidRDefault="00581C72">
            <w:pPr>
              <w:jc w:val="both"/>
              <w:rPr>
                <w:rFonts w:ascii="Arial" w:hAnsi="Arial" w:cs="Arial"/>
                <w:sz w:val="18"/>
                <w:szCs w:val="18"/>
                <w:vertAlign w:val="superscript"/>
              </w:rPr>
            </w:pPr>
            <w:r>
              <w:rPr>
                <w:rFonts w:ascii="Arial" w:hAnsi="Arial" w:cs="Arial"/>
                <w:b/>
                <w:sz w:val="18"/>
                <w:szCs w:val="18"/>
              </w:rPr>
              <w:t>COBIT 2019, APO06.03 - Criar e manter orçamentos:</w:t>
            </w:r>
            <w:r>
              <w:rPr>
                <w:rFonts w:ascii="Arial" w:hAnsi="Arial" w:cs="Arial"/>
                <w:sz w:val="18"/>
                <w:szCs w:val="18"/>
              </w:rPr>
              <w:t xml:space="preserve"> elaborar e manter orçamento de TIC alinhado ao portfólio, ao planejamento e às prioridades aprovadas.</w:t>
            </w:r>
          </w:p>
        </w:tc>
        <w:tc>
          <w:tcPr>
            <w:tcW w:w="752" w:type="pct"/>
          </w:tcPr>
          <w:p w14:paraId="166AE02D"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1D26EC47" w14:textId="77777777" w:rsidR="0033067B" w:rsidRDefault="0033067B">
            <w:pPr>
              <w:spacing w:after="60"/>
              <w:jc w:val="both"/>
              <w:rPr>
                <w:rFonts w:ascii="Arial" w:hAnsi="Arial" w:cs="Arial"/>
                <w:sz w:val="18"/>
                <w:szCs w:val="18"/>
              </w:rPr>
            </w:pPr>
          </w:p>
          <w:p w14:paraId="79430FAB"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a existência de processo de planejamento de TIC.</w:t>
            </w:r>
          </w:p>
          <w:p w14:paraId="1CBD15F3"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incompatibilidade ou insuficiência de evidência que discipline o processo de planejamento de TIC.</w:t>
            </w:r>
          </w:p>
          <w:p w14:paraId="1CFFC473"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participação das áreas demandantes.</w:t>
            </w:r>
          </w:p>
          <w:p w14:paraId="1B2039F5" w14:textId="77777777" w:rsidR="0033067B" w:rsidRDefault="00581C72">
            <w:pPr>
              <w:spacing w:after="60"/>
              <w:jc w:val="both"/>
              <w:rPr>
                <w:rFonts w:ascii="Arial" w:hAnsi="Arial" w:cs="Arial"/>
                <w:sz w:val="18"/>
                <w:szCs w:val="18"/>
              </w:rPr>
            </w:pPr>
            <w:r>
              <w:rPr>
                <w:rFonts w:ascii="Arial" w:hAnsi="Arial" w:cs="Arial"/>
                <w:sz w:val="18"/>
                <w:szCs w:val="18"/>
              </w:rPr>
              <w:t>d) Resposta negativa ou insuficiente sobre a aprovação formal do plano de TIC pela instância competente.</w:t>
            </w:r>
          </w:p>
          <w:p w14:paraId="3E5C3F1A" w14:textId="77777777" w:rsidR="0033067B" w:rsidRDefault="00581C72">
            <w:pPr>
              <w:spacing w:after="60"/>
              <w:jc w:val="both"/>
              <w:rPr>
                <w:rFonts w:ascii="Arial" w:hAnsi="Arial" w:cs="Arial"/>
                <w:sz w:val="18"/>
                <w:szCs w:val="18"/>
              </w:rPr>
            </w:pPr>
            <w:r>
              <w:rPr>
                <w:rFonts w:ascii="Arial" w:hAnsi="Arial" w:cs="Arial"/>
                <w:sz w:val="18"/>
                <w:szCs w:val="18"/>
              </w:rPr>
              <w:t>e) Ausência ou insuficiência de evidência do ato de aprovação formal do plano de TIC pela instância competente.</w:t>
            </w:r>
          </w:p>
          <w:p w14:paraId="73ED8CC7" w14:textId="77777777" w:rsidR="0033067B" w:rsidRDefault="00581C72">
            <w:pPr>
              <w:spacing w:after="60"/>
              <w:jc w:val="both"/>
              <w:rPr>
                <w:rFonts w:ascii="Arial" w:hAnsi="Arial" w:cs="Arial"/>
                <w:sz w:val="18"/>
                <w:szCs w:val="18"/>
              </w:rPr>
            </w:pPr>
            <w:r>
              <w:rPr>
                <w:rFonts w:ascii="Arial" w:hAnsi="Arial" w:cs="Arial"/>
                <w:sz w:val="18"/>
                <w:szCs w:val="18"/>
              </w:rPr>
              <w:t>f) Inexistência ou insuficiência de alinhamento entre plano de TIC e planejamento institucional.</w:t>
            </w:r>
          </w:p>
          <w:p w14:paraId="7B3EA14E" w14:textId="77777777" w:rsidR="0033067B" w:rsidRDefault="00581C72">
            <w:pPr>
              <w:spacing w:after="60"/>
              <w:jc w:val="both"/>
              <w:rPr>
                <w:rFonts w:ascii="Arial" w:hAnsi="Arial" w:cs="Arial"/>
                <w:sz w:val="18"/>
                <w:szCs w:val="18"/>
              </w:rPr>
            </w:pPr>
            <w:r>
              <w:rPr>
                <w:rFonts w:ascii="Arial" w:hAnsi="Arial" w:cs="Arial"/>
                <w:sz w:val="18"/>
                <w:szCs w:val="18"/>
              </w:rPr>
              <w:t>g) Inexistência ou insuficiência de vínculo entre plano de TIC, orçamento, plano de contratações, projetos ou contratações de TIC.</w:t>
            </w:r>
          </w:p>
          <w:p w14:paraId="2CBF26A5" w14:textId="77777777" w:rsidR="0033067B" w:rsidRDefault="00581C72">
            <w:pPr>
              <w:spacing w:after="60"/>
              <w:jc w:val="both"/>
              <w:rPr>
                <w:rFonts w:ascii="Arial" w:hAnsi="Arial" w:cs="Arial"/>
                <w:sz w:val="18"/>
                <w:szCs w:val="18"/>
              </w:rPr>
            </w:pPr>
            <w:r>
              <w:rPr>
                <w:rFonts w:ascii="Arial" w:hAnsi="Arial" w:cs="Arial"/>
                <w:sz w:val="18"/>
                <w:szCs w:val="18"/>
              </w:rPr>
              <w:t>h) Ausência de registros de acompanhamento, revisão ou atualização do plano de TIC.</w:t>
            </w:r>
          </w:p>
        </w:tc>
        <w:tc>
          <w:tcPr>
            <w:tcW w:w="790" w:type="pct"/>
          </w:tcPr>
          <w:p w14:paraId="3C3A64C7"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27390228" w14:textId="77777777" w:rsidR="0033067B" w:rsidRDefault="00581C72">
            <w:pPr>
              <w:jc w:val="both"/>
              <w:rPr>
                <w:rFonts w:ascii="Arial" w:hAnsi="Arial" w:cs="Arial"/>
                <w:sz w:val="18"/>
                <w:szCs w:val="18"/>
              </w:rPr>
            </w:pPr>
            <w:r>
              <w:rPr>
                <w:rFonts w:ascii="Arial" w:hAnsi="Arial" w:cs="Arial"/>
                <w:b/>
                <w:sz w:val="18"/>
                <w:szCs w:val="18"/>
              </w:rPr>
              <w:t>Demandas de TIC pouco coordenadas:</w:t>
            </w:r>
            <w:r>
              <w:rPr>
                <w:rFonts w:ascii="Arial" w:hAnsi="Arial" w:cs="Arial"/>
                <w:sz w:val="18"/>
                <w:szCs w:val="18"/>
              </w:rPr>
              <w:t xml:space="preserve"> Ausência de processo formal de planejamento dificulta registrar, priorizar e acompanhar as necessidades de TIC das áreas demandantes.</w:t>
            </w:r>
          </w:p>
          <w:p w14:paraId="51148688" w14:textId="77777777" w:rsidR="0033067B" w:rsidRDefault="0033067B">
            <w:pPr>
              <w:jc w:val="both"/>
              <w:rPr>
                <w:rFonts w:ascii="Arial" w:hAnsi="Arial" w:cs="Arial"/>
                <w:sz w:val="18"/>
                <w:szCs w:val="18"/>
              </w:rPr>
            </w:pPr>
          </w:p>
          <w:p w14:paraId="1B79EC9F" w14:textId="77777777" w:rsidR="0033067B" w:rsidRDefault="00581C72">
            <w:pPr>
              <w:jc w:val="both"/>
              <w:rPr>
                <w:rFonts w:ascii="Arial" w:hAnsi="Arial" w:cs="Arial"/>
                <w:sz w:val="18"/>
                <w:szCs w:val="18"/>
              </w:rPr>
            </w:pPr>
            <w:r>
              <w:rPr>
                <w:rFonts w:ascii="Arial" w:hAnsi="Arial" w:cs="Arial"/>
                <w:b/>
                <w:sz w:val="18"/>
                <w:szCs w:val="18"/>
              </w:rPr>
              <w:t>Baixa legitimidade do plano:</w:t>
            </w:r>
            <w:r>
              <w:rPr>
                <w:rFonts w:ascii="Arial" w:hAnsi="Arial" w:cs="Arial"/>
                <w:sz w:val="18"/>
                <w:szCs w:val="18"/>
              </w:rPr>
              <w:t xml:space="preserve"> Ausência de aprovação formal reduz a responsabilização da alta administração e dificulta a cobrança da execução do planejamento de TIC.</w:t>
            </w:r>
          </w:p>
          <w:p w14:paraId="2F7741BD" w14:textId="77777777" w:rsidR="0033067B" w:rsidRDefault="0033067B">
            <w:pPr>
              <w:jc w:val="both"/>
              <w:rPr>
                <w:rFonts w:ascii="Arial" w:hAnsi="Arial" w:cs="Arial"/>
                <w:sz w:val="18"/>
                <w:szCs w:val="18"/>
              </w:rPr>
            </w:pPr>
          </w:p>
          <w:p w14:paraId="0D21CF6C" w14:textId="77777777" w:rsidR="0033067B" w:rsidRDefault="00581C72">
            <w:pPr>
              <w:jc w:val="both"/>
              <w:rPr>
                <w:rFonts w:ascii="Arial" w:hAnsi="Arial" w:cs="Arial"/>
                <w:sz w:val="18"/>
                <w:szCs w:val="18"/>
              </w:rPr>
            </w:pPr>
            <w:r>
              <w:rPr>
                <w:rFonts w:ascii="Arial" w:hAnsi="Arial" w:cs="Arial"/>
                <w:b/>
                <w:sz w:val="18"/>
                <w:szCs w:val="18"/>
              </w:rPr>
              <w:t>Desalinhamento institucional:</w:t>
            </w:r>
            <w:r>
              <w:rPr>
                <w:rFonts w:ascii="Arial" w:hAnsi="Arial" w:cs="Arial"/>
                <w:sz w:val="18"/>
                <w:szCs w:val="18"/>
              </w:rPr>
              <w:t xml:space="preserve"> Plano de TIC sem aderência ao planejamento institucional pode direcionar recursos a iniciativas de menor prioridade para a organização.</w:t>
            </w:r>
          </w:p>
          <w:p w14:paraId="651F1AF4" w14:textId="77777777" w:rsidR="0033067B" w:rsidRDefault="0033067B">
            <w:pPr>
              <w:jc w:val="both"/>
              <w:rPr>
                <w:rFonts w:ascii="Arial" w:hAnsi="Arial" w:cs="Arial"/>
                <w:sz w:val="18"/>
                <w:szCs w:val="18"/>
              </w:rPr>
            </w:pPr>
          </w:p>
          <w:p w14:paraId="7559EFBC" w14:textId="77777777" w:rsidR="0033067B" w:rsidRDefault="00581C72">
            <w:pPr>
              <w:jc w:val="both"/>
              <w:rPr>
                <w:rFonts w:ascii="Arial" w:hAnsi="Arial" w:cs="Arial"/>
                <w:sz w:val="18"/>
                <w:szCs w:val="18"/>
              </w:rPr>
            </w:pPr>
            <w:r>
              <w:rPr>
                <w:rFonts w:ascii="Arial" w:hAnsi="Arial" w:cs="Arial"/>
                <w:b/>
                <w:sz w:val="18"/>
                <w:szCs w:val="18"/>
              </w:rPr>
              <w:t>Fragilidade orçamentária e contratual:</w:t>
            </w:r>
            <w:r>
              <w:rPr>
                <w:rFonts w:ascii="Arial" w:hAnsi="Arial" w:cs="Arial"/>
                <w:sz w:val="18"/>
                <w:szCs w:val="18"/>
              </w:rPr>
              <w:t xml:space="preserve"> Falta de integração com orçamento, plano de contratações, projetos e contratações aumenta o risco de demandas dispersas ou não priorizadas.</w:t>
            </w:r>
          </w:p>
          <w:p w14:paraId="164EEB1F" w14:textId="77777777" w:rsidR="0033067B" w:rsidRDefault="0033067B">
            <w:pPr>
              <w:jc w:val="both"/>
              <w:rPr>
                <w:rFonts w:ascii="Arial" w:hAnsi="Arial" w:cs="Arial"/>
                <w:sz w:val="18"/>
                <w:szCs w:val="18"/>
              </w:rPr>
            </w:pPr>
          </w:p>
          <w:p w14:paraId="6C9EC66C" w14:textId="77777777" w:rsidR="0033067B" w:rsidRDefault="00581C72">
            <w:pPr>
              <w:jc w:val="both"/>
              <w:rPr>
                <w:rFonts w:ascii="Arial" w:hAnsi="Arial" w:cs="Arial"/>
                <w:sz w:val="18"/>
                <w:szCs w:val="18"/>
              </w:rPr>
            </w:pPr>
            <w:r>
              <w:rPr>
                <w:rFonts w:ascii="Arial" w:hAnsi="Arial" w:cs="Arial"/>
                <w:b/>
                <w:sz w:val="18"/>
                <w:szCs w:val="18"/>
              </w:rPr>
              <w:t>Baixo acompanhamento da execução:</w:t>
            </w:r>
            <w:r>
              <w:rPr>
                <w:rFonts w:ascii="Arial" w:hAnsi="Arial" w:cs="Arial"/>
                <w:sz w:val="18"/>
                <w:szCs w:val="18"/>
              </w:rPr>
              <w:t xml:space="preserve"> Falta de revisão e atualização periódica reduz a capacidade de corrigir desvios, reprogramar ações e responder a mudanças relevantes.</w:t>
            </w:r>
          </w:p>
        </w:tc>
        <w:tc>
          <w:tcPr>
            <w:tcW w:w="1521" w:type="pct"/>
          </w:tcPr>
          <w:p w14:paraId="222F05F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processo formal de planejamento de TIC, atentando-se, minimamente, em definir etapas, responsáveis, participação das áreas demandantes e critérios de priorização das necessidades e iniciativas de TIC.</w:t>
            </w:r>
          </w:p>
          <w:p w14:paraId="01056BFE" w14:textId="77777777" w:rsidR="0033067B" w:rsidRDefault="0033067B">
            <w:pPr>
              <w:jc w:val="both"/>
              <w:rPr>
                <w:rFonts w:ascii="Arial" w:hAnsi="Arial" w:cs="Arial"/>
                <w:sz w:val="18"/>
                <w:szCs w:val="18"/>
              </w:rPr>
            </w:pPr>
          </w:p>
          <w:p w14:paraId="480CA1C6"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submeta o plano de TIC à aprovação formal do dirigente máximo ou de dirigente ou colegiado integrante da alta administração, mantendo registro do respectivo ato de aprovação.</w:t>
            </w:r>
          </w:p>
          <w:p w14:paraId="27A7131B" w14:textId="77777777" w:rsidR="0033067B" w:rsidRDefault="0033067B">
            <w:pPr>
              <w:jc w:val="both"/>
              <w:rPr>
                <w:rFonts w:ascii="Arial" w:hAnsi="Arial" w:cs="Arial"/>
                <w:sz w:val="18"/>
                <w:szCs w:val="18"/>
              </w:rPr>
            </w:pPr>
          </w:p>
          <w:p w14:paraId="4F94C082"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revise o plano de TIC para explicitar seu alinhamento ao planejamento institucional, às diretrizes superiores e às necessidades das áreas finalísticas e administrativas, relacionando objetivos, iniciativas, indicadores e metas de TIC aos resultados institucionais pretendidos.</w:t>
            </w:r>
          </w:p>
          <w:p w14:paraId="18AA22EE" w14:textId="77777777" w:rsidR="0033067B" w:rsidRDefault="0033067B">
            <w:pPr>
              <w:jc w:val="both"/>
              <w:rPr>
                <w:rFonts w:ascii="Arial" w:hAnsi="Arial" w:cs="Arial"/>
                <w:sz w:val="18"/>
                <w:szCs w:val="18"/>
              </w:rPr>
            </w:pPr>
          </w:p>
          <w:p w14:paraId="520AC6E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integre o plano de TIC à proposta orçamentária, ao plano de contratações e às contratações de TIC, atentando-se, minimamente, em priorizar as demandas conforme sua relevância, seus riscos e a capacidade de execução da organização.</w:t>
            </w:r>
          </w:p>
          <w:p w14:paraId="027E2A00" w14:textId="77777777" w:rsidR="0033067B" w:rsidRDefault="0033067B">
            <w:pPr>
              <w:jc w:val="both"/>
              <w:rPr>
                <w:rFonts w:ascii="Arial" w:hAnsi="Arial" w:cs="Arial"/>
                <w:sz w:val="18"/>
                <w:szCs w:val="18"/>
              </w:rPr>
            </w:pPr>
          </w:p>
          <w:p w14:paraId="3D1DE272"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e execute rotina periódica de acompanhamento, revisão e atualização do plano de TIC, atentando-se, minimamente, em registrar a execução das iniciativas, as pendências, as reprogramações e as deliberações adotadas.</w:t>
            </w:r>
          </w:p>
        </w:tc>
      </w:tr>
    </w:tbl>
    <w:p w14:paraId="0EBE6271" w14:textId="77777777" w:rsidR="00A75136" w:rsidRDefault="00A75136" w:rsidP="001E6730">
      <w:pPr>
        <w:jc w:val="center"/>
        <w:rPr>
          <w:rFonts w:ascii="Arial" w:hAnsi="Arial" w:cs="Arial"/>
          <w:b/>
        </w:rPr>
      </w:pPr>
    </w:p>
    <w:p w14:paraId="38D33BC7" w14:textId="77777777" w:rsidR="00A75136" w:rsidRDefault="00A75136">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A75136" w:rsidRPr="00636B72" w14:paraId="26D50C40" w14:textId="77777777" w:rsidTr="003A6734">
        <w:trPr>
          <w:trHeight w:val="300"/>
          <w:tblHeader/>
        </w:trPr>
        <w:tc>
          <w:tcPr>
            <w:tcW w:w="473" w:type="pct"/>
          </w:tcPr>
          <w:p w14:paraId="1AA91A03" w14:textId="77777777" w:rsidR="00A75136" w:rsidRPr="00636B72" w:rsidRDefault="00A751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64579AF6" w14:textId="77777777" w:rsidR="00A75136" w:rsidRPr="00636B72" w:rsidRDefault="00A751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0FE0C036"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C3AA039" w14:textId="77777777" w:rsidR="00A75136" w:rsidRPr="00636B72" w:rsidRDefault="00A75136"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02184EC"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10F51FE3" w14:textId="77777777" w:rsidR="00A75136" w:rsidRPr="00636B72" w:rsidRDefault="00A75136"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BF5DA1" w:rsidRPr="00636B72" w14:paraId="29650F8E" w14:textId="77777777" w:rsidTr="003A6734">
        <w:trPr>
          <w:trHeight w:val="300"/>
        </w:trPr>
        <w:tc>
          <w:tcPr>
            <w:tcW w:w="473" w:type="pct"/>
          </w:tcPr>
          <w:p w14:paraId="5643C359" w14:textId="77777777" w:rsidR="0033067B" w:rsidRDefault="00581C72">
            <w:pPr>
              <w:spacing w:after="60"/>
              <w:jc w:val="both"/>
              <w:rPr>
                <w:rFonts w:ascii="Arial" w:hAnsi="Arial" w:cs="Arial"/>
                <w:b/>
                <w:bCs/>
                <w:sz w:val="18"/>
                <w:szCs w:val="18"/>
              </w:rPr>
            </w:pPr>
            <w:r>
              <w:rPr>
                <w:rFonts w:ascii="Arial" w:hAnsi="Arial" w:cs="Arial"/>
                <w:b/>
                <w:bCs/>
                <w:sz w:val="18"/>
                <w:szCs w:val="18"/>
              </w:rPr>
              <w:t>ACHADO 04</w:t>
            </w:r>
          </w:p>
          <w:p w14:paraId="00AA0DD8" w14:textId="77777777" w:rsidR="0033067B" w:rsidRDefault="0033067B">
            <w:pPr>
              <w:spacing w:after="60"/>
              <w:jc w:val="both"/>
              <w:rPr>
                <w:rFonts w:ascii="Arial" w:hAnsi="Arial" w:cs="Arial"/>
                <w:b/>
                <w:bCs/>
                <w:sz w:val="18"/>
                <w:szCs w:val="18"/>
              </w:rPr>
            </w:pPr>
          </w:p>
          <w:p w14:paraId="16E1C926" w14:textId="77777777" w:rsidR="0033067B" w:rsidRDefault="00581C72">
            <w:pPr>
              <w:spacing w:after="60"/>
              <w:jc w:val="both"/>
              <w:rPr>
                <w:rFonts w:ascii="Arial" w:hAnsi="Arial" w:cs="Arial"/>
                <w:b/>
                <w:bCs/>
                <w:sz w:val="18"/>
                <w:szCs w:val="18"/>
              </w:rPr>
            </w:pPr>
            <w:r>
              <w:rPr>
                <w:rFonts w:ascii="Arial" w:eastAsia="Arial" w:hAnsi="Arial" w:cs="Arial"/>
                <w:sz w:val="18"/>
                <w:szCs w:val="18"/>
              </w:rPr>
              <w:t>Capacidade institucional insuficiente para sustentar a gestão de TIC e segurança da informação</w:t>
            </w:r>
          </w:p>
        </w:tc>
        <w:tc>
          <w:tcPr>
            <w:tcW w:w="752" w:type="pct"/>
          </w:tcPr>
          <w:p w14:paraId="6EEE7AB0"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APO07.01 - Adquirir e manter pessoal adequado e apropriado:</w:t>
            </w:r>
            <w:r>
              <w:rPr>
                <w:rFonts w:ascii="Arial" w:hAnsi="Arial" w:cs="Arial"/>
                <w:sz w:val="18"/>
                <w:szCs w:val="18"/>
              </w:rPr>
              <w:t xml:space="preserve"> assegurar quantidade e perfil de profissionais compatíveis com as necessidades de TIC.</w:t>
            </w:r>
          </w:p>
          <w:p w14:paraId="4DE5AD02" w14:textId="77777777" w:rsidR="0033067B" w:rsidRDefault="0033067B">
            <w:pPr>
              <w:jc w:val="both"/>
              <w:rPr>
                <w:rFonts w:ascii="Arial" w:hAnsi="Arial" w:cs="Arial"/>
                <w:sz w:val="18"/>
                <w:szCs w:val="18"/>
                <w:vertAlign w:val="superscript"/>
              </w:rPr>
            </w:pPr>
          </w:p>
          <w:p w14:paraId="7F2AF9B8"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APO07.05 - Planejar e monitorar o uso de recursos humanos de TI e de negócio:</w:t>
            </w:r>
            <w:r>
              <w:rPr>
                <w:rFonts w:ascii="Arial" w:hAnsi="Arial" w:cs="Arial"/>
                <w:sz w:val="18"/>
                <w:szCs w:val="18"/>
              </w:rPr>
              <w:t xml:space="preserve"> planejar, alocar e acompanhar capacidade de pessoal para iniciativas, operações e serviços de TIC.</w:t>
            </w:r>
          </w:p>
          <w:p w14:paraId="2EBAF970" w14:textId="77777777" w:rsidR="0033067B" w:rsidRDefault="0033067B">
            <w:pPr>
              <w:jc w:val="both"/>
              <w:rPr>
                <w:rFonts w:ascii="Arial" w:hAnsi="Arial" w:cs="Arial"/>
                <w:sz w:val="18"/>
                <w:szCs w:val="18"/>
                <w:vertAlign w:val="superscript"/>
              </w:rPr>
            </w:pPr>
          </w:p>
          <w:p w14:paraId="55FFFF40" w14:textId="77777777" w:rsidR="0033067B" w:rsidRDefault="00581C72">
            <w:pPr>
              <w:jc w:val="both"/>
              <w:rPr>
                <w:rFonts w:ascii="Arial" w:hAnsi="Arial" w:cs="Arial"/>
                <w:sz w:val="18"/>
                <w:szCs w:val="18"/>
                <w:vertAlign w:val="superscript"/>
              </w:rPr>
            </w:pPr>
            <w:r>
              <w:rPr>
                <w:rFonts w:ascii="Arial" w:hAnsi="Arial" w:cs="Arial"/>
                <w:b/>
                <w:sz w:val="18"/>
                <w:szCs w:val="18"/>
              </w:rPr>
              <w:t>ABNT NBR ISO/IEC 27001:</w:t>
            </w:r>
            <w:r>
              <w:rPr>
                <w:rFonts w:ascii="Arial" w:hAnsi="Arial" w:cs="Arial"/>
                <w:sz w:val="18"/>
                <w:szCs w:val="18"/>
              </w:rPr>
              <w:t xml:space="preserve"> 2022, cláusulas 5.3 e 7.2: definir responsabilidades e autoridades para segurança da informação e assegurar competências necessárias às funções atribuídas.</w:t>
            </w:r>
          </w:p>
          <w:p w14:paraId="58F0119D" w14:textId="77777777" w:rsidR="0033067B" w:rsidRDefault="0033067B">
            <w:pPr>
              <w:jc w:val="both"/>
              <w:rPr>
                <w:rFonts w:ascii="Arial" w:hAnsi="Arial" w:cs="Arial"/>
                <w:sz w:val="18"/>
                <w:szCs w:val="18"/>
                <w:vertAlign w:val="superscript"/>
              </w:rPr>
            </w:pPr>
          </w:p>
          <w:p w14:paraId="0CE0AC4C"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comunicar e manter papéis e responsabilidades relacionados à governança e gestão de TIC.</w:t>
            </w:r>
          </w:p>
          <w:p w14:paraId="223EA78B" w14:textId="77777777" w:rsidR="0033067B" w:rsidRDefault="0033067B">
            <w:pPr>
              <w:jc w:val="both"/>
              <w:rPr>
                <w:rFonts w:ascii="Arial" w:hAnsi="Arial" w:cs="Arial"/>
                <w:sz w:val="18"/>
                <w:szCs w:val="18"/>
                <w:vertAlign w:val="superscript"/>
              </w:rPr>
            </w:pPr>
          </w:p>
          <w:p w14:paraId="58AE415B"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APO07.02 - Identificar pessoal-chave de TI:</w:t>
            </w:r>
            <w:r>
              <w:rPr>
                <w:rFonts w:ascii="Arial" w:hAnsi="Arial" w:cs="Arial"/>
                <w:sz w:val="18"/>
                <w:szCs w:val="18"/>
              </w:rPr>
              <w:t xml:space="preserve"> identificar funções e pessoas críticas para reduzir dependência individual, perda de conhecimento e descontinuidade.</w:t>
            </w:r>
          </w:p>
          <w:p w14:paraId="300E334D" w14:textId="77777777" w:rsidR="0033067B" w:rsidRDefault="0033067B">
            <w:pPr>
              <w:jc w:val="both"/>
              <w:rPr>
                <w:rFonts w:ascii="Arial" w:hAnsi="Arial" w:cs="Arial"/>
                <w:sz w:val="18"/>
                <w:szCs w:val="18"/>
                <w:vertAlign w:val="superscript"/>
              </w:rPr>
            </w:pPr>
          </w:p>
          <w:p w14:paraId="2BD2D263"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APO07.03 - Manter habilidades e competências do pessoal:</w:t>
            </w:r>
            <w:r>
              <w:rPr>
                <w:rFonts w:ascii="Arial" w:hAnsi="Arial" w:cs="Arial"/>
                <w:sz w:val="18"/>
                <w:szCs w:val="18"/>
              </w:rPr>
              <w:t xml:space="preserve"> identificar, desenvolver e manter competências necessárias à execução das responsabilidades de TIC.</w:t>
            </w:r>
          </w:p>
          <w:p w14:paraId="51DDE965" w14:textId="77777777" w:rsidR="0033067B" w:rsidRDefault="0033067B">
            <w:pPr>
              <w:jc w:val="both"/>
              <w:rPr>
                <w:rFonts w:ascii="Arial" w:hAnsi="Arial" w:cs="Arial"/>
                <w:sz w:val="18"/>
                <w:szCs w:val="18"/>
                <w:vertAlign w:val="superscript"/>
              </w:rPr>
            </w:pPr>
          </w:p>
          <w:p w14:paraId="494FA1D4" w14:textId="77777777" w:rsidR="0033067B" w:rsidRDefault="00581C72">
            <w:pPr>
              <w:jc w:val="both"/>
              <w:rPr>
                <w:rFonts w:ascii="Arial" w:hAnsi="Arial" w:cs="Arial"/>
                <w:sz w:val="18"/>
                <w:szCs w:val="18"/>
                <w:vertAlign w:val="superscript"/>
              </w:rPr>
            </w:pPr>
            <w:r>
              <w:rPr>
                <w:rFonts w:ascii="Arial" w:hAnsi="Arial" w:cs="Arial"/>
                <w:b/>
                <w:sz w:val="18"/>
                <w:szCs w:val="18"/>
              </w:rPr>
              <w:t>ABNT NBR ISO/IEC 27002:</w:t>
            </w:r>
            <w:r>
              <w:rPr>
                <w:rFonts w:ascii="Arial" w:hAnsi="Arial" w:cs="Arial"/>
                <w:sz w:val="18"/>
                <w:szCs w:val="18"/>
              </w:rPr>
              <w:t xml:space="preserve"> 2022, controles 5.2 e 6.3: definir papéis e responsabilidades de segurança da informação e promover conscientização, educação e treinamento em segurança.</w:t>
            </w:r>
          </w:p>
          <w:p w14:paraId="0F002F90" w14:textId="77777777" w:rsidR="0033067B" w:rsidRDefault="0033067B">
            <w:pPr>
              <w:jc w:val="both"/>
              <w:rPr>
                <w:rFonts w:ascii="Arial" w:hAnsi="Arial" w:cs="Arial"/>
                <w:sz w:val="18"/>
                <w:szCs w:val="18"/>
                <w:vertAlign w:val="superscript"/>
              </w:rPr>
            </w:pPr>
          </w:p>
          <w:p w14:paraId="152D7038" w14:textId="77777777" w:rsidR="0033067B" w:rsidRDefault="00581C72">
            <w:pPr>
              <w:jc w:val="both"/>
              <w:rPr>
                <w:rFonts w:ascii="Arial" w:hAnsi="Arial" w:cs="Arial"/>
                <w:sz w:val="18"/>
                <w:szCs w:val="18"/>
                <w:vertAlign w:val="superscript"/>
              </w:rPr>
            </w:pPr>
            <w:r>
              <w:rPr>
                <w:rFonts w:ascii="Arial" w:hAnsi="Arial" w:cs="Arial"/>
                <w:b/>
                <w:sz w:val="18"/>
                <w:szCs w:val="18"/>
              </w:rPr>
              <w:t>COBIT 2019, APO07.06 - Gerenciar pessoal contratado:</w:t>
            </w:r>
            <w:r>
              <w:rPr>
                <w:rFonts w:ascii="Arial" w:hAnsi="Arial" w:cs="Arial"/>
                <w:sz w:val="18"/>
                <w:szCs w:val="18"/>
              </w:rPr>
              <w:t xml:space="preserve"> controlar o uso de pessoal terceirizado ou externo, preservando responsabilização, supervisão e retenção de conhecimento.</w:t>
            </w:r>
          </w:p>
          <w:p w14:paraId="0B36E412" w14:textId="77777777" w:rsidR="0033067B" w:rsidRDefault="0033067B">
            <w:pPr>
              <w:jc w:val="both"/>
              <w:rPr>
                <w:rFonts w:ascii="Arial" w:hAnsi="Arial" w:cs="Arial"/>
                <w:sz w:val="18"/>
                <w:szCs w:val="18"/>
                <w:vertAlign w:val="superscript"/>
              </w:rPr>
            </w:pPr>
          </w:p>
          <w:p w14:paraId="53D84434" w14:textId="77777777" w:rsidR="0033067B" w:rsidRDefault="00581C72">
            <w:pPr>
              <w:jc w:val="both"/>
              <w:rPr>
                <w:rFonts w:ascii="Arial" w:hAnsi="Arial" w:cs="Arial"/>
                <w:sz w:val="18"/>
                <w:szCs w:val="18"/>
                <w:vertAlign w:val="superscript"/>
              </w:rPr>
            </w:pPr>
            <w:r>
              <w:rPr>
                <w:rFonts w:ascii="Arial" w:hAnsi="Arial" w:cs="Arial"/>
                <w:b/>
                <w:sz w:val="18"/>
                <w:szCs w:val="18"/>
              </w:rPr>
              <w:t>COBIT 2019, APO10.04 - Gerenciar risco de fornecedores:</w:t>
            </w:r>
            <w:r>
              <w:rPr>
                <w:rFonts w:ascii="Arial" w:hAnsi="Arial" w:cs="Arial"/>
                <w:sz w:val="18"/>
                <w:szCs w:val="18"/>
              </w:rPr>
              <w:t xml:space="preserve"> identificar e tratar riscos decorrentes de fornecedores, contratos e dependências externas relevantes para TIC.</w:t>
            </w:r>
          </w:p>
          <w:p w14:paraId="2ABD6B8A" w14:textId="77777777" w:rsidR="0033067B" w:rsidRDefault="0033067B">
            <w:pPr>
              <w:jc w:val="both"/>
              <w:rPr>
                <w:rFonts w:ascii="Arial" w:hAnsi="Arial" w:cs="Arial"/>
                <w:sz w:val="18"/>
                <w:szCs w:val="18"/>
                <w:vertAlign w:val="superscript"/>
              </w:rPr>
            </w:pPr>
          </w:p>
          <w:p w14:paraId="3FD34F25" w14:textId="77777777" w:rsidR="0033067B" w:rsidRDefault="00581C72">
            <w:pPr>
              <w:jc w:val="both"/>
              <w:rPr>
                <w:rFonts w:ascii="Arial" w:hAnsi="Arial" w:cs="Arial"/>
                <w:sz w:val="18"/>
                <w:szCs w:val="18"/>
                <w:vertAlign w:val="superscript"/>
              </w:rPr>
            </w:pPr>
            <w:r>
              <w:rPr>
                <w:rFonts w:ascii="Arial" w:hAnsi="Arial" w:cs="Arial"/>
                <w:b/>
                <w:sz w:val="18"/>
                <w:szCs w:val="18"/>
              </w:rPr>
              <w:t>COBIT 2019, DSS01.02 - Gerenciar serviços de TI terceirizados:</w:t>
            </w:r>
            <w:r>
              <w:rPr>
                <w:rFonts w:ascii="Arial" w:hAnsi="Arial" w:cs="Arial"/>
                <w:sz w:val="18"/>
                <w:szCs w:val="18"/>
              </w:rPr>
              <w:t xml:space="preserve"> assegurar que serviços terceirizados sejam supervisionados, medidos e integrados aos controles da organização.</w:t>
            </w:r>
          </w:p>
        </w:tc>
        <w:tc>
          <w:tcPr>
            <w:tcW w:w="752" w:type="pct"/>
          </w:tcPr>
          <w:p w14:paraId="28901942"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3B25B226" w14:textId="77777777" w:rsidR="0033067B" w:rsidRDefault="0033067B">
            <w:pPr>
              <w:spacing w:after="60"/>
              <w:jc w:val="both"/>
              <w:rPr>
                <w:rFonts w:ascii="Arial" w:hAnsi="Arial" w:cs="Arial"/>
                <w:sz w:val="18"/>
                <w:szCs w:val="18"/>
              </w:rPr>
            </w:pPr>
          </w:p>
          <w:p w14:paraId="303025FC" w14:textId="77777777" w:rsidR="0033067B" w:rsidRDefault="00581C72">
            <w:pPr>
              <w:spacing w:after="60"/>
              <w:jc w:val="both"/>
              <w:rPr>
                <w:rFonts w:ascii="Arial" w:hAnsi="Arial" w:cs="Arial"/>
                <w:sz w:val="18"/>
                <w:szCs w:val="18"/>
              </w:rPr>
            </w:pPr>
            <w:r>
              <w:rPr>
                <w:rFonts w:ascii="Arial" w:hAnsi="Arial" w:cs="Arial"/>
                <w:sz w:val="18"/>
                <w:szCs w:val="18"/>
              </w:rPr>
              <w:t>a) Quantitativo declarado igual a zero para profissionais de TIC ou segurança da informação, ou incompatível com a estrutura de TIC declarada pela organização.</w:t>
            </w:r>
          </w:p>
          <w:p w14:paraId="422E07A4" w14:textId="77777777" w:rsidR="0033067B" w:rsidRDefault="00581C72">
            <w:pPr>
              <w:spacing w:after="60"/>
              <w:jc w:val="both"/>
              <w:rPr>
                <w:rFonts w:ascii="Arial" w:hAnsi="Arial" w:cs="Arial"/>
                <w:sz w:val="18"/>
                <w:szCs w:val="18"/>
              </w:rPr>
            </w:pPr>
            <w:r>
              <w:rPr>
                <w:rFonts w:ascii="Arial" w:hAnsi="Arial" w:cs="Arial"/>
                <w:sz w:val="18"/>
                <w:szCs w:val="18"/>
              </w:rPr>
              <w:t>b) Resposta negativa ou insuficiente sobre definição do quantitativo necessário de pessoal de TIC e segurança da informação, ou evidência inexistente/incompatível/insuficiente.</w:t>
            </w:r>
          </w:p>
          <w:p w14:paraId="7AE80946" w14:textId="77777777" w:rsidR="0033067B" w:rsidRDefault="00581C72">
            <w:pPr>
              <w:spacing w:after="60"/>
              <w:jc w:val="both"/>
              <w:rPr>
                <w:rFonts w:ascii="Arial" w:hAnsi="Arial" w:cs="Arial"/>
                <w:sz w:val="18"/>
                <w:szCs w:val="18"/>
              </w:rPr>
            </w:pPr>
            <w:r>
              <w:rPr>
                <w:rFonts w:ascii="Arial" w:hAnsi="Arial" w:cs="Arial"/>
                <w:sz w:val="18"/>
                <w:szCs w:val="18"/>
              </w:rPr>
              <w:t>c) Resposta negativa sobre existência de cargos específicos em TIC e segurança da informação.</w:t>
            </w:r>
          </w:p>
          <w:p w14:paraId="32B8B572" w14:textId="77777777" w:rsidR="0033067B" w:rsidRDefault="00581C72">
            <w:pPr>
              <w:spacing w:after="60"/>
              <w:jc w:val="both"/>
              <w:rPr>
                <w:rFonts w:ascii="Arial" w:hAnsi="Arial" w:cs="Arial"/>
                <w:sz w:val="18"/>
                <w:szCs w:val="18"/>
              </w:rPr>
            </w:pPr>
            <w:r>
              <w:rPr>
                <w:rFonts w:ascii="Arial" w:hAnsi="Arial" w:cs="Arial"/>
                <w:sz w:val="18"/>
                <w:szCs w:val="18"/>
              </w:rPr>
              <w:t>d) Resposta negativa ou insuficiente sobre perfis profissionais definidos para gestores ou colaboradores de TIC e segurança da informação, ou evidência inexistente/incompatível/insuficiente.</w:t>
            </w:r>
          </w:p>
          <w:p w14:paraId="7315A95B" w14:textId="77777777" w:rsidR="0033067B" w:rsidRDefault="00581C72">
            <w:pPr>
              <w:spacing w:after="60"/>
              <w:jc w:val="both"/>
              <w:rPr>
                <w:rFonts w:ascii="Arial" w:hAnsi="Arial" w:cs="Arial"/>
                <w:sz w:val="18"/>
                <w:szCs w:val="18"/>
              </w:rPr>
            </w:pPr>
            <w:r>
              <w:rPr>
                <w:rFonts w:ascii="Arial" w:hAnsi="Arial" w:cs="Arial"/>
                <w:sz w:val="18"/>
                <w:szCs w:val="18"/>
              </w:rPr>
              <w:t>e) Resposta negativa ou insuficiente sobre escolha de gestores segundo perfis profissionais definidos, ou evidência inexistente/incompatível/insuficiente.</w:t>
            </w:r>
          </w:p>
          <w:p w14:paraId="210F0B2F" w14:textId="77777777" w:rsidR="0033067B" w:rsidRDefault="00581C72">
            <w:pPr>
              <w:spacing w:after="60"/>
              <w:jc w:val="both"/>
              <w:rPr>
                <w:rFonts w:ascii="Arial" w:hAnsi="Arial" w:cs="Arial"/>
                <w:sz w:val="18"/>
                <w:szCs w:val="18"/>
              </w:rPr>
            </w:pPr>
            <w:r>
              <w:rPr>
                <w:rFonts w:ascii="Arial" w:hAnsi="Arial" w:cs="Arial"/>
                <w:sz w:val="18"/>
                <w:szCs w:val="18"/>
              </w:rPr>
              <w:t>f) Resposta negativa ou insuficiente sobre identificação ou tratamento de lacunas de competências, ou evidência inexistente/incompatível/insuficiente.</w:t>
            </w:r>
          </w:p>
          <w:p w14:paraId="592CDF1E" w14:textId="77777777" w:rsidR="0033067B" w:rsidRDefault="00581C72">
            <w:pPr>
              <w:spacing w:after="60"/>
              <w:jc w:val="both"/>
              <w:rPr>
                <w:rFonts w:ascii="Arial" w:hAnsi="Arial" w:cs="Arial"/>
                <w:sz w:val="18"/>
                <w:szCs w:val="18"/>
              </w:rPr>
            </w:pPr>
            <w:r>
              <w:rPr>
                <w:rFonts w:ascii="Arial" w:hAnsi="Arial" w:cs="Arial"/>
                <w:sz w:val="18"/>
                <w:szCs w:val="18"/>
              </w:rPr>
              <w:t>g) Evidência, a partir das respostas e anexos do questionário, de dependência excessiva de terceiros em atividades críticas sem capacidade interna suficiente de coordenação, fiscalização ou retenção de conhecimento.</w:t>
            </w:r>
          </w:p>
        </w:tc>
        <w:tc>
          <w:tcPr>
            <w:tcW w:w="790" w:type="pct"/>
          </w:tcPr>
          <w:p w14:paraId="297861F5"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0A52C89A" w14:textId="77777777" w:rsidR="0033067B" w:rsidRDefault="00581C72">
            <w:pPr>
              <w:jc w:val="both"/>
              <w:rPr>
                <w:rFonts w:ascii="Arial" w:hAnsi="Arial" w:cs="Arial"/>
                <w:sz w:val="18"/>
                <w:szCs w:val="18"/>
              </w:rPr>
            </w:pPr>
            <w:r>
              <w:rPr>
                <w:rFonts w:ascii="Arial" w:hAnsi="Arial" w:cs="Arial"/>
                <w:b/>
                <w:sz w:val="18"/>
                <w:szCs w:val="18"/>
              </w:rPr>
              <w:t>Capacidade operacional insuficiente:</w:t>
            </w:r>
            <w:r>
              <w:rPr>
                <w:rFonts w:ascii="Arial" w:hAnsi="Arial" w:cs="Arial"/>
                <w:sz w:val="18"/>
                <w:szCs w:val="18"/>
              </w:rPr>
              <w:t xml:space="preserve"> Falta de força de trabalho mínima limita a capacidade de planejar, gerir, proteger, contratar, fiscalizar e sustentar serviços de TIC e segurança da informação.</w:t>
            </w:r>
          </w:p>
          <w:p w14:paraId="24E67232" w14:textId="77777777" w:rsidR="0033067B" w:rsidRDefault="0033067B">
            <w:pPr>
              <w:jc w:val="both"/>
              <w:rPr>
                <w:rFonts w:ascii="Arial" w:hAnsi="Arial" w:cs="Arial"/>
                <w:sz w:val="18"/>
                <w:szCs w:val="18"/>
              </w:rPr>
            </w:pPr>
          </w:p>
          <w:p w14:paraId="37B7AF1F" w14:textId="77777777" w:rsidR="0033067B" w:rsidRDefault="00581C72">
            <w:pPr>
              <w:jc w:val="both"/>
              <w:rPr>
                <w:rFonts w:ascii="Arial" w:hAnsi="Arial" w:cs="Arial"/>
                <w:sz w:val="18"/>
                <w:szCs w:val="18"/>
              </w:rPr>
            </w:pPr>
            <w:r>
              <w:rPr>
                <w:rFonts w:ascii="Arial" w:hAnsi="Arial" w:cs="Arial"/>
                <w:b/>
                <w:sz w:val="18"/>
                <w:szCs w:val="18"/>
              </w:rPr>
              <w:t>Dimensionamento inadequado da equipe:</w:t>
            </w:r>
            <w:r>
              <w:rPr>
                <w:rFonts w:ascii="Arial" w:hAnsi="Arial" w:cs="Arial"/>
                <w:sz w:val="18"/>
                <w:szCs w:val="18"/>
              </w:rPr>
              <w:t xml:space="preserve"> Inexistência de estimativa do quantitativo necessário dificulta justificar a alocação de pessoal e priorizar reforços de capacidade.</w:t>
            </w:r>
          </w:p>
          <w:p w14:paraId="1CC612A1" w14:textId="77777777" w:rsidR="0033067B" w:rsidRDefault="0033067B">
            <w:pPr>
              <w:jc w:val="both"/>
              <w:rPr>
                <w:rFonts w:ascii="Arial" w:hAnsi="Arial" w:cs="Arial"/>
                <w:sz w:val="18"/>
                <w:szCs w:val="18"/>
              </w:rPr>
            </w:pPr>
          </w:p>
          <w:p w14:paraId="75C56035" w14:textId="77777777" w:rsidR="0033067B" w:rsidRDefault="00581C72">
            <w:pPr>
              <w:jc w:val="both"/>
              <w:rPr>
                <w:rFonts w:ascii="Arial" w:hAnsi="Arial" w:cs="Arial"/>
                <w:sz w:val="18"/>
                <w:szCs w:val="18"/>
              </w:rPr>
            </w:pPr>
            <w:r>
              <w:rPr>
                <w:rFonts w:ascii="Arial" w:hAnsi="Arial" w:cs="Arial"/>
                <w:b/>
                <w:sz w:val="18"/>
                <w:szCs w:val="18"/>
              </w:rPr>
              <w:t>Fragilidade na profissionalização da TIC:</w:t>
            </w:r>
            <w:r>
              <w:rPr>
                <w:rFonts w:ascii="Arial" w:hAnsi="Arial" w:cs="Arial"/>
                <w:sz w:val="18"/>
                <w:szCs w:val="18"/>
              </w:rPr>
              <w:t xml:space="preserve"> Ausência de cargos, funções, perfis ou ocupações específicas dificulta atrair, selecionar e responsabilizar profissionais com competências adequadas.</w:t>
            </w:r>
          </w:p>
          <w:p w14:paraId="3008DA86" w14:textId="77777777" w:rsidR="0033067B" w:rsidRDefault="0033067B">
            <w:pPr>
              <w:jc w:val="both"/>
              <w:rPr>
                <w:rFonts w:ascii="Arial" w:hAnsi="Arial" w:cs="Arial"/>
                <w:sz w:val="18"/>
                <w:szCs w:val="18"/>
              </w:rPr>
            </w:pPr>
          </w:p>
          <w:p w14:paraId="5EB41787" w14:textId="77777777" w:rsidR="0033067B" w:rsidRDefault="00581C72">
            <w:pPr>
              <w:jc w:val="both"/>
              <w:rPr>
                <w:rFonts w:ascii="Arial" w:hAnsi="Arial" w:cs="Arial"/>
                <w:sz w:val="18"/>
                <w:szCs w:val="18"/>
              </w:rPr>
            </w:pPr>
            <w:r>
              <w:rPr>
                <w:rFonts w:ascii="Arial" w:hAnsi="Arial" w:cs="Arial"/>
                <w:b/>
                <w:sz w:val="18"/>
                <w:szCs w:val="18"/>
              </w:rPr>
              <w:t>Escolha de gestores sem critérios técnicos:</w:t>
            </w:r>
            <w:r>
              <w:rPr>
                <w:rFonts w:ascii="Arial" w:hAnsi="Arial" w:cs="Arial"/>
                <w:sz w:val="18"/>
                <w:szCs w:val="18"/>
              </w:rPr>
              <w:t xml:space="preserve"> Perfis profissionais inexistentes, insuficientes ou não utilizados reduzem a aderência entre responsabilidades de TIC e competências dos designados.</w:t>
            </w:r>
          </w:p>
          <w:p w14:paraId="3DF76F82" w14:textId="77777777" w:rsidR="0033067B" w:rsidRDefault="0033067B">
            <w:pPr>
              <w:jc w:val="both"/>
              <w:rPr>
                <w:rFonts w:ascii="Arial" w:hAnsi="Arial" w:cs="Arial"/>
                <w:sz w:val="18"/>
                <w:szCs w:val="18"/>
              </w:rPr>
            </w:pPr>
          </w:p>
          <w:p w14:paraId="587DA36B" w14:textId="77777777" w:rsidR="0033067B" w:rsidRDefault="00581C72">
            <w:pPr>
              <w:jc w:val="both"/>
              <w:rPr>
                <w:rFonts w:ascii="Arial" w:hAnsi="Arial" w:cs="Arial"/>
                <w:sz w:val="18"/>
                <w:szCs w:val="18"/>
              </w:rPr>
            </w:pPr>
            <w:r>
              <w:rPr>
                <w:rFonts w:ascii="Arial" w:hAnsi="Arial" w:cs="Arial"/>
                <w:b/>
                <w:sz w:val="18"/>
                <w:szCs w:val="18"/>
              </w:rPr>
              <w:t>Lacunas de competência não tratadas:</w:t>
            </w:r>
            <w:r>
              <w:rPr>
                <w:rFonts w:ascii="Arial" w:hAnsi="Arial" w:cs="Arial"/>
                <w:sz w:val="18"/>
                <w:szCs w:val="18"/>
              </w:rPr>
              <w:t xml:space="preserve"> Ausência de diagnóstico e plano de tratamento mantém dependências críticas e reduz a qualidade da gestão e da fiscalização das atividades de TIC.</w:t>
            </w:r>
          </w:p>
          <w:p w14:paraId="66F32DDD" w14:textId="77777777" w:rsidR="0033067B" w:rsidRDefault="0033067B">
            <w:pPr>
              <w:jc w:val="both"/>
              <w:rPr>
                <w:rFonts w:ascii="Arial" w:hAnsi="Arial" w:cs="Arial"/>
                <w:sz w:val="18"/>
                <w:szCs w:val="18"/>
              </w:rPr>
            </w:pPr>
          </w:p>
          <w:p w14:paraId="1A336A01" w14:textId="77777777" w:rsidR="0033067B" w:rsidRDefault="00581C72">
            <w:pPr>
              <w:jc w:val="both"/>
              <w:rPr>
                <w:rFonts w:ascii="Arial" w:hAnsi="Arial" w:cs="Arial"/>
                <w:sz w:val="18"/>
                <w:szCs w:val="18"/>
              </w:rPr>
            </w:pPr>
            <w:r>
              <w:rPr>
                <w:rFonts w:ascii="Arial" w:hAnsi="Arial" w:cs="Arial"/>
                <w:b/>
                <w:sz w:val="18"/>
                <w:szCs w:val="18"/>
              </w:rPr>
              <w:t>Dependência excessiva de terceiros:</w:t>
            </w:r>
            <w:r>
              <w:rPr>
                <w:rFonts w:ascii="Arial" w:hAnsi="Arial" w:cs="Arial"/>
                <w:sz w:val="18"/>
                <w:szCs w:val="18"/>
              </w:rPr>
              <w:t xml:space="preserve"> Modelo de operação terceirizado ou externo sem capacidade interna mínima compromete coordenação, aprovação técnica, fiscalização, decisão e retenção de conhecimento.</w:t>
            </w:r>
          </w:p>
        </w:tc>
        <w:tc>
          <w:tcPr>
            <w:tcW w:w="1521" w:type="pct"/>
          </w:tcPr>
          <w:p w14:paraId="41765F5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a força de trabalho dedicada à TIC e à segurança da informação e adote medidas proporcionais para assegurar capacidade mínima de planejamento, gestão, proteção, contratação, fiscalização e sustentação dos serviços e ativos de TIC.</w:t>
            </w:r>
          </w:p>
          <w:p w14:paraId="753532B2" w14:textId="77777777" w:rsidR="0033067B" w:rsidRDefault="0033067B">
            <w:pPr>
              <w:jc w:val="both"/>
              <w:rPr>
                <w:rFonts w:ascii="Arial" w:hAnsi="Arial" w:cs="Arial"/>
                <w:sz w:val="18"/>
                <w:szCs w:val="18"/>
              </w:rPr>
            </w:pPr>
          </w:p>
          <w:p w14:paraId="14E6D48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estime e mantenha atualizado o quantitativo necessário de pessoal de TIC e segurança da informação, considerando o porte e a complexidade da organização, os serviços críticos, os sistemas mantidos, as contratações vigentes e os riscos relevantes.</w:t>
            </w:r>
          </w:p>
          <w:p w14:paraId="7674B854" w14:textId="77777777" w:rsidR="0033067B" w:rsidRDefault="0033067B">
            <w:pPr>
              <w:jc w:val="both"/>
              <w:rPr>
                <w:rFonts w:ascii="Arial" w:hAnsi="Arial" w:cs="Arial"/>
                <w:sz w:val="18"/>
                <w:szCs w:val="18"/>
              </w:rPr>
            </w:pPr>
          </w:p>
          <w:p w14:paraId="76D05491"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a necessidade de instituir cargos, funções, gratificações, perfis ou ocupações específicas de TIC e segurança da informação e adote a solução compatível com as necessidades institucionais e a capacidade administrativa da organização.</w:t>
            </w:r>
          </w:p>
          <w:p w14:paraId="314927CD" w14:textId="77777777" w:rsidR="0033067B" w:rsidRDefault="0033067B">
            <w:pPr>
              <w:jc w:val="both"/>
              <w:rPr>
                <w:rFonts w:ascii="Arial" w:hAnsi="Arial" w:cs="Arial"/>
                <w:sz w:val="18"/>
                <w:szCs w:val="18"/>
              </w:rPr>
            </w:pPr>
          </w:p>
          <w:p w14:paraId="5E88B751"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perfis profissionais mínimos para gestores e colaboradores de TIC e segurança da informação, atentando-se, minimamente, em estabelecer conhecimentos, habilidades, experiência e responsabilidades requeridos e utilizar esses perfis na seleção e designação dos responsáveis.</w:t>
            </w:r>
          </w:p>
          <w:p w14:paraId="3DED8215" w14:textId="77777777" w:rsidR="0033067B" w:rsidRDefault="0033067B">
            <w:pPr>
              <w:jc w:val="both"/>
              <w:rPr>
                <w:rFonts w:ascii="Arial" w:hAnsi="Arial" w:cs="Arial"/>
                <w:sz w:val="18"/>
                <w:szCs w:val="18"/>
              </w:rPr>
            </w:pPr>
          </w:p>
          <w:p w14:paraId="5BA4296F"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realize diagnóstico periódico das lacunas de competências dos gestores e colaboradores de TIC e segurança da informação e estabeleça plano de tratamento, contemplando, conforme a necessidade, capacitação, realocação, provimento, apoio especializado, compartilhamento de estrutura ou contratação com transferência de conhecimento.</w:t>
            </w:r>
          </w:p>
          <w:p w14:paraId="43D65DF1" w14:textId="77777777" w:rsidR="0033067B" w:rsidRDefault="0033067B">
            <w:pPr>
              <w:jc w:val="both"/>
              <w:rPr>
                <w:rFonts w:ascii="Arial" w:hAnsi="Arial" w:cs="Arial"/>
                <w:sz w:val="18"/>
                <w:szCs w:val="18"/>
              </w:rPr>
            </w:pPr>
          </w:p>
          <w:p w14:paraId="11DEBF7E"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avalie o modelo de operação de TIC e adote medidas para assegurar capacidade interna mínima de coordenação, planejamento, aprovação técnica, fiscalização contratual, tomada de decisão e retenção de conhecimento, especialmente quando a execução das atividades de TIC depender predominantemente de terceiros ou de estrutura externa.</w:t>
            </w:r>
          </w:p>
        </w:tc>
      </w:tr>
    </w:tbl>
    <w:p w14:paraId="251278B4" w14:textId="77777777" w:rsidR="00F44088" w:rsidRDefault="00F44088" w:rsidP="001E6730">
      <w:pPr>
        <w:jc w:val="center"/>
        <w:rPr>
          <w:rFonts w:ascii="Arial" w:hAnsi="Arial" w:cs="Arial"/>
          <w:b/>
        </w:rPr>
      </w:pPr>
    </w:p>
    <w:p w14:paraId="50AD5B1F" w14:textId="77777777" w:rsidR="00F44088" w:rsidRDefault="00F44088">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F44088" w:rsidRPr="00636B72" w14:paraId="0296F3EF" w14:textId="77777777" w:rsidTr="003A6734">
        <w:trPr>
          <w:trHeight w:val="300"/>
          <w:tblHeader/>
        </w:trPr>
        <w:tc>
          <w:tcPr>
            <w:tcW w:w="473" w:type="pct"/>
          </w:tcPr>
          <w:p w14:paraId="258D83EA" w14:textId="77777777" w:rsidR="00F44088" w:rsidRPr="00636B72" w:rsidRDefault="00F44088"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410A5EB5" w14:textId="77777777" w:rsidR="00F44088" w:rsidRPr="00636B72" w:rsidRDefault="00F44088"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45E01028"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3FD8B688" w14:textId="77777777" w:rsidR="00F44088" w:rsidRPr="00636B72" w:rsidRDefault="00F44088"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77DF5DBD"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4F1C0FCC" w14:textId="77777777" w:rsidR="00F44088" w:rsidRPr="00636B72" w:rsidRDefault="00F44088"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293A47" w:rsidRPr="00636B72" w14:paraId="6F79C4B0" w14:textId="77777777" w:rsidTr="003A6734">
        <w:trPr>
          <w:trHeight w:val="300"/>
        </w:trPr>
        <w:tc>
          <w:tcPr>
            <w:tcW w:w="473" w:type="pct"/>
          </w:tcPr>
          <w:p w14:paraId="7418BDBC" w14:textId="77777777" w:rsidR="0033067B" w:rsidRDefault="00581C72">
            <w:pPr>
              <w:spacing w:after="60"/>
              <w:jc w:val="both"/>
              <w:rPr>
                <w:rFonts w:ascii="Arial" w:hAnsi="Arial" w:cs="Arial"/>
                <w:b/>
                <w:bCs/>
                <w:sz w:val="18"/>
                <w:szCs w:val="18"/>
              </w:rPr>
            </w:pPr>
            <w:r>
              <w:rPr>
                <w:rFonts w:ascii="Arial" w:hAnsi="Arial" w:cs="Arial"/>
                <w:b/>
                <w:bCs/>
                <w:sz w:val="18"/>
                <w:szCs w:val="18"/>
              </w:rPr>
              <w:t>ACHADO 05</w:t>
            </w:r>
          </w:p>
          <w:p w14:paraId="7433D20D" w14:textId="77777777" w:rsidR="0033067B" w:rsidRDefault="0033067B">
            <w:pPr>
              <w:spacing w:after="60"/>
              <w:jc w:val="both"/>
              <w:rPr>
                <w:rFonts w:ascii="Arial" w:hAnsi="Arial" w:cs="Arial"/>
                <w:b/>
                <w:bCs/>
                <w:sz w:val="18"/>
                <w:szCs w:val="18"/>
              </w:rPr>
            </w:pPr>
          </w:p>
          <w:p w14:paraId="030E3E21" w14:textId="77777777" w:rsidR="0033067B" w:rsidRDefault="00581C72">
            <w:pPr>
              <w:spacing w:after="60"/>
              <w:jc w:val="both"/>
              <w:rPr>
                <w:rFonts w:ascii="Arial" w:hAnsi="Arial" w:cs="Arial"/>
                <w:b/>
                <w:bCs/>
                <w:sz w:val="18"/>
                <w:szCs w:val="18"/>
              </w:rPr>
            </w:pPr>
            <w:r>
              <w:rPr>
                <w:rFonts w:ascii="Arial" w:eastAsia="Arial" w:hAnsi="Arial" w:cs="Arial"/>
                <w:sz w:val="18"/>
                <w:szCs w:val="18"/>
              </w:rPr>
              <w:t>Gestão de serviços de TIC incipiente, sem controle mínimo sobre serviços, ativos e incidentes</w:t>
            </w:r>
          </w:p>
        </w:tc>
        <w:tc>
          <w:tcPr>
            <w:tcW w:w="752" w:type="pct"/>
          </w:tcPr>
          <w:p w14:paraId="54721FC6"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do catálogo de serviços:</w:t>
            </w:r>
            <w:r>
              <w:rPr>
                <w:rFonts w:ascii="Arial" w:hAnsi="Arial" w:cs="Arial"/>
                <w:sz w:val="18"/>
                <w:szCs w:val="18"/>
              </w:rPr>
              <w:t xml:space="preserve"> manter fonte única de informações consistentes sobre serviços e ofertas de serviço, disponível para usuários e equipes de suporte.</w:t>
            </w:r>
          </w:p>
          <w:p w14:paraId="3939DA15" w14:textId="77777777" w:rsidR="0033067B" w:rsidRDefault="0033067B">
            <w:pPr>
              <w:jc w:val="both"/>
              <w:rPr>
                <w:rFonts w:ascii="Arial" w:hAnsi="Arial" w:cs="Arial"/>
                <w:sz w:val="18"/>
                <w:szCs w:val="18"/>
                <w:vertAlign w:val="superscript"/>
              </w:rPr>
            </w:pPr>
          </w:p>
          <w:p w14:paraId="7B70185D" w14:textId="77777777" w:rsidR="0033067B" w:rsidRDefault="00581C72">
            <w:pPr>
              <w:jc w:val="both"/>
              <w:rPr>
                <w:rFonts w:ascii="Arial" w:hAnsi="Arial" w:cs="Arial"/>
                <w:sz w:val="18"/>
                <w:szCs w:val="18"/>
                <w:vertAlign w:val="superscript"/>
              </w:rPr>
            </w:pPr>
            <w:r>
              <w:rPr>
                <w:rFonts w:ascii="Arial" w:hAnsi="Arial" w:cs="Arial"/>
                <w:b/>
                <w:sz w:val="18"/>
                <w:szCs w:val="18"/>
              </w:rPr>
              <w:t>COBIT 2019, APO09.02 - Catalogar serviços facilitados por TI:</w:t>
            </w:r>
            <w:r>
              <w:rPr>
                <w:rFonts w:ascii="Arial" w:hAnsi="Arial" w:cs="Arial"/>
                <w:sz w:val="18"/>
                <w:szCs w:val="18"/>
              </w:rPr>
              <w:t xml:space="preserve"> definir, manter e comunicar catálogo de serviços, incluindo serviços prestados, características, requisitos e níveis de serviço esperados.</w:t>
            </w:r>
          </w:p>
          <w:p w14:paraId="1663A598" w14:textId="77777777" w:rsidR="0033067B" w:rsidRDefault="0033067B">
            <w:pPr>
              <w:jc w:val="both"/>
              <w:rPr>
                <w:rFonts w:ascii="Arial" w:hAnsi="Arial" w:cs="Arial"/>
                <w:sz w:val="18"/>
                <w:szCs w:val="18"/>
                <w:vertAlign w:val="superscript"/>
              </w:rPr>
            </w:pPr>
          </w:p>
          <w:p w14:paraId="07D46ACD"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de nível de serviço:</w:t>
            </w:r>
            <w:r>
              <w:rPr>
                <w:rFonts w:ascii="Arial" w:hAnsi="Arial" w:cs="Arial"/>
                <w:sz w:val="18"/>
                <w:szCs w:val="18"/>
              </w:rPr>
              <w:t xml:space="preserve"> definir, acordar, monitorar, avaliar e reportar metas e níveis de serviço alinhados às necessidades das áreas usuárias.</w:t>
            </w:r>
          </w:p>
          <w:p w14:paraId="7B11DEE2" w14:textId="77777777" w:rsidR="0033067B" w:rsidRDefault="0033067B">
            <w:pPr>
              <w:jc w:val="both"/>
              <w:rPr>
                <w:rFonts w:ascii="Arial" w:hAnsi="Arial" w:cs="Arial"/>
                <w:sz w:val="18"/>
                <w:szCs w:val="18"/>
                <w:vertAlign w:val="superscript"/>
              </w:rPr>
            </w:pPr>
          </w:p>
          <w:p w14:paraId="77A08EF1"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de ativos de TI:</w:t>
            </w:r>
            <w:r>
              <w:rPr>
                <w:rFonts w:ascii="Arial" w:hAnsi="Arial" w:cs="Arial"/>
                <w:sz w:val="18"/>
                <w:szCs w:val="18"/>
              </w:rPr>
              <w:t xml:space="preserve"> planejar e gerenciar o ciclo de vida dos ativos de TI, mantendo informações suficientes para apoiar controle, custo, risco, valor e tomada de decisão.</w:t>
            </w:r>
          </w:p>
          <w:p w14:paraId="6598A3B7" w14:textId="77777777" w:rsidR="0033067B" w:rsidRDefault="0033067B">
            <w:pPr>
              <w:jc w:val="both"/>
              <w:rPr>
                <w:rFonts w:ascii="Arial" w:hAnsi="Arial" w:cs="Arial"/>
                <w:sz w:val="18"/>
                <w:szCs w:val="18"/>
                <w:vertAlign w:val="superscript"/>
              </w:rPr>
            </w:pPr>
          </w:p>
          <w:p w14:paraId="2BCDA08A"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de configuração de serviço:</w:t>
            </w:r>
            <w:r>
              <w:rPr>
                <w:rFonts w:ascii="Arial" w:hAnsi="Arial" w:cs="Arial"/>
                <w:sz w:val="18"/>
                <w:szCs w:val="18"/>
              </w:rPr>
              <w:t xml:space="preserve"> assegurar informações precisas e confiáveis sobre itens de configuração e seus relacionamentos com serviços, sistemas e infraestrutura.</w:t>
            </w:r>
          </w:p>
          <w:p w14:paraId="0A9487AE" w14:textId="77777777" w:rsidR="0033067B" w:rsidRDefault="0033067B">
            <w:pPr>
              <w:jc w:val="both"/>
              <w:rPr>
                <w:rFonts w:ascii="Arial" w:hAnsi="Arial" w:cs="Arial"/>
                <w:sz w:val="18"/>
                <w:szCs w:val="18"/>
                <w:vertAlign w:val="superscript"/>
              </w:rPr>
            </w:pPr>
          </w:p>
          <w:p w14:paraId="7F25E4DD" w14:textId="77777777" w:rsidR="0033067B" w:rsidRDefault="00581C72">
            <w:pPr>
              <w:jc w:val="both"/>
              <w:rPr>
                <w:rFonts w:ascii="Arial" w:hAnsi="Arial" w:cs="Arial"/>
                <w:sz w:val="18"/>
                <w:szCs w:val="18"/>
                <w:vertAlign w:val="superscript"/>
              </w:rPr>
            </w:pPr>
            <w:r>
              <w:rPr>
                <w:rFonts w:ascii="Arial" w:hAnsi="Arial" w:cs="Arial"/>
                <w:b/>
                <w:sz w:val="18"/>
                <w:szCs w:val="18"/>
              </w:rPr>
              <w:t>COBIT 2019, BAI10.01 - Estabelecer e manter um modelo de configuração:</w:t>
            </w:r>
            <w:r>
              <w:rPr>
                <w:rFonts w:ascii="Arial" w:hAnsi="Arial" w:cs="Arial"/>
                <w:sz w:val="18"/>
                <w:szCs w:val="18"/>
              </w:rPr>
              <w:t xml:space="preserve"> definir escopo, granularidade, atributos, relacionamentos e responsáveis pela base de configuração.</w:t>
            </w:r>
          </w:p>
          <w:p w14:paraId="6BC9FD80" w14:textId="77777777" w:rsidR="0033067B" w:rsidRDefault="0033067B">
            <w:pPr>
              <w:jc w:val="both"/>
              <w:rPr>
                <w:rFonts w:ascii="Arial" w:hAnsi="Arial" w:cs="Arial"/>
                <w:sz w:val="18"/>
                <w:szCs w:val="18"/>
                <w:vertAlign w:val="superscript"/>
              </w:rPr>
            </w:pPr>
          </w:p>
          <w:p w14:paraId="3F0F0439" w14:textId="77777777" w:rsidR="0033067B" w:rsidRDefault="00581C72">
            <w:pPr>
              <w:jc w:val="both"/>
              <w:rPr>
                <w:rFonts w:ascii="Arial" w:hAnsi="Arial" w:cs="Arial"/>
                <w:sz w:val="18"/>
                <w:szCs w:val="18"/>
                <w:vertAlign w:val="superscript"/>
              </w:rPr>
            </w:pPr>
            <w:r>
              <w:rPr>
                <w:rFonts w:ascii="Arial" w:hAnsi="Arial" w:cs="Arial"/>
                <w:b/>
                <w:sz w:val="18"/>
                <w:szCs w:val="18"/>
              </w:rPr>
              <w:t>ITIL 4, prática de gerenciamento de incidentes:</w:t>
            </w:r>
            <w:r>
              <w:rPr>
                <w:rFonts w:ascii="Arial" w:hAnsi="Arial" w:cs="Arial"/>
                <w:sz w:val="18"/>
                <w:szCs w:val="18"/>
              </w:rPr>
              <w:t xml:space="preserve"> minimizar o impacto negativo dos incidentes por meio da restauração tempestiva da operação normal dos serviços e do registro rastreável do tratamento realizado.</w:t>
            </w:r>
          </w:p>
          <w:p w14:paraId="3E21C7C3" w14:textId="77777777" w:rsidR="0033067B" w:rsidRDefault="0033067B">
            <w:pPr>
              <w:jc w:val="both"/>
              <w:rPr>
                <w:rFonts w:ascii="Arial" w:hAnsi="Arial" w:cs="Arial"/>
                <w:sz w:val="18"/>
                <w:szCs w:val="18"/>
                <w:vertAlign w:val="superscript"/>
              </w:rPr>
            </w:pPr>
          </w:p>
          <w:p w14:paraId="30F96180" w14:textId="77777777" w:rsidR="0033067B" w:rsidRDefault="00581C72">
            <w:pPr>
              <w:jc w:val="both"/>
              <w:rPr>
                <w:rFonts w:ascii="Arial" w:hAnsi="Arial" w:cs="Arial"/>
                <w:sz w:val="18"/>
                <w:szCs w:val="18"/>
                <w:vertAlign w:val="superscript"/>
              </w:rPr>
            </w:pPr>
            <w:r>
              <w:rPr>
                <w:rFonts w:ascii="Arial" w:hAnsi="Arial" w:cs="Arial"/>
                <w:b/>
                <w:sz w:val="18"/>
                <w:szCs w:val="18"/>
              </w:rPr>
              <w:t>COBIT 2019, DSS02.02, DSS02.04 e DSS02.07 - Requisições de serviço e incidentes gerenciados:</w:t>
            </w:r>
            <w:r>
              <w:rPr>
                <w:rFonts w:ascii="Arial" w:hAnsi="Arial" w:cs="Arial"/>
                <w:sz w:val="18"/>
                <w:szCs w:val="18"/>
              </w:rPr>
              <w:t xml:space="preserve"> registrar, classificar, priorizar, investigar, diagnosticar, resolver, acompanhar e reportar incidentes e requisições de serviço.</w:t>
            </w:r>
          </w:p>
        </w:tc>
        <w:tc>
          <w:tcPr>
            <w:tcW w:w="752" w:type="pct"/>
          </w:tcPr>
          <w:p w14:paraId="6A1E4749"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26A1A8EB" w14:textId="77777777" w:rsidR="0033067B" w:rsidRDefault="0033067B">
            <w:pPr>
              <w:spacing w:after="60"/>
              <w:jc w:val="both"/>
              <w:rPr>
                <w:rFonts w:ascii="Arial" w:hAnsi="Arial" w:cs="Arial"/>
                <w:sz w:val="18"/>
                <w:szCs w:val="18"/>
              </w:rPr>
            </w:pPr>
          </w:p>
          <w:p w14:paraId="22D9FA57"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catálogo de serviços de TIC.</w:t>
            </w:r>
          </w:p>
          <w:p w14:paraId="1F65B393"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inacessibilidade ou insuficiência do catálogo de serviços de TIC.</w:t>
            </w:r>
          </w:p>
          <w:p w14:paraId="1BA6CB52"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ANS ou metas mínimas de nível de serviço.</w:t>
            </w:r>
          </w:p>
          <w:p w14:paraId="68D2D61D" w14:textId="77777777" w:rsidR="0033067B" w:rsidRDefault="00581C72">
            <w:pPr>
              <w:spacing w:after="60"/>
              <w:jc w:val="both"/>
              <w:rPr>
                <w:rFonts w:ascii="Arial" w:hAnsi="Arial" w:cs="Arial"/>
                <w:sz w:val="18"/>
                <w:szCs w:val="18"/>
              </w:rPr>
            </w:pPr>
            <w:r>
              <w:rPr>
                <w:rFonts w:ascii="Arial" w:hAnsi="Arial" w:cs="Arial"/>
                <w:sz w:val="18"/>
                <w:szCs w:val="18"/>
              </w:rPr>
              <w:t>d) Ausência, desatualização ou insuficiência de ANS, metas ou registros de monitoramento.</w:t>
            </w:r>
          </w:p>
          <w:p w14:paraId="7B6D01C1" w14:textId="77777777" w:rsidR="0033067B" w:rsidRDefault="00581C72">
            <w:pPr>
              <w:spacing w:after="60"/>
              <w:jc w:val="both"/>
              <w:rPr>
                <w:rFonts w:ascii="Arial" w:hAnsi="Arial" w:cs="Arial"/>
                <w:sz w:val="18"/>
                <w:szCs w:val="18"/>
              </w:rPr>
            </w:pPr>
            <w:r>
              <w:rPr>
                <w:rFonts w:ascii="Arial" w:hAnsi="Arial" w:cs="Arial"/>
                <w:sz w:val="18"/>
                <w:szCs w:val="18"/>
              </w:rPr>
              <w:t>e) Resposta negativa ou insuficiente sobre inventário de ativos de TIC.</w:t>
            </w:r>
          </w:p>
          <w:p w14:paraId="1FE9468C" w14:textId="77777777" w:rsidR="0033067B" w:rsidRDefault="00581C72">
            <w:pPr>
              <w:spacing w:after="60"/>
              <w:jc w:val="both"/>
              <w:rPr>
                <w:rFonts w:ascii="Arial" w:hAnsi="Arial" w:cs="Arial"/>
                <w:sz w:val="18"/>
                <w:szCs w:val="18"/>
              </w:rPr>
            </w:pPr>
            <w:r>
              <w:rPr>
                <w:rFonts w:ascii="Arial" w:hAnsi="Arial" w:cs="Arial"/>
                <w:sz w:val="18"/>
                <w:szCs w:val="18"/>
              </w:rPr>
              <w:t>f) Ausência, desatualização ou insuficiência de inventário de ativos de TIC.</w:t>
            </w:r>
          </w:p>
          <w:p w14:paraId="53441F08" w14:textId="77777777" w:rsidR="0033067B" w:rsidRDefault="00581C72">
            <w:pPr>
              <w:spacing w:after="60"/>
              <w:jc w:val="both"/>
              <w:rPr>
                <w:rFonts w:ascii="Arial" w:hAnsi="Arial" w:cs="Arial"/>
                <w:sz w:val="18"/>
                <w:szCs w:val="18"/>
              </w:rPr>
            </w:pPr>
            <w:r>
              <w:rPr>
                <w:rFonts w:ascii="Arial" w:hAnsi="Arial" w:cs="Arial"/>
                <w:sz w:val="18"/>
                <w:szCs w:val="18"/>
              </w:rPr>
              <w:t>g) Resposta negativa ou insuficiente sobre processo formal de gestão de configuração.</w:t>
            </w:r>
          </w:p>
          <w:p w14:paraId="77675C41" w14:textId="77777777" w:rsidR="0033067B" w:rsidRDefault="00581C72">
            <w:pPr>
              <w:spacing w:after="60"/>
              <w:jc w:val="both"/>
              <w:rPr>
                <w:rFonts w:ascii="Arial" w:hAnsi="Arial" w:cs="Arial"/>
                <w:sz w:val="18"/>
                <w:szCs w:val="18"/>
              </w:rPr>
            </w:pPr>
            <w:r>
              <w:rPr>
                <w:rFonts w:ascii="Arial" w:hAnsi="Arial" w:cs="Arial"/>
                <w:sz w:val="18"/>
                <w:szCs w:val="18"/>
              </w:rPr>
              <w:t>h) Ausência, desatualização ou insuficiência de norma, procedimento, CMDB ou base equivalente de gestão de configuração.</w:t>
            </w:r>
          </w:p>
          <w:p w14:paraId="534B2E76" w14:textId="77777777" w:rsidR="0033067B" w:rsidRDefault="00581C72">
            <w:pPr>
              <w:spacing w:after="60"/>
              <w:jc w:val="both"/>
              <w:rPr>
                <w:rFonts w:ascii="Arial" w:hAnsi="Arial" w:cs="Arial"/>
                <w:sz w:val="18"/>
                <w:szCs w:val="18"/>
              </w:rPr>
            </w:pPr>
            <w:r>
              <w:rPr>
                <w:rFonts w:ascii="Arial" w:hAnsi="Arial" w:cs="Arial"/>
                <w:sz w:val="18"/>
                <w:szCs w:val="18"/>
              </w:rPr>
              <w:t>i) Resposta negativa ou insuficiente sobre processo formal de gestão de incidentes de TIC.</w:t>
            </w:r>
          </w:p>
          <w:p w14:paraId="064240A8" w14:textId="77777777" w:rsidR="0033067B" w:rsidRDefault="00581C72">
            <w:pPr>
              <w:spacing w:after="60"/>
              <w:jc w:val="both"/>
              <w:rPr>
                <w:rFonts w:ascii="Arial" w:hAnsi="Arial" w:cs="Arial"/>
                <w:sz w:val="18"/>
                <w:szCs w:val="18"/>
              </w:rPr>
            </w:pPr>
            <w:r>
              <w:rPr>
                <w:rFonts w:ascii="Arial" w:hAnsi="Arial" w:cs="Arial"/>
                <w:sz w:val="18"/>
                <w:szCs w:val="18"/>
              </w:rPr>
              <w:t>j) Ausência, desatualização ou insuficiência de norma, procedimento ou fluxo formal de gestão de incidentes.</w:t>
            </w:r>
          </w:p>
          <w:p w14:paraId="36B73410" w14:textId="77777777" w:rsidR="0033067B" w:rsidRDefault="00581C72">
            <w:pPr>
              <w:spacing w:after="60"/>
              <w:jc w:val="both"/>
              <w:rPr>
                <w:rFonts w:ascii="Arial" w:hAnsi="Arial" w:cs="Arial"/>
                <w:sz w:val="18"/>
                <w:szCs w:val="18"/>
              </w:rPr>
            </w:pPr>
            <w:r>
              <w:rPr>
                <w:rFonts w:ascii="Arial" w:hAnsi="Arial" w:cs="Arial"/>
                <w:sz w:val="18"/>
                <w:szCs w:val="18"/>
              </w:rPr>
              <w:t>k) Resposta negativa ou insuficiente sobre registro sistemático de incidentes de TIC.</w:t>
            </w:r>
          </w:p>
          <w:p w14:paraId="2D552B25" w14:textId="77777777" w:rsidR="0033067B" w:rsidRDefault="00581C72">
            <w:pPr>
              <w:spacing w:after="60"/>
              <w:jc w:val="both"/>
              <w:rPr>
                <w:rFonts w:ascii="Arial" w:hAnsi="Arial" w:cs="Arial"/>
                <w:sz w:val="18"/>
                <w:szCs w:val="18"/>
              </w:rPr>
            </w:pPr>
            <w:r>
              <w:rPr>
                <w:rFonts w:ascii="Arial" w:hAnsi="Arial" w:cs="Arial"/>
                <w:sz w:val="18"/>
                <w:szCs w:val="18"/>
              </w:rPr>
              <w:t>l) Ausência, insuficiência ou baixa rastreabilidade dos registros de incidentes, chamados ou tickets.</w:t>
            </w:r>
          </w:p>
        </w:tc>
        <w:tc>
          <w:tcPr>
            <w:tcW w:w="790" w:type="pct"/>
          </w:tcPr>
          <w:p w14:paraId="37650268"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391A3310" w14:textId="77777777" w:rsidR="0033067B" w:rsidRDefault="00581C72">
            <w:pPr>
              <w:jc w:val="both"/>
              <w:rPr>
                <w:rFonts w:ascii="Arial" w:hAnsi="Arial" w:cs="Arial"/>
                <w:sz w:val="18"/>
                <w:szCs w:val="18"/>
              </w:rPr>
            </w:pPr>
            <w:r>
              <w:rPr>
                <w:rFonts w:ascii="Arial" w:hAnsi="Arial" w:cs="Arial"/>
                <w:b/>
                <w:sz w:val="18"/>
                <w:szCs w:val="18"/>
              </w:rPr>
              <w:t>Baixa previsibilidade dos serviços:</w:t>
            </w:r>
            <w:r>
              <w:rPr>
                <w:rFonts w:ascii="Arial" w:hAnsi="Arial" w:cs="Arial"/>
                <w:sz w:val="18"/>
                <w:szCs w:val="18"/>
              </w:rPr>
              <w:t xml:space="preserve"> Catálogo inexistente ou insuficiente dificulta que usuários e áreas demandantes conheçam serviços, responsáveis, requisitos e canais de atendimento.</w:t>
            </w:r>
          </w:p>
          <w:p w14:paraId="3D25BA24" w14:textId="77777777" w:rsidR="0033067B" w:rsidRDefault="0033067B">
            <w:pPr>
              <w:jc w:val="both"/>
              <w:rPr>
                <w:rFonts w:ascii="Arial" w:hAnsi="Arial" w:cs="Arial"/>
                <w:sz w:val="18"/>
                <w:szCs w:val="18"/>
              </w:rPr>
            </w:pPr>
          </w:p>
          <w:p w14:paraId="6B62BBEF" w14:textId="77777777" w:rsidR="0033067B" w:rsidRDefault="00581C72">
            <w:pPr>
              <w:jc w:val="both"/>
              <w:rPr>
                <w:rFonts w:ascii="Arial" w:hAnsi="Arial" w:cs="Arial"/>
                <w:sz w:val="18"/>
                <w:szCs w:val="18"/>
              </w:rPr>
            </w:pPr>
            <w:r>
              <w:rPr>
                <w:rFonts w:ascii="Arial" w:hAnsi="Arial" w:cs="Arial"/>
                <w:b/>
                <w:sz w:val="18"/>
                <w:szCs w:val="18"/>
              </w:rPr>
              <w:t>Qualidade de serviço pouco controlada:</w:t>
            </w:r>
            <w:r>
              <w:rPr>
                <w:rFonts w:ascii="Arial" w:hAnsi="Arial" w:cs="Arial"/>
                <w:sz w:val="18"/>
                <w:szCs w:val="18"/>
              </w:rPr>
              <w:t xml:space="preserve"> Ausência de acordos, metas ou indicadores impede medir desempenho e cobrar níveis mínimos de atendimento para os serviços mais relevantes.</w:t>
            </w:r>
          </w:p>
          <w:p w14:paraId="45D0BD41" w14:textId="77777777" w:rsidR="0033067B" w:rsidRDefault="0033067B">
            <w:pPr>
              <w:jc w:val="both"/>
              <w:rPr>
                <w:rFonts w:ascii="Arial" w:hAnsi="Arial" w:cs="Arial"/>
                <w:sz w:val="18"/>
                <w:szCs w:val="18"/>
              </w:rPr>
            </w:pPr>
          </w:p>
          <w:p w14:paraId="73F94326" w14:textId="77777777" w:rsidR="0033067B" w:rsidRDefault="00581C72">
            <w:pPr>
              <w:jc w:val="both"/>
              <w:rPr>
                <w:rFonts w:ascii="Arial" w:hAnsi="Arial" w:cs="Arial"/>
                <w:sz w:val="18"/>
                <w:szCs w:val="18"/>
              </w:rPr>
            </w:pPr>
            <w:r>
              <w:rPr>
                <w:rFonts w:ascii="Arial" w:hAnsi="Arial" w:cs="Arial"/>
                <w:b/>
                <w:sz w:val="18"/>
                <w:szCs w:val="18"/>
              </w:rPr>
              <w:t>Desconhecimento dos ativos de TIC:</w:t>
            </w:r>
            <w:r>
              <w:rPr>
                <w:rFonts w:ascii="Arial" w:hAnsi="Arial" w:cs="Arial"/>
                <w:sz w:val="18"/>
                <w:szCs w:val="18"/>
              </w:rPr>
              <w:t xml:space="preserve"> Inventário frágil prejudica controle patrimonial, gestão de riscos, planejamento de substituições e resposta a incidentes.</w:t>
            </w:r>
          </w:p>
          <w:p w14:paraId="3C91EF28" w14:textId="77777777" w:rsidR="0033067B" w:rsidRDefault="0033067B">
            <w:pPr>
              <w:jc w:val="both"/>
              <w:rPr>
                <w:rFonts w:ascii="Arial" w:hAnsi="Arial" w:cs="Arial"/>
                <w:sz w:val="18"/>
                <w:szCs w:val="18"/>
              </w:rPr>
            </w:pPr>
          </w:p>
          <w:p w14:paraId="4590B02A" w14:textId="77777777" w:rsidR="0033067B" w:rsidRDefault="00581C72">
            <w:pPr>
              <w:jc w:val="both"/>
              <w:rPr>
                <w:rFonts w:ascii="Arial" w:hAnsi="Arial" w:cs="Arial"/>
                <w:sz w:val="18"/>
                <w:szCs w:val="18"/>
              </w:rPr>
            </w:pPr>
            <w:r>
              <w:rPr>
                <w:rFonts w:ascii="Arial" w:hAnsi="Arial" w:cs="Arial"/>
                <w:b/>
                <w:sz w:val="18"/>
                <w:szCs w:val="18"/>
              </w:rPr>
              <w:t>Baixa rastreabilidade da infraestrutura:</w:t>
            </w:r>
            <w:r>
              <w:rPr>
                <w:rFonts w:ascii="Arial" w:hAnsi="Arial" w:cs="Arial"/>
                <w:sz w:val="18"/>
                <w:szCs w:val="18"/>
              </w:rPr>
              <w:t xml:space="preserve"> Falta de gestão de configuração reduz a visão sobre componentes, dependências e impactos de mudanças nos serviços de TIC.</w:t>
            </w:r>
          </w:p>
          <w:p w14:paraId="5AC324E8" w14:textId="77777777" w:rsidR="0033067B" w:rsidRDefault="0033067B">
            <w:pPr>
              <w:jc w:val="both"/>
              <w:rPr>
                <w:rFonts w:ascii="Arial" w:hAnsi="Arial" w:cs="Arial"/>
                <w:sz w:val="18"/>
                <w:szCs w:val="18"/>
              </w:rPr>
            </w:pPr>
          </w:p>
          <w:p w14:paraId="0B6BB678" w14:textId="77777777" w:rsidR="0033067B" w:rsidRDefault="00581C72">
            <w:pPr>
              <w:jc w:val="both"/>
              <w:rPr>
                <w:rFonts w:ascii="Arial" w:hAnsi="Arial" w:cs="Arial"/>
                <w:sz w:val="18"/>
                <w:szCs w:val="18"/>
              </w:rPr>
            </w:pPr>
            <w:r>
              <w:rPr>
                <w:rFonts w:ascii="Arial" w:hAnsi="Arial" w:cs="Arial"/>
                <w:b/>
                <w:sz w:val="18"/>
                <w:szCs w:val="18"/>
              </w:rPr>
              <w:t>Tratamento inconsistente de incidentes:</w:t>
            </w:r>
            <w:r>
              <w:rPr>
                <w:rFonts w:ascii="Arial" w:hAnsi="Arial" w:cs="Arial"/>
                <w:sz w:val="18"/>
                <w:szCs w:val="18"/>
              </w:rPr>
              <w:t xml:space="preserve"> Processo informal dificulta priorizar, registrar, escalar, resolver e aprender com falhas de serviços e de segurança.</w:t>
            </w:r>
          </w:p>
        </w:tc>
        <w:tc>
          <w:tcPr>
            <w:tcW w:w="1521" w:type="pct"/>
          </w:tcPr>
          <w:p w14:paraId="3E43D96F"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institua e mantenha atualizado catálogo de serviços de TIC, atentando-se, minimamente, em identificar os serviços efetivamente prestados, seus responsáveis, usuários, condições de acesso e informações necessárias ao atendimento das áreas demandantes.</w:t>
            </w:r>
          </w:p>
          <w:p w14:paraId="4BF947DF" w14:textId="77777777" w:rsidR="0033067B" w:rsidRDefault="0033067B">
            <w:pPr>
              <w:jc w:val="both"/>
              <w:rPr>
                <w:rFonts w:ascii="Arial" w:hAnsi="Arial" w:cs="Arial"/>
                <w:sz w:val="18"/>
                <w:szCs w:val="18"/>
              </w:rPr>
            </w:pPr>
          </w:p>
          <w:p w14:paraId="354719F8"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defina, pactue e monitore níveis mínimos de serviço ou metas de atendimento para os serviços de TIC mais relevantes, estabelecendo indicadores, responsáveis, periodicidade de medição e forma de comunicação dos resultados.</w:t>
            </w:r>
          </w:p>
          <w:p w14:paraId="03BBFE6A" w14:textId="77777777" w:rsidR="0033067B" w:rsidRDefault="0033067B">
            <w:pPr>
              <w:jc w:val="both"/>
              <w:rPr>
                <w:rFonts w:ascii="Arial" w:hAnsi="Arial" w:cs="Arial"/>
                <w:sz w:val="18"/>
                <w:szCs w:val="18"/>
              </w:rPr>
            </w:pPr>
          </w:p>
          <w:p w14:paraId="5E1BC847"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e mantenha atualizado inventário de ativos de TIC, atentando-se, minimamente, em registrar equipamentos, servidores, sistemas, softwares, licenças, serviços em nuvem, componentes de infraestrutura, responsáveis e informações necessárias ao controle do ciclo de vida dos ativos.</w:t>
            </w:r>
          </w:p>
          <w:p w14:paraId="6ADF263B" w14:textId="77777777" w:rsidR="0033067B" w:rsidRDefault="0033067B">
            <w:pPr>
              <w:jc w:val="both"/>
              <w:rPr>
                <w:rFonts w:ascii="Arial" w:hAnsi="Arial" w:cs="Arial"/>
                <w:sz w:val="18"/>
                <w:szCs w:val="18"/>
              </w:rPr>
            </w:pPr>
          </w:p>
          <w:p w14:paraId="0DCA887E"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execute processo de gestão de configuração, atentando-se, minimamente, em manter base, ferramenta ou registro equivalente com os itens de configuração relevantes, seus responsáveis e os relacionamentos entre ativos, sistemas, infraestrutura e serviços, com atualização periódica e uso das informações no planejamento e acompanhamento de mudanças.</w:t>
            </w:r>
          </w:p>
          <w:p w14:paraId="2DE30259" w14:textId="77777777" w:rsidR="0033067B" w:rsidRDefault="0033067B">
            <w:pPr>
              <w:jc w:val="both"/>
              <w:rPr>
                <w:rFonts w:ascii="Arial" w:hAnsi="Arial" w:cs="Arial"/>
                <w:sz w:val="18"/>
                <w:szCs w:val="18"/>
              </w:rPr>
            </w:pPr>
          </w:p>
          <w:p w14:paraId="78DDC920"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execute processo de gestão de incidentes de TIC, atentando-se, minimamente, em definir papéis, responsabilidades, critérios de priorização e escalamento, tratamento de incidentes de serviços e de segurança da informação, registro sistemático e rastreável das ocorrências e análise posterior dos incidentes relevantes ou recorrentes.</w:t>
            </w:r>
          </w:p>
        </w:tc>
      </w:tr>
    </w:tbl>
    <w:p w14:paraId="2D7B7BB7" w14:textId="77777777" w:rsidR="00EF220B" w:rsidRDefault="00EF220B" w:rsidP="001E6730">
      <w:pPr>
        <w:jc w:val="center"/>
        <w:rPr>
          <w:rFonts w:ascii="Arial" w:hAnsi="Arial" w:cs="Arial"/>
          <w:b/>
        </w:rPr>
      </w:pPr>
    </w:p>
    <w:p w14:paraId="7545E4FB" w14:textId="77777777" w:rsidR="00655036" w:rsidRDefault="00EF220B">
      <w:pPr>
        <w:spacing w:after="160" w:line="259" w:lineRule="auto"/>
        <w:rPr>
          <w:rFonts w:ascii="Arial" w:hAnsi="Arial" w:cs="Arial"/>
          <w:b/>
        </w:rPr>
      </w:pPr>
      <w:r>
        <w:rPr>
          <w:rFonts w:ascii="Arial" w:hAnsi="Arial" w:cs="Arial"/>
          <w:b/>
        </w:rPr>
        <w:br w:type="page"/>
      </w:r>
    </w:p>
    <w:tbl>
      <w:tblPr>
        <w:tblStyle w:val="Tabelacomgrad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6"/>
        <w:gridCol w:w="3364"/>
        <w:gridCol w:w="3364"/>
        <w:gridCol w:w="3534"/>
        <w:gridCol w:w="3179"/>
        <w:gridCol w:w="6801"/>
      </w:tblGrid>
      <w:tr w:rsidR="00655036" w:rsidRPr="00636B72" w14:paraId="6F0859E5" w14:textId="77777777" w:rsidTr="003A6734">
        <w:trPr>
          <w:trHeight w:val="300"/>
          <w:tblHeader/>
        </w:trPr>
        <w:tc>
          <w:tcPr>
            <w:tcW w:w="473" w:type="pct"/>
          </w:tcPr>
          <w:p w14:paraId="156E78A8" w14:textId="77777777" w:rsidR="00655036" w:rsidRPr="00636B72" w:rsidRDefault="006550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lastRenderedPageBreak/>
              <w:t>ACHADO</w:t>
            </w:r>
          </w:p>
        </w:tc>
        <w:tc>
          <w:tcPr>
            <w:tcW w:w="752" w:type="pct"/>
            <w:vAlign w:val="center"/>
          </w:tcPr>
          <w:p w14:paraId="4A178817" w14:textId="77777777" w:rsidR="00655036" w:rsidRPr="00636B72" w:rsidRDefault="00655036" w:rsidP="003A6734">
            <w:pPr>
              <w:autoSpaceDE w:val="0"/>
              <w:autoSpaceDN w:val="0"/>
              <w:adjustRightInd w:val="0"/>
              <w:spacing w:before="40" w:after="60"/>
              <w:jc w:val="center"/>
              <w:rPr>
                <w:rFonts w:ascii="Arial" w:hAnsi="Arial" w:cs="Arial"/>
                <w:b/>
                <w:bCs/>
                <w:sz w:val="16"/>
                <w:szCs w:val="16"/>
              </w:rPr>
            </w:pPr>
            <w:r>
              <w:rPr>
                <w:rFonts w:ascii="Arial" w:hAnsi="Arial" w:cs="Arial"/>
                <w:b/>
                <w:bCs/>
                <w:sz w:val="16"/>
                <w:szCs w:val="16"/>
              </w:rPr>
              <w:t>CRITÉRIO</w:t>
            </w:r>
          </w:p>
        </w:tc>
        <w:tc>
          <w:tcPr>
            <w:tcW w:w="752" w:type="pct"/>
            <w:vAlign w:val="center"/>
          </w:tcPr>
          <w:p w14:paraId="03CCCA01"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EVIDÊNCIA</w:t>
            </w:r>
          </w:p>
        </w:tc>
        <w:tc>
          <w:tcPr>
            <w:tcW w:w="790" w:type="pct"/>
            <w:vAlign w:val="center"/>
          </w:tcPr>
          <w:p w14:paraId="626E2E33" w14:textId="77777777" w:rsidR="00655036" w:rsidRPr="00636B72" w:rsidRDefault="00655036" w:rsidP="003A6734">
            <w:pPr>
              <w:spacing w:before="40" w:after="60"/>
              <w:jc w:val="center"/>
              <w:rPr>
                <w:rFonts w:ascii="Arial" w:hAnsi="Arial" w:cs="Arial"/>
                <w:b/>
                <w:bCs/>
                <w:strike/>
                <w:sz w:val="16"/>
                <w:szCs w:val="16"/>
              </w:rPr>
            </w:pPr>
            <w:r>
              <w:rPr>
                <w:rFonts w:ascii="Arial" w:hAnsi="Arial" w:cs="Arial"/>
                <w:b/>
                <w:bCs/>
                <w:sz w:val="16"/>
                <w:szCs w:val="16"/>
              </w:rPr>
              <w:t>CAUSA</w:t>
            </w:r>
          </w:p>
        </w:tc>
        <w:tc>
          <w:tcPr>
            <w:tcW w:w="711" w:type="pct"/>
            <w:vAlign w:val="center"/>
          </w:tcPr>
          <w:p w14:paraId="37EF5051"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EFEITO</w:t>
            </w:r>
          </w:p>
        </w:tc>
        <w:tc>
          <w:tcPr>
            <w:tcW w:w="1521" w:type="pct"/>
            <w:vAlign w:val="center"/>
          </w:tcPr>
          <w:p w14:paraId="72E8FB94" w14:textId="77777777" w:rsidR="00655036" w:rsidRPr="00636B72" w:rsidRDefault="00655036" w:rsidP="003A6734">
            <w:pPr>
              <w:spacing w:before="40" w:after="60"/>
              <w:jc w:val="center"/>
              <w:rPr>
                <w:rFonts w:ascii="Arial" w:hAnsi="Arial" w:cs="Arial"/>
                <w:b/>
                <w:bCs/>
                <w:sz w:val="16"/>
                <w:szCs w:val="16"/>
              </w:rPr>
            </w:pPr>
            <w:r>
              <w:rPr>
                <w:rFonts w:ascii="Arial" w:hAnsi="Arial" w:cs="Arial"/>
                <w:b/>
                <w:bCs/>
                <w:sz w:val="16"/>
                <w:szCs w:val="16"/>
              </w:rPr>
              <w:t>ENCAMINHAMENTO</w:t>
            </w:r>
          </w:p>
        </w:tc>
      </w:tr>
      <w:tr w:rsidR="003B5A03" w:rsidRPr="00636B72" w14:paraId="09514458" w14:textId="77777777" w:rsidTr="003A6734">
        <w:trPr>
          <w:trHeight w:val="300"/>
        </w:trPr>
        <w:tc>
          <w:tcPr>
            <w:tcW w:w="473" w:type="pct"/>
          </w:tcPr>
          <w:p w14:paraId="2E6D8D38" w14:textId="77777777" w:rsidR="0033067B" w:rsidRDefault="00581C72">
            <w:pPr>
              <w:spacing w:after="60"/>
              <w:jc w:val="both"/>
              <w:rPr>
                <w:rFonts w:ascii="Arial" w:hAnsi="Arial" w:cs="Arial"/>
                <w:b/>
                <w:bCs/>
                <w:sz w:val="18"/>
                <w:szCs w:val="18"/>
              </w:rPr>
            </w:pPr>
            <w:r>
              <w:rPr>
                <w:rFonts w:ascii="Arial" w:hAnsi="Arial" w:cs="Arial"/>
                <w:b/>
                <w:bCs/>
                <w:sz w:val="18"/>
                <w:szCs w:val="18"/>
              </w:rPr>
              <w:t>ACHADO 06</w:t>
            </w:r>
          </w:p>
          <w:p w14:paraId="3BCF6DE4" w14:textId="77777777" w:rsidR="0033067B" w:rsidRDefault="0033067B">
            <w:pPr>
              <w:spacing w:after="60"/>
              <w:jc w:val="both"/>
              <w:rPr>
                <w:rFonts w:ascii="Arial" w:hAnsi="Arial" w:cs="Arial"/>
                <w:b/>
                <w:bCs/>
                <w:sz w:val="18"/>
                <w:szCs w:val="18"/>
              </w:rPr>
            </w:pPr>
          </w:p>
          <w:p w14:paraId="1FB7A7C9" w14:textId="77777777" w:rsidR="0033067B" w:rsidRDefault="00581C72">
            <w:pPr>
              <w:spacing w:after="60"/>
              <w:jc w:val="both"/>
              <w:rPr>
                <w:rFonts w:ascii="Arial" w:hAnsi="Arial" w:cs="Arial"/>
                <w:b/>
                <w:bCs/>
                <w:sz w:val="18"/>
                <w:szCs w:val="18"/>
              </w:rPr>
            </w:pPr>
            <w:r>
              <w:rPr>
                <w:rFonts w:ascii="Arial" w:eastAsia="Arial" w:hAnsi="Arial" w:cs="Arial"/>
                <w:sz w:val="18"/>
                <w:szCs w:val="18"/>
              </w:rPr>
              <w:t>Contratações de TIC sem governança técnica e controle de resultados</w:t>
            </w:r>
          </w:p>
        </w:tc>
        <w:tc>
          <w:tcPr>
            <w:tcW w:w="752" w:type="pct"/>
          </w:tcPr>
          <w:p w14:paraId="63AC8955" w14:textId="77777777" w:rsidR="0033067B" w:rsidRDefault="00581C72">
            <w:pPr>
              <w:jc w:val="both"/>
              <w:rPr>
                <w:rFonts w:ascii="Arial" w:hAnsi="Arial" w:cs="Arial"/>
                <w:sz w:val="18"/>
                <w:szCs w:val="18"/>
                <w:vertAlign w:val="superscript"/>
              </w:rPr>
            </w:pPr>
            <w:r>
              <w:rPr>
                <w:rFonts w:ascii="Arial" w:hAnsi="Arial" w:cs="Arial"/>
                <w:b/>
                <w:sz w:val="18"/>
                <w:szCs w:val="18"/>
              </w:rPr>
              <w:t>Art. 11, parágrafo único, da Lei 14.133/2021:</w:t>
            </w:r>
            <w:r>
              <w:rPr>
                <w:rFonts w:ascii="Arial" w:hAnsi="Arial" w:cs="Arial"/>
                <w:sz w:val="18"/>
                <w:szCs w:val="18"/>
              </w:rPr>
              <w:t xml:space="preserve"> responsabilidade da alta administração pela governança das contratações, com processos, estruturas, gestão de riscos e controles internos.</w:t>
            </w:r>
          </w:p>
          <w:p w14:paraId="6D1D6E5F" w14:textId="77777777" w:rsidR="0033067B" w:rsidRDefault="0033067B">
            <w:pPr>
              <w:jc w:val="both"/>
              <w:rPr>
                <w:rFonts w:ascii="Arial" w:hAnsi="Arial" w:cs="Arial"/>
                <w:sz w:val="18"/>
                <w:szCs w:val="18"/>
                <w:vertAlign w:val="superscript"/>
              </w:rPr>
            </w:pPr>
          </w:p>
          <w:p w14:paraId="1D203351" w14:textId="77777777" w:rsidR="0033067B" w:rsidRDefault="00581C72">
            <w:pPr>
              <w:jc w:val="both"/>
              <w:rPr>
                <w:rFonts w:ascii="Arial" w:hAnsi="Arial" w:cs="Arial"/>
                <w:sz w:val="18"/>
                <w:szCs w:val="18"/>
                <w:vertAlign w:val="superscript"/>
              </w:rPr>
            </w:pPr>
            <w:r>
              <w:rPr>
                <w:rFonts w:ascii="Arial" w:hAnsi="Arial" w:cs="Arial"/>
                <w:b/>
                <w:sz w:val="18"/>
                <w:szCs w:val="18"/>
              </w:rPr>
              <w:t>Art. 19, inciso IV, da Lei 14.133/2021:</w:t>
            </w:r>
            <w:r>
              <w:rPr>
                <w:rFonts w:ascii="Arial" w:hAnsi="Arial" w:cs="Arial"/>
                <w:sz w:val="18"/>
                <w:szCs w:val="18"/>
              </w:rPr>
              <w:t xml:space="preserve"> instituição de modelos de minutas de editais, termos de referência, contratos padronizados e demais documentos.</w:t>
            </w:r>
          </w:p>
          <w:p w14:paraId="775D6731" w14:textId="77777777" w:rsidR="0033067B" w:rsidRDefault="0033067B">
            <w:pPr>
              <w:jc w:val="both"/>
              <w:rPr>
                <w:rFonts w:ascii="Arial" w:hAnsi="Arial" w:cs="Arial"/>
                <w:sz w:val="18"/>
                <w:szCs w:val="18"/>
                <w:vertAlign w:val="superscript"/>
              </w:rPr>
            </w:pPr>
          </w:p>
          <w:p w14:paraId="554CA88D"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APO01.09 - Definir e comunicar políticas e procedimentos:</w:t>
            </w:r>
            <w:r>
              <w:rPr>
                <w:rFonts w:ascii="Arial" w:hAnsi="Arial" w:cs="Arial"/>
                <w:sz w:val="18"/>
                <w:szCs w:val="18"/>
              </w:rPr>
              <w:t xml:space="preserve"> manter políticas, procedimentos e orientações para direcionar processos de gestão de TIC.</w:t>
            </w:r>
          </w:p>
          <w:p w14:paraId="78EB1CD5" w14:textId="77777777" w:rsidR="0033067B" w:rsidRDefault="0033067B">
            <w:pPr>
              <w:jc w:val="both"/>
              <w:rPr>
                <w:rFonts w:ascii="Arial" w:hAnsi="Arial" w:cs="Arial"/>
                <w:sz w:val="18"/>
                <w:szCs w:val="18"/>
                <w:vertAlign w:val="superscript"/>
              </w:rPr>
            </w:pPr>
          </w:p>
          <w:p w14:paraId="6EBE21FE" w14:textId="77777777" w:rsidR="0033067B" w:rsidRDefault="00581C72">
            <w:pPr>
              <w:jc w:val="both"/>
              <w:rPr>
                <w:rFonts w:ascii="Arial" w:hAnsi="Arial" w:cs="Arial"/>
                <w:sz w:val="18"/>
                <w:szCs w:val="18"/>
                <w:vertAlign w:val="superscript"/>
              </w:rPr>
            </w:pPr>
            <w:r>
              <w:rPr>
                <w:rFonts w:ascii="Arial" w:hAnsi="Arial" w:cs="Arial"/>
                <w:b/>
                <w:sz w:val="18"/>
                <w:szCs w:val="18"/>
              </w:rPr>
              <w:t>COBIT 2019, BAI02.04 - Obter aprovação dos requisitos da solução:</w:t>
            </w:r>
            <w:r>
              <w:rPr>
                <w:rFonts w:ascii="Arial" w:hAnsi="Arial" w:cs="Arial"/>
                <w:sz w:val="18"/>
                <w:szCs w:val="18"/>
              </w:rPr>
              <w:t xml:space="preserve"> obter aprovação formal dos requisitos funcionais, técnicos, de segurança e de conformidade antes de prosseguir com a solução.</w:t>
            </w:r>
          </w:p>
          <w:p w14:paraId="0F2B0EFA" w14:textId="77777777" w:rsidR="0033067B" w:rsidRDefault="0033067B">
            <w:pPr>
              <w:jc w:val="both"/>
              <w:rPr>
                <w:rFonts w:ascii="Arial" w:hAnsi="Arial" w:cs="Arial"/>
                <w:sz w:val="18"/>
                <w:szCs w:val="18"/>
                <w:vertAlign w:val="superscript"/>
              </w:rPr>
            </w:pPr>
          </w:p>
          <w:p w14:paraId="01EA507C" w14:textId="77777777" w:rsidR="0033067B" w:rsidRDefault="00581C72">
            <w:pPr>
              <w:jc w:val="both"/>
              <w:rPr>
                <w:rFonts w:ascii="Arial" w:hAnsi="Arial" w:cs="Arial"/>
                <w:sz w:val="18"/>
                <w:szCs w:val="18"/>
                <w:vertAlign w:val="superscript"/>
              </w:rPr>
            </w:pPr>
            <w:r>
              <w:rPr>
                <w:rFonts w:ascii="Arial" w:hAnsi="Arial" w:cs="Arial"/>
                <w:b/>
                <w:sz w:val="18"/>
                <w:szCs w:val="18"/>
              </w:rPr>
              <w:t>COBIT 2019, APO01.05 - Estabelecer papéis e responsabilidades:</w:t>
            </w:r>
            <w:r>
              <w:rPr>
                <w:rFonts w:ascii="Arial" w:hAnsi="Arial" w:cs="Arial"/>
                <w:sz w:val="18"/>
                <w:szCs w:val="18"/>
              </w:rPr>
              <w:t xml:space="preserve"> definir e comunicar papéis e responsabilidades relacionados à informação e à tecnologia.</w:t>
            </w:r>
          </w:p>
          <w:p w14:paraId="151E595A" w14:textId="77777777" w:rsidR="0033067B" w:rsidRDefault="0033067B">
            <w:pPr>
              <w:jc w:val="both"/>
              <w:rPr>
                <w:rFonts w:ascii="Arial" w:hAnsi="Arial" w:cs="Arial"/>
                <w:sz w:val="18"/>
                <w:szCs w:val="18"/>
                <w:vertAlign w:val="superscript"/>
              </w:rPr>
            </w:pPr>
          </w:p>
          <w:p w14:paraId="48567CEE" w14:textId="77777777" w:rsidR="0033067B" w:rsidRDefault="00581C72">
            <w:pPr>
              <w:jc w:val="both"/>
              <w:rPr>
                <w:rFonts w:ascii="Arial" w:hAnsi="Arial" w:cs="Arial"/>
                <w:sz w:val="18"/>
                <w:szCs w:val="18"/>
                <w:vertAlign w:val="superscript"/>
              </w:rPr>
            </w:pPr>
            <w:r>
              <w:rPr>
                <w:rFonts w:ascii="Arial" w:hAnsi="Arial" w:cs="Arial"/>
                <w:b/>
                <w:sz w:val="18"/>
                <w:szCs w:val="18"/>
              </w:rPr>
              <w:t>Art. 18, caput e §1º, incisos I, IV, V, VIII, IX, X e XIII, da Lei 14.133/2021:</w:t>
            </w:r>
            <w:r>
              <w:rPr>
                <w:rFonts w:ascii="Arial" w:hAnsi="Arial" w:cs="Arial"/>
                <w:sz w:val="18"/>
                <w:szCs w:val="18"/>
              </w:rPr>
              <w:t xml:space="preserve"> fase preparatória caracterizada pelo planejamento, compatibilização com o plano de contratações anual e elementos mínimos do estudo técnico preliminar.</w:t>
            </w:r>
          </w:p>
          <w:p w14:paraId="39039FE3" w14:textId="77777777" w:rsidR="0033067B" w:rsidRDefault="0033067B">
            <w:pPr>
              <w:jc w:val="both"/>
              <w:rPr>
                <w:rFonts w:ascii="Arial" w:hAnsi="Arial" w:cs="Arial"/>
                <w:sz w:val="18"/>
                <w:szCs w:val="18"/>
                <w:vertAlign w:val="superscript"/>
              </w:rPr>
            </w:pPr>
          </w:p>
          <w:p w14:paraId="5B1990BE" w14:textId="77777777" w:rsidR="0033067B" w:rsidRDefault="00581C72">
            <w:pPr>
              <w:jc w:val="both"/>
              <w:rPr>
                <w:rFonts w:ascii="Arial" w:hAnsi="Arial" w:cs="Arial"/>
                <w:sz w:val="18"/>
                <w:szCs w:val="18"/>
                <w:vertAlign w:val="superscript"/>
              </w:rPr>
            </w:pPr>
            <w:r>
              <w:rPr>
                <w:rFonts w:ascii="Arial" w:hAnsi="Arial" w:cs="Arial"/>
                <w:b/>
                <w:sz w:val="18"/>
                <w:szCs w:val="18"/>
              </w:rPr>
              <w:t>Art. 7º, caput, incisos I a III e §1º, da Lei 14.133/2021:</w:t>
            </w:r>
            <w:r>
              <w:rPr>
                <w:rFonts w:ascii="Arial" w:hAnsi="Arial" w:cs="Arial"/>
                <w:sz w:val="18"/>
                <w:szCs w:val="18"/>
              </w:rPr>
              <w:t xml:space="preserve"> designação de agentes públicos para funções essenciais, observados atribuições, formação, segregação de funções e inexistência de vínculos que comprometam a atuação.</w:t>
            </w:r>
          </w:p>
          <w:p/>
          <w:p>
            <w:r>
              <w:rPr>
                <w:rFonts w:ascii="Arial" w:hAnsi="Arial"/>
                <w:b/>
                <w:sz w:val="18"/>
              </w:rPr>
              <w:t>Instrução Normativa SGD/ME nº 94, de 23 de dezembro de 2022, art. 1º, § 1º:</w:t>
            </w:r>
            <w:r>
              <w:rPr>
                <w:rFonts w:ascii="Arial" w:hAnsi="Arial"/>
                <w:b w:val="0"/>
                <w:sz w:val="18"/>
              </w:rPr>
              <w:t xml:space="preserve"> como referência de boa prática, a aplicação de ritos formais de contratação de TIC pode ser facultada para contratações diretas por dispensa em razão do valor (inciso II do art. 75 da Lei nº 14.133/2021), indicando a possibilidade de fluxos simplificados para aquisições de baixa complexidade ou valor.</w:t>
            </w:r>
          </w:p>
        </w:tc>
        <w:tc>
          <w:tcPr>
            <w:tcW w:w="752" w:type="pct"/>
          </w:tcPr>
          <w:p w14:paraId="7ED2BB96" w14:textId="77777777" w:rsidR="0033067B" w:rsidRDefault="00581C72">
            <w:pPr>
              <w:spacing w:after="60"/>
              <w:jc w:val="both"/>
              <w:rPr>
                <w:rFonts w:ascii="Arial" w:hAnsi="Arial" w:cs="Arial"/>
                <w:sz w:val="18"/>
                <w:szCs w:val="18"/>
              </w:rPr>
            </w:pPr>
            <w:r>
              <w:rPr>
                <w:rFonts w:ascii="Arial" w:hAnsi="Arial" w:cs="Arial"/>
                <w:b/>
                <w:bCs/>
                <w:sz w:val="18"/>
                <w:szCs w:val="18"/>
              </w:rPr>
              <w:t>Respostas Questionário</w:t>
            </w:r>
            <w:r>
              <w:rPr>
                <w:rFonts w:ascii="Arial" w:hAnsi="Arial" w:cs="Arial"/>
                <w:sz w:val="18"/>
                <w:szCs w:val="18"/>
              </w:rPr>
              <w:t xml:space="preserve"> - Respostas e evidências anexadas ao questionário eletrônico iGovTI 2026, avaliadas conforme as regras de identificação previstas na matriz de planejamento.</w:t>
            </w:r>
          </w:p>
          <w:p w14:paraId="75735F47" w14:textId="77777777" w:rsidR="0033067B" w:rsidRDefault="0033067B">
            <w:pPr>
              <w:spacing w:after="60"/>
              <w:jc w:val="both"/>
              <w:rPr>
                <w:rFonts w:ascii="Arial" w:hAnsi="Arial" w:cs="Arial"/>
                <w:sz w:val="18"/>
                <w:szCs w:val="18"/>
              </w:rPr>
            </w:pPr>
          </w:p>
          <w:p w14:paraId="661B154F" w14:textId="77777777" w:rsidR="0033067B" w:rsidRDefault="00581C72">
            <w:pPr>
              <w:spacing w:after="60"/>
              <w:jc w:val="both"/>
              <w:rPr>
                <w:rFonts w:ascii="Arial" w:hAnsi="Arial" w:cs="Arial"/>
                <w:sz w:val="18"/>
                <w:szCs w:val="18"/>
              </w:rPr>
            </w:pPr>
            <w:r>
              <w:rPr>
                <w:rFonts w:ascii="Arial" w:hAnsi="Arial" w:cs="Arial"/>
                <w:sz w:val="18"/>
                <w:szCs w:val="18"/>
              </w:rPr>
              <w:t>a) Resposta negativa ou insuficiente sobre processo formal e padronizado para contratações de TIC.</w:t>
            </w:r>
          </w:p>
          <w:p w14:paraId="380D74E8" w14:textId="77777777" w:rsidR="0033067B" w:rsidRDefault="00581C72">
            <w:pPr>
              <w:spacing w:after="60"/>
              <w:jc w:val="both"/>
              <w:rPr>
                <w:rFonts w:ascii="Arial" w:hAnsi="Arial" w:cs="Arial"/>
                <w:sz w:val="18"/>
                <w:szCs w:val="18"/>
              </w:rPr>
            </w:pPr>
            <w:r>
              <w:rPr>
                <w:rFonts w:ascii="Arial" w:hAnsi="Arial" w:cs="Arial"/>
                <w:sz w:val="18"/>
                <w:szCs w:val="18"/>
              </w:rPr>
              <w:t>b) Ausência, desatualização ou insuficiência de evidências de fluxo, papéis, responsabilidades, modelos, manuais, checklists ou normativos orientativos.</w:t>
            </w:r>
          </w:p>
          <w:p w14:paraId="774AAFC3" w14:textId="77777777" w:rsidR="0033067B" w:rsidRDefault="00581C72">
            <w:pPr>
              <w:spacing w:after="60"/>
              <w:jc w:val="both"/>
              <w:rPr>
                <w:rFonts w:ascii="Arial" w:hAnsi="Arial" w:cs="Arial"/>
                <w:sz w:val="18"/>
                <w:szCs w:val="18"/>
              </w:rPr>
            </w:pPr>
            <w:r>
              <w:rPr>
                <w:rFonts w:ascii="Arial" w:hAnsi="Arial" w:cs="Arial"/>
                <w:sz w:val="18"/>
                <w:szCs w:val="18"/>
              </w:rPr>
              <w:t>c) Resposta negativa ou insuficiente sobre análise prévia e aprovação técnica da área de TIC.</w:t>
            </w:r>
          </w:p>
          <w:p w14:paraId="0745B09F" w14:textId="77777777" w:rsidR="0033067B" w:rsidRDefault="00581C72">
            <w:pPr>
              <w:spacing w:after="60"/>
              <w:jc w:val="both"/>
              <w:rPr>
                <w:rFonts w:ascii="Arial" w:hAnsi="Arial" w:cs="Arial"/>
                <w:sz w:val="18"/>
                <w:szCs w:val="18"/>
              </w:rPr>
            </w:pPr>
            <w:r>
              <w:rPr>
                <w:rFonts w:ascii="Arial" w:hAnsi="Arial" w:cs="Arial"/>
                <w:sz w:val="18"/>
                <w:szCs w:val="18"/>
              </w:rPr>
              <w:t>d) Ausência de evidência específica de aprovação técnica da área de TIC em caso concreto.</w:t>
            </w:r>
          </w:p>
          <w:p w14:paraId="17958314" w14:textId="77777777" w:rsidR="0033067B" w:rsidRDefault="00581C72">
            <w:pPr>
              <w:spacing w:after="60"/>
              <w:jc w:val="both"/>
              <w:rPr>
                <w:rFonts w:ascii="Arial" w:hAnsi="Arial" w:cs="Arial"/>
                <w:sz w:val="18"/>
                <w:szCs w:val="18"/>
              </w:rPr>
            </w:pPr>
            <w:r>
              <w:rPr>
                <w:rFonts w:ascii="Arial" w:hAnsi="Arial" w:cs="Arial"/>
                <w:sz w:val="18"/>
                <w:szCs w:val="18"/>
              </w:rPr>
              <w:t>e) Resposta negativa ou insuficiente sobre aderência das contratações ao plano de TIC ou ao plano de contratações.</w:t>
            </w:r>
          </w:p>
          <w:p w14:paraId="5DD25C66" w14:textId="77777777" w:rsidR="0033067B" w:rsidRDefault="00581C72">
            <w:pPr>
              <w:spacing w:after="60"/>
              <w:jc w:val="both"/>
              <w:rPr>
                <w:rFonts w:ascii="Arial" w:hAnsi="Arial" w:cs="Arial"/>
                <w:sz w:val="18"/>
                <w:szCs w:val="18"/>
              </w:rPr>
            </w:pPr>
            <w:r>
              <w:rPr>
                <w:rFonts w:ascii="Arial" w:hAnsi="Arial" w:cs="Arial"/>
                <w:sz w:val="18"/>
                <w:szCs w:val="18"/>
              </w:rPr>
              <w:t>f) Resposta negativa ou insuficiente sobre equipe de planejamento formalmente designada e com participação técnica de TIC.</w:t>
            </w:r>
          </w:p>
        </w:tc>
        <w:tc>
          <w:tcPr>
            <w:tcW w:w="790" w:type="pct"/>
          </w:tcPr>
          <w:p w14:paraId="6A2F8F7E" w14:textId="77777777" w:rsidR="0033067B" w:rsidRDefault="00581C72">
            <w:pPr>
              <w:jc w:val="both"/>
              <w:rPr>
                <w:rFonts w:ascii="Arial" w:hAnsi="Arial" w:cs="Arial"/>
                <w:sz w:val="18"/>
                <w:szCs w:val="18"/>
              </w:rPr>
            </w:pPr>
            <w:r>
              <w:rPr>
                <w:rFonts w:ascii="Arial" w:hAnsi="Arial" w:cs="Arial"/>
                <w:b/>
                <w:bCs/>
                <w:sz w:val="18"/>
                <w:szCs w:val="18"/>
              </w:rPr>
              <w:t>Não investigada.</w:t>
            </w:r>
          </w:p>
        </w:tc>
        <w:tc>
          <w:tcPr>
            <w:tcW w:w="711" w:type="pct"/>
          </w:tcPr>
          <w:p w14:paraId="3DA0B7D4" w14:textId="77777777" w:rsidR="0033067B" w:rsidRDefault="00581C72">
            <w:pPr>
              <w:jc w:val="both"/>
              <w:rPr>
                <w:rFonts w:ascii="Arial" w:hAnsi="Arial" w:cs="Arial"/>
                <w:sz w:val="18"/>
                <w:szCs w:val="18"/>
              </w:rPr>
            </w:pPr>
            <w:r>
              <w:rPr>
                <w:rFonts w:ascii="Arial" w:hAnsi="Arial" w:cs="Arial"/>
                <w:b/>
                <w:sz w:val="18"/>
                <w:szCs w:val="18"/>
              </w:rPr>
              <w:t>Contratações pouco padronizadas:</w:t>
            </w:r>
            <w:r>
              <w:rPr>
                <w:rFonts w:ascii="Arial" w:hAnsi="Arial" w:cs="Arial"/>
                <w:sz w:val="18"/>
                <w:szCs w:val="18"/>
              </w:rPr>
              <w:t xml:space="preserve"> Inexistência ou fragilidade de processo formal aumenta a dependência de iniciativas isoladas e reduz a consistência dos artefatos de contratação.</w:t>
            </w:r>
          </w:p>
          <w:p w14:paraId="59B91ECC" w14:textId="77777777" w:rsidR="0033067B" w:rsidRDefault="0033067B">
            <w:pPr>
              <w:jc w:val="both"/>
              <w:rPr>
                <w:rFonts w:ascii="Arial" w:hAnsi="Arial" w:cs="Arial"/>
                <w:sz w:val="18"/>
                <w:szCs w:val="18"/>
              </w:rPr>
            </w:pPr>
          </w:p>
          <w:p w14:paraId="2DDF6FB2" w14:textId="77777777" w:rsidR="0033067B" w:rsidRDefault="00581C72">
            <w:pPr>
              <w:jc w:val="both"/>
              <w:rPr>
                <w:rFonts w:ascii="Arial" w:hAnsi="Arial" w:cs="Arial"/>
                <w:sz w:val="18"/>
                <w:szCs w:val="18"/>
              </w:rPr>
            </w:pPr>
            <w:r>
              <w:rPr>
                <w:rFonts w:ascii="Arial" w:hAnsi="Arial" w:cs="Arial"/>
                <w:b/>
                <w:sz w:val="18"/>
                <w:szCs w:val="18"/>
              </w:rPr>
              <w:t>Baixo controle técnico das soluções:</w:t>
            </w:r>
            <w:r>
              <w:rPr>
                <w:rFonts w:ascii="Arial" w:hAnsi="Arial" w:cs="Arial"/>
                <w:sz w:val="18"/>
                <w:szCs w:val="18"/>
              </w:rPr>
              <w:t xml:space="preserve"> Ausência de análise e aprovação da área de TIC aumenta o risco de soluções incompatíveis com padrões tecnológicos, arquitetura e segurança.</w:t>
            </w:r>
          </w:p>
          <w:p w14:paraId="6FCCD59B" w14:textId="77777777" w:rsidR="0033067B" w:rsidRDefault="0033067B">
            <w:pPr>
              <w:jc w:val="both"/>
              <w:rPr>
                <w:rFonts w:ascii="Arial" w:hAnsi="Arial" w:cs="Arial"/>
                <w:sz w:val="18"/>
                <w:szCs w:val="18"/>
              </w:rPr>
            </w:pPr>
          </w:p>
          <w:p w14:paraId="202B8243" w14:textId="77777777" w:rsidR="0033067B" w:rsidRDefault="00581C72">
            <w:pPr>
              <w:jc w:val="both"/>
              <w:rPr>
                <w:rFonts w:ascii="Arial" w:hAnsi="Arial" w:cs="Arial"/>
                <w:sz w:val="18"/>
                <w:szCs w:val="18"/>
              </w:rPr>
            </w:pPr>
            <w:r>
              <w:rPr>
                <w:rFonts w:ascii="Arial" w:hAnsi="Arial" w:cs="Arial"/>
                <w:b/>
                <w:sz w:val="18"/>
                <w:szCs w:val="18"/>
              </w:rPr>
              <w:t>Desalinhamento com prioridades institucionais:</w:t>
            </w:r>
            <w:r>
              <w:rPr>
                <w:rFonts w:ascii="Arial" w:hAnsi="Arial" w:cs="Arial"/>
                <w:sz w:val="18"/>
                <w:szCs w:val="18"/>
              </w:rPr>
              <w:t xml:space="preserve"> Contratações desconectadas do plano de TIC, do plano de contratações ou do orçamento podem consumir recursos sem atender necessidades priorizadas.</w:t>
            </w:r>
          </w:p>
          <w:p w14:paraId="40310DFF" w14:textId="77777777" w:rsidR="0033067B" w:rsidRDefault="0033067B">
            <w:pPr>
              <w:jc w:val="both"/>
              <w:rPr>
                <w:rFonts w:ascii="Arial" w:hAnsi="Arial" w:cs="Arial"/>
                <w:sz w:val="18"/>
                <w:szCs w:val="18"/>
              </w:rPr>
            </w:pPr>
          </w:p>
          <w:p w14:paraId="34F2B851" w14:textId="77777777" w:rsidR="0033067B" w:rsidRDefault="00581C72">
            <w:pPr>
              <w:jc w:val="both"/>
              <w:rPr>
                <w:rFonts w:ascii="Arial" w:hAnsi="Arial" w:cs="Arial"/>
                <w:sz w:val="18"/>
                <w:szCs w:val="18"/>
              </w:rPr>
            </w:pPr>
            <w:r>
              <w:rPr>
                <w:rFonts w:ascii="Arial" w:hAnsi="Arial" w:cs="Arial"/>
                <w:b/>
                <w:sz w:val="18"/>
                <w:szCs w:val="18"/>
              </w:rPr>
              <w:t>Fragilidade no planejamento da contratação:</w:t>
            </w:r>
            <w:r>
              <w:rPr>
                <w:rFonts w:ascii="Arial" w:hAnsi="Arial" w:cs="Arial"/>
                <w:sz w:val="18"/>
                <w:szCs w:val="18"/>
              </w:rPr>
              <w:t xml:space="preserve"> Ausência de equipe formalmente designada com participação técnica de TIC compromete estudos preliminares, análise de riscos, requisitos e fiscalização futura.</w:t>
            </w:r>
          </w:p>
        </w:tc>
        <w:tc>
          <w:tcPr>
            <w:tcW w:w="1521" w:type="pct"/>
          </w:tcPr>
          <w:p w14:paraId="5E95DC9B"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formalize e padronize o processo de contratação de TIC, atentando-se, minimamente, em definir fluxo, etapas, papéis, responsabilidades, instâncias de aprovação e modelos de artefatos, manuais, listas de verificação ou orientações internas aplicáveis.</w:t>
            </w:r>
          </w:p>
          <w:p w14:paraId="363D16B4" w14:textId="77777777" w:rsidR="0033067B" w:rsidRDefault="0033067B">
            <w:pPr>
              <w:jc w:val="both"/>
              <w:rPr>
                <w:rFonts w:ascii="Arial" w:hAnsi="Arial" w:cs="Arial"/>
                <w:sz w:val="18"/>
                <w:szCs w:val="18"/>
              </w:rPr>
            </w:pPr>
          </w:p>
          <w:p w14:paraId="609CBC8C"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estabeleça a submissão das contratações de TIC à análise prévia e à aprovação técnica da área de TIC, inclusive quando demandadas por outras áreas, de modo a verificar a compatibilidade da solução com os padrões tecnológicos, os requisitos institucionais, a segurança da informação e a arquitetura existente, facultando a adoção de fluxos simplificados ou a dispensa de parecer detalhado para contratações diretas por dispensa em razão do valor (baixo valor) ou de baixa complexidade técnica, mediante critérios objetivos ou catálogos de soluções padronizadas.</w:t>
            </w:r>
          </w:p>
          <w:p w14:paraId="77FA39CC" w14:textId="77777777" w:rsidR="0033067B" w:rsidRDefault="0033067B">
            <w:pPr>
              <w:jc w:val="both"/>
              <w:rPr>
                <w:rFonts w:ascii="Arial" w:hAnsi="Arial" w:cs="Arial"/>
                <w:sz w:val="18"/>
                <w:szCs w:val="18"/>
              </w:rPr>
            </w:pPr>
          </w:p>
          <w:p w14:paraId="55883960"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integre as contratações de TIC ao planejamento de TIC, ao plano de contratações e à proposta orçamentária, atentando-se, minimamente, em registrar a necessidade atendida, a prioridade, a disponibilidade de recursos e a justificativa das situações excepcionais.</w:t>
            </w:r>
          </w:p>
          <w:p w14:paraId="660DF1DD" w14:textId="77777777" w:rsidR="0033067B" w:rsidRDefault="0033067B">
            <w:pPr>
              <w:jc w:val="both"/>
              <w:rPr>
                <w:rFonts w:ascii="Arial" w:hAnsi="Arial" w:cs="Arial"/>
                <w:sz w:val="18"/>
                <w:szCs w:val="18"/>
              </w:rPr>
            </w:pPr>
          </w:p>
          <w:p w14:paraId="40048AE5" w14:textId="77777777" w:rsidR="0033067B" w:rsidRDefault="00581C72">
            <w:pPr>
              <w:jc w:val="both"/>
              <w:rPr>
                <w:rFonts w:ascii="Arial" w:hAnsi="Arial" w:cs="Arial"/>
                <w:sz w:val="18"/>
                <w:szCs w:val="18"/>
              </w:rPr>
            </w:pPr>
            <w:r>
              <w:rPr>
                <w:rFonts w:ascii="Arial" w:hAnsi="Arial" w:cs="Arial"/>
                <w:b/>
                <w:bCs/>
                <w:sz w:val="18"/>
                <w:szCs w:val="18"/>
                <w:u w:val="single"/>
              </w:rPr>
              <w:t>Comunicação com Recomendação</w:t>
            </w:r>
            <w:r>
              <w:rPr>
                <w:rFonts w:ascii="Arial" w:hAnsi="Arial" w:cs="Arial"/>
                <w:sz w:val="18"/>
                <w:szCs w:val="18"/>
              </w:rPr>
              <w:t xml:space="preserve"> para que designe formalmente equipe responsável pelo planejamento das contratações de TIC, atentando-se, minimamente, em assegurar a participação da área requisitante, da área técnica de TIC e das demais áreas necessárias, com definição das responsabilidades de seus integrantes.</w:t>
            </w:r>
          </w:p>
        </w:tc>
      </w:tr>
    </w:tbl>
    <w:p w14:paraId="0DB78C95" w14:textId="77777777" w:rsidR="00C94549" w:rsidRDefault="00C94549" w:rsidP="001E6730">
      <w:pPr>
        <w:jc w:val="center"/>
        <w:rPr>
          <w:rFonts w:ascii="Arial" w:hAnsi="Arial" w:cs="Arial"/>
          <w:b/>
        </w:rPr>
      </w:pPr>
    </w:p>
    <w:p w14:paraId="5598F4D6" w14:textId="77777777" w:rsidR="00C94549" w:rsidRDefault="00C94549">
      <w:pPr>
        <w:spacing w:after="160" w:line="259" w:lineRule="auto"/>
        <w:rPr>
          <w:rFonts w:ascii="Arial" w:hAnsi="Arial" w:cs="Arial"/>
          <w:b/>
        </w:rPr>
      </w:pPr>
      <w:r>
        <w:rPr>
          <w:rFonts w:ascii="Arial" w:hAnsi="Arial" w:cs="Arial"/>
          <w:b/>
        </w:rPr>
        <w:br w:type="page"/>
      </w:r>
    </w:p>
    <w:p w14:paraId="67F5A53C" w14:textId="77777777" w:rsidR="00A80F99" w:rsidRDefault="00A80F99" w:rsidP="001E6730">
      <w:pPr>
        <w:jc w:val="center"/>
        <w:rPr>
          <w:rFonts w:ascii="Arial" w:hAnsi="Arial" w:cs="Arial"/>
          <w:b/>
        </w:rPr>
      </w:pPr>
    </w:p>
    <w:p w14:paraId="55D0D36D" w14:textId="77777777" w:rsidR="00962849" w:rsidRDefault="00962849" w:rsidP="001E6730">
      <w:pPr>
        <w:jc w:val="center"/>
        <w:rPr>
          <w:rFonts w:ascii="Arial" w:hAnsi="Arial" w:cs="Arial"/>
          <w:b/>
        </w:rPr>
      </w:pPr>
    </w:p>
    <w:p w14:paraId="474BD443" w14:textId="77777777" w:rsidR="00962849" w:rsidRDefault="00962849">
      <w:pPr>
        <w:spacing w:after="160" w:line="259" w:lineRule="auto"/>
        <w:rPr>
          <w:rFonts w:ascii="Arial" w:hAnsi="Arial" w:cs="Arial"/>
          <w:b/>
        </w:rPr>
      </w:pPr>
      <w:r>
        <w:rPr>
          <w:rFonts w:ascii="Arial" w:hAnsi="Arial" w:cs="Arial"/>
          <w:b/>
        </w:rPr>
        <w:br w:type="page"/>
      </w:r>
    </w:p>
    <w:p w14:paraId="431AFC1C" w14:textId="77777777" w:rsidR="00AB5FA0" w:rsidRDefault="00AB5FA0" w:rsidP="001E6730">
      <w:pPr>
        <w:jc w:val="center"/>
        <w:rPr>
          <w:rFonts w:ascii="Arial" w:hAnsi="Arial" w:cs="Arial"/>
          <w:b/>
        </w:rPr>
      </w:pPr>
    </w:p>
    <w:p w14:paraId="7D469BFB" w14:textId="77777777" w:rsidR="00AB5FA0" w:rsidRPr="00697DEB" w:rsidRDefault="00AB5FA0" w:rsidP="00697DEB">
      <w:pPr>
        <w:spacing w:after="160" w:line="259" w:lineRule="auto"/>
        <w:rPr>
          <w:rFonts w:ascii="Arial" w:hAnsi="Arial" w:cs="Arial"/>
          <w:b/>
        </w:rPr>
      </w:pPr>
    </w:p>
    <w:p w14:paraId="18DAD5E9" w14:textId="77777777" w:rsidR="00557E4D" w:rsidRDefault="00557E4D" w:rsidP="00AB5FA0">
      <w:pPr>
        <w:spacing w:after="160" w:line="259" w:lineRule="auto"/>
        <w:rPr>
          <w:rFonts w:ascii="Arial" w:hAnsi="Arial" w:cs="Arial"/>
          <w:b/>
        </w:rPr>
      </w:pPr>
    </w:p>
    <w:sectPr w:rsidR="00557E4D" w:rsidSect="00E0568D">
      <w:headerReference w:type="default" r:id="rId11"/>
      <w:pgSz w:w="23808" w:h="16840" w:orient="landscape" w:code="8"/>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97161" w14:textId="77777777" w:rsidR="00581C72" w:rsidRDefault="00581C72" w:rsidP="00E1739A">
      <w:r>
        <w:separator/>
      </w:r>
    </w:p>
  </w:endnote>
  <w:endnote w:type="continuationSeparator" w:id="0">
    <w:p w14:paraId="4E7B25AA" w14:textId="77777777" w:rsidR="00581C72" w:rsidRDefault="00581C72" w:rsidP="00E1739A">
      <w:r>
        <w:continuationSeparator/>
      </w:r>
    </w:p>
  </w:endnote>
  <w:endnote w:type="continuationNotice" w:id="1">
    <w:p w14:paraId="4F3D1268" w14:textId="77777777" w:rsidR="00581C72" w:rsidRDefault="00581C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Arial MT">
    <w:altName w:val="Arial"/>
    <w:charset w:val="01"/>
    <w:family w:val="swiss"/>
    <w:pitch w:val="variable"/>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476ED" w14:textId="77777777" w:rsidR="00581C72" w:rsidRDefault="00581C72" w:rsidP="00E1739A">
      <w:r>
        <w:separator/>
      </w:r>
    </w:p>
  </w:footnote>
  <w:footnote w:type="continuationSeparator" w:id="0">
    <w:p w14:paraId="089C0B73" w14:textId="77777777" w:rsidR="00581C72" w:rsidRDefault="00581C72" w:rsidP="00E1739A">
      <w:r>
        <w:continuationSeparator/>
      </w:r>
    </w:p>
  </w:footnote>
  <w:footnote w:type="continuationNotice" w:id="1">
    <w:p w14:paraId="135316EF" w14:textId="77777777" w:rsidR="00581C72" w:rsidRDefault="00581C7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22397" w:type="dxa"/>
      <w:tblLook w:val="04A0" w:firstRow="1" w:lastRow="0" w:firstColumn="1" w:lastColumn="0" w:noHBand="0" w:noVBand="1"/>
    </w:tblPr>
    <w:tblGrid>
      <w:gridCol w:w="1838"/>
      <w:gridCol w:w="7093"/>
      <w:gridCol w:w="13466"/>
    </w:tblGrid>
    <w:tr w:rsidR="009036F0" w14:paraId="271DB252" w14:textId="77777777" w:rsidTr="00164EE8">
      <w:tc>
        <w:tcPr>
          <w:tcW w:w="1838" w:type="dxa"/>
        </w:tcPr>
        <w:p w14:paraId="29BBC290" w14:textId="77777777" w:rsidR="009036F0" w:rsidRDefault="009036F0" w:rsidP="009036F0">
          <w:pPr>
            <w:pStyle w:val="Ttulo"/>
            <w:spacing w:before="0"/>
            <w:ind w:left="0"/>
          </w:pPr>
          <w:r>
            <w:rPr>
              <w:noProof/>
            </w:rPr>
            <w:drawing>
              <wp:anchor distT="0" distB="0" distL="114300" distR="114300" simplePos="0" relativeHeight="251658240" behindDoc="0" locked="0" layoutInCell="1" allowOverlap="1" wp14:anchorId="25D10DD4" wp14:editId="600C4C9D">
                <wp:simplePos x="0" y="0"/>
                <wp:positionH relativeFrom="column">
                  <wp:posOffset>181637</wp:posOffset>
                </wp:positionH>
                <wp:positionV relativeFrom="paragraph">
                  <wp:posOffset>4815</wp:posOffset>
                </wp:positionV>
                <wp:extent cx="903478" cy="381468"/>
                <wp:effectExtent l="0" t="0" r="0" b="0"/>
                <wp:wrapNone/>
                <wp:docPr id="954985232" name="Picture 954985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horizontal-colorida-para_fundo_branco.sv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930644" cy="392938"/>
                        </a:xfrm>
                        <a:prstGeom prst="rect">
                          <a:avLst/>
                        </a:prstGeom>
                      </pic:spPr>
                    </pic:pic>
                  </a:graphicData>
                </a:graphic>
                <wp14:sizeRelH relativeFrom="page">
                  <wp14:pctWidth>0</wp14:pctWidth>
                </wp14:sizeRelH>
                <wp14:sizeRelV relativeFrom="page">
                  <wp14:pctHeight>0</wp14:pctHeight>
                </wp14:sizeRelV>
              </wp:anchor>
            </w:drawing>
          </w:r>
        </w:p>
      </w:tc>
      <w:tc>
        <w:tcPr>
          <w:tcW w:w="7093" w:type="dxa"/>
        </w:tcPr>
        <w:p w14:paraId="2323D007" w14:textId="77777777" w:rsidR="009036F0" w:rsidRPr="003C6BC3" w:rsidRDefault="009036F0" w:rsidP="003C6BC3">
          <w:pPr>
            <w:pStyle w:val="Cabealho"/>
            <w:rPr>
              <w:rFonts w:ascii="Arial" w:hAnsi="Arial" w:cs="Arial"/>
              <w:sz w:val="16"/>
              <w:szCs w:val="16"/>
            </w:rPr>
          </w:pPr>
          <w:r w:rsidRPr="003C6BC3">
            <w:rPr>
              <w:rFonts w:ascii="Arial" w:hAnsi="Arial" w:cs="Arial"/>
              <w:sz w:val="16"/>
              <w:szCs w:val="16"/>
            </w:rPr>
            <w:t>SECRETARIA-GERAL</w:t>
          </w:r>
          <w:r w:rsidRPr="003C6BC3">
            <w:rPr>
              <w:rFonts w:ascii="Arial" w:hAnsi="Arial" w:cs="Arial"/>
              <w:spacing w:val="-2"/>
              <w:sz w:val="16"/>
              <w:szCs w:val="16"/>
            </w:rPr>
            <w:t xml:space="preserve"> </w:t>
          </w:r>
          <w:r w:rsidRPr="003C6BC3">
            <w:rPr>
              <w:rFonts w:ascii="Arial" w:hAnsi="Arial" w:cs="Arial"/>
              <w:sz w:val="16"/>
              <w:szCs w:val="16"/>
            </w:rPr>
            <w:t>DE</w:t>
          </w:r>
          <w:r w:rsidRPr="003C6BC3">
            <w:rPr>
              <w:rFonts w:ascii="Arial" w:hAnsi="Arial" w:cs="Arial"/>
              <w:spacing w:val="-1"/>
              <w:sz w:val="16"/>
              <w:szCs w:val="16"/>
            </w:rPr>
            <w:t xml:space="preserve"> </w:t>
          </w:r>
          <w:r w:rsidRPr="003C6BC3">
            <w:rPr>
              <w:rFonts w:ascii="Arial" w:hAnsi="Arial" w:cs="Arial"/>
              <w:sz w:val="16"/>
              <w:szCs w:val="16"/>
            </w:rPr>
            <w:t>CONTROLE</w:t>
          </w:r>
          <w:r w:rsidRPr="003C6BC3">
            <w:rPr>
              <w:rFonts w:ascii="Arial" w:hAnsi="Arial" w:cs="Arial"/>
              <w:spacing w:val="-1"/>
              <w:sz w:val="16"/>
              <w:szCs w:val="16"/>
            </w:rPr>
            <w:t xml:space="preserve"> </w:t>
          </w:r>
          <w:r w:rsidRPr="003C6BC3">
            <w:rPr>
              <w:rFonts w:ascii="Arial" w:hAnsi="Arial" w:cs="Arial"/>
              <w:sz w:val="16"/>
              <w:szCs w:val="16"/>
            </w:rPr>
            <w:t>EXTERNO</w:t>
          </w:r>
        </w:p>
        <w:p w14:paraId="2FF05B7C" w14:textId="77777777" w:rsidR="009036F0" w:rsidRPr="003C6BC3" w:rsidRDefault="009036F0" w:rsidP="003C6BC3">
          <w:pPr>
            <w:pStyle w:val="Ttulo"/>
            <w:tabs>
              <w:tab w:val="left" w:pos="6105"/>
            </w:tabs>
            <w:spacing w:before="0"/>
            <w:ind w:left="0"/>
            <w:jc w:val="left"/>
            <w:rPr>
              <w:rFonts w:eastAsia="Arial MT"/>
              <w:b w:val="0"/>
              <w:bCs w:val="0"/>
              <w:sz w:val="16"/>
              <w:szCs w:val="16"/>
            </w:rPr>
          </w:pPr>
          <w:r w:rsidRPr="003C6BC3">
            <w:rPr>
              <w:rFonts w:eastAsia="Arial MT"/>
              <w:b w:val="0"/>
              <w:bCs w:val="0"/>
              <w:sz w:val="16"/>
              <w:szCs w:val="16"/>
            </w:rPr>
            <w:t>SUBSECRETARIA DE CONTROLE DE POLÍTICAS DE CIDADANIA</w:t>
          </w:r>
        </w:p>
        <w:p w14:paraId="32F26DB4" w14:textId="77777777" w:rsidR="009036F0" w:rsidRPr="003C6BC3" w:rsidRDefault="009036F0" w:rsidP="003C6BC3">
          <w:pPr>
            <w:pStyle w:val="Ttulo"/>
            <w:spacing w:before="0"/>
            <w:ind w:left="0"/>
            <w:jc w:val="left"/>
            <w:rPr>
              <w:sz w:val="16"/>
              <w:szCs w:val="16"/>
            </w:rPr>
          </w:pPr>
          <w:r w:rsidRPr="003C6BC3">
            <w:rPr>
              <w:rFonts w:eastAsia="Arial MT"/>
              <w:b w:val="0"/>
              <w:bCs w:val="0"/>
              <w:sz w:val="16"/>
              <w:szCs w:val="16"/>
            </w:rPr>
            <w:t>COORDENADORIA DE AUDITORIA DE POLÍTICAS EM TECNOLOGIA DA INFORMAÇÃO</w:t>
          </w:r>
        </w:p>
      </w:tc>
      <w:tc>
        <w:tcPr>
          <w:tcW w:w="13466" w:type="dxa"/>
        </w:tcPr>
        <w:p w14:paraId="19675B13" w14:textId="1D61EB62" w:rsidR="00D62CE9" w:rsidRPr="00F25234" w:rsidRDefault="00D62CE9" w:rsidP="00F42298">
          <w:pPr>
            <w:tabs>
              <w:tab w:val="right" w:pos="14034"/>
            </w:tabs>
            <w:autoSpaceDE w:val="0"/>
            <w:autoSpaceDN w:val="0"/>
            <w:adjustRightInd w:val="0"/>
            <w:spacing w:after="120"/>
            <w:ind w:left="-386" w:firstLine="386"/>
            <w:rPr>
              <w:rFonts w:ascii="Arial" w:hAnsi="Arial" w:cs="Arial"/>
              <w:sz w:val="18"/>
              <w:szCs w:val="18"/>
            </w:rPr>
          </w:pPr>
          <w:r w:rsidRPr="00F25234">
            <w:rPr>
              <w:rFonts w:ascii="Arial" w:hAnsi="Arial" w:cs="Arial"/>
              <w:b/>
              <w:bCs/>
              <w:sz w:val="18"/>
              <w:szCs w:val="18"/>
            </w:rPr>
            <w:t>FISCALIZAÇÃO</w:t>
          </w:r>
          <w:r w:rsidRPr="00F25234">
            <w:rPr>
              <w:rFonts w:ascii="Arial" w:hAnsi="Arial" w:cs="Arial"/>
              <w:sz w:val="18"/>
              <w:szCs w:val="18"/>
            </w:rPr>
            <w:t xml:space="preserve">: </w:t>
          </w:r>
          <w:r w:rsidR="004F7414">
            <w:rPr>
              <w:rFonts w:ascii="Arial" w:hAnsi="Arial" w:cs="Arial"/>
              <w:sz w:val="18"/>
              <w:szCs w:val="18"/>
            </w:rPr>
            <w:t>18/2026</w:t>
          </w:r>
        </w:p>
        <w:p w14:paraId="2D1DA2B9" w14:textId="77A57D2C" w:rsidR="00D62CE9" w:rsidRPr="008927C5" w:rsidRDefault="00D62CE9" w:rsidP="00D62CE9">
          <w:pPr>
            <w:autoSpaceDE w:val="0"/>
            <w:autoSpaceDN w:val="0"/>
            <w:adjustRightInd w:val="0"/>
            <w:spacing w:after="120"/>
            <w:jc w:val="both"/>
            <w:rPr>
              <w:rFonts w:ascii="Arial" w:hAnsi="Arial" w:cs="Arial"/>
              <w:sz w:val="18"/>
              <w:szCs w:val="18"/>
            </w:rPr>
          </w:pPr>
          <w:r w:rsidRPr="008927C5">
            <w:rPr>
              <w:rFonts w:ascii="Arial" w:hAnsi="Arial" w:cs="Arial"/>
              <w:b/>
              <w:bCs/>
              <w:sz w:val="18"/>
              <w:szCs w:val="18"/>
            </w:rPr>
            <w:t>JURISDICIONADOS</w:t>
          </w:r>
          <w:r w:rsidRPr="008927C5">
            <w:rPr>
              <w:rFonts w:ascii="Arial" w:hAnsi="Arial" w:cs="Arial"/>
              <w:sz w:val="18"/>
              <w:szCs w:val="18"/>
            </w:rPr>
            <w:t xml:space="preserve">: </w:t>
          </w:r>
          <w:r w:rsidR="004F7414">
            <w:rPr>
              <w:rFonts w:ascii="Arial" w:hAnsi="Arial" w:cs="Arial"/>
              <w:sz w:val="18"/>
              <w:szCs w:val="18"/>
            </w:rPr>
            <w:t>1</w:t>
          </w:r>
          <w:r w:rsidR="004F7414">
            <w:rPr>
              <w:rFonts w:ascii="Arial" w:hAnsi="Arial" w:cs="Arial"/>
              <w:sz w:val="18"/>
              <w:szCs w:val="18"/>
            </w:rPr>
            <w:t>20</w:t>
          </w:r>
          <w:r w:rsidR="004F7414">
            <w:rPr>
              <w:rFonts w:ascii="Arial" w:hAnsi="Arial" w:cs="Arial"/>
              <w:sz w:val="18"/>
              <w:szCs w:val="18"/>
            </w:rPr>
            <w:t xml:space="preserve"> organizações públicas estaduais e municipais respondentes do iGovTI 2026</w:t>
          </w:r>
          <w:r w:rsidRPr="008927C5">
            <w:rPr>
              <w:rFonts w:ascii="Arial" w:hAnsi="Arial" w:cs="Arial"/>
              <w:sz w:val="16"/>
              <w:szCs w:val="16"/>
            </w:rPr>
            <w:t>.</w:t>
          </w:r>
        </w:p>
        <w:p w14:paraId="64F85D3C" w14:textId="38618C9C" w:rsidR="009036F0" w:rsidRPr="00DD42D3" w:rsidRDefault="00D62CE9" w:rsidP="00D62CE9">
          <w:pPr>
            <w:pStyle w:val="Corpodetexto"/>
            <w:spacing w:after="120"/>
            <w:rPr>
              <w:rFonts w:ascii="Arial" w:hAnsi="Arial" w:cs="Arial"/>
              <w:sz w:val="18"/>
              <w:szCs w:val="18"/>
            </w:rPr>
          </w:pPr>
          <w:r w:rsidRPr="00F25234">
            <w:rPr>
              <w:rFonts w:ascii="Arial" w:hAnsi="Arial" w:cs="Arial"/>
              <w:b/>
              <w:bCs/>
              <w:sz w:val="18"/>
              <w:szCs w:val="18"/>
            </w:rPr>
            <w:t>OBJETIVO DA AUDITORIA</w:t>
          </w:r>
          <w:r w:rsidRPr="00F25234">
            <w:rPr>
              <w:rFonts w:ascii="Arial" w:hAnsi="Arial" w:cs="Arial"/>
              <w:sz w:val="18"/>
              <w:szCs w:val="18"/>
            </w:rPr>
            <w:t xml:space="preserve">: </w:t>
          </w:r>
          <w:r w:rsidR="004F7414">
            <w:rPr>
              <w:rFonts w:ascii="Arial" w:hAnsi="Arial" w:cs="Arial"/>
              <w:sz w:val="18"/>
              <w:szCs w:val="18"/>
            </w:rPr>
            <w:t>Avaliar o grau de adoção das organizações públicas às boas práticas de governança e gestão de tecnologia da informação, mediante aplicação do iGovTI 2026</w:t>
          </w:r>
          <w:r w:rsidR="00987287" w:rsidRPr="00DD42D3">
            <w:rPr>
              <w:rFonts w:ascii="Arial" w:hAnsi="Arial" w:cs="Arial"/>
              <w:sz w:val="18"/>
              <w:szCs w:val="18"/>
            </w:rPr>
            <w:t>.</w:t>
          </w:r>
        </w:p>
      </w:tc>
    </w:tr>
  </w:tbl>
  <w:p w14:paraId="394EC05E" w14:textId="77777777" w:rsidR="0041253F" w:rsidRPr="0041253F" w:rsidRDefault="0041253F" w:rsidP="00ED5C0C">
    <w:pPr>
      <w:jc w:val="center"/>
      <w:rPr>
        <w:bCs/>
        <w:sz w:val="12"/>
        <w:szCs w:val="12"/>
      </w:rPr>
    </w:pPr>
  </w:p>
  <w:p w14:paraId="1D36A20E" w14:textId="77777777" w:rsidR="000A68D2" w:rsidRPr="000A68D2" w:rsidRDefault="000A68D2" w:rsidP="009036F0">
    <w:pPr>
      <w:pStyle w:val="Cabealho"/>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0F9D"/>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46E1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4353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4735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24D5A"/>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913F8"/>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EF12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A44B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6280D"/>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D0E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ED1196"/>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1A6FC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921E74"/>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5C6DEF"/>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4F68F6"/>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8C75C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0B1BC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232578"/>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B91488"/>
    <w:multiLevelType w:val="multilevel"/>
    <w:tmpl w:val="C3B0D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FD2E5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9E24BF"/>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1D0C6B"/>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5B6020"/>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6724A2"/>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355605"/>
    <w:multiLevelType w:val="hybridMultilevel"/>
    <w:tmpl w:val="76C6E45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9484DD3"/>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A75E1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46609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62653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0033EC"/>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617B57"/>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F64E15"/>
    <w:multiLevelType w:val="multilevel"/>
    <w:tmpl w:val="73422692"/>
    <w:lvl w:ilvl="0">
      <w:start w:val="1"/>
      <w:numFmt w:val="decimal"/>
      <w:lvlText w:val="%1."/>
      <w:lvlJc w:val="left"/>
      <w:pPr>
        <w:tabs>
          <w:tab w:val="num" w:pos="720"/>
        </w:tabs>
        <w:ind w:left="284" w:hanging="284"/>
      </w:pPr>
      <w:rPr>
        <w:rFont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97865266">
    <w:abstractNumId w:val="16"/>
  </w:num>
  <w:num w:numId="2" w16cid:durableId="1834295709">
    <w:abstractNumId w:val="22"/>
  </w:num>
  <w:num w:numId="3" w16cid:durableId="1525055315">
    <w:abstractNumId w:val="31"/>
  </w:num>
  <w:num w:numId="4" w16cid:durableId="27876356">
    <w:abstractNumId w:val="29"/>
  </w:num>
  <w:num w:numId="5" w16cid:durableId="1467091359">
    <w:abstractNumId w:val="25"/>
  </w:num>
  <w:num w:numId="6" w16cid:durableId="1722054125">
    <w:abstractNumId w:val="10"/>
  </w:num>
  <w:num w:numId="7" w16cid:durableId="2071927349">
    <w:abstractNumId w:val="9"/>
  </w:num>
  <w:num w:numId="8" w16cid:durableId="130443872">
    <w:abstractNumId w:val="30"/>
  </w:num>
  <w:num w:numId="9" w16cid:durableId="494342606">
    <w:abstractNumId w:val="12"/>
  </w:num>
  <w:num w:numId="10" w16cid:durableId="327833772">
    <w:abstractNumId w:val="13"/>
  </w:num>
  <w:num w:numId="11" w16cid:durableId="288628031">
    <w:abstractNumId w:val="3"/>
  </w:num>
  <w:num w:numId="12" w16cid:durableId="573734544">
    <w:abstractNumId w:val="1"/>
  </w:num>
  <w:num w:numId="13" w16cid:durableId="1842311409">
    <w:abstractNumId w:val="4"/>
  </w:num>
  <w:num w:numId="14" w16cid:durableId="569510883">
    <w:abstractNumId w:val="15"/>
  </w:num>
  <w:num w:numId="15" w16cid:durableId="1717511090">
    <w:abstractNumId w:val="8"/>
  </w:num>
  <w:num w:numId="16" w16cid:durableId="2060934341">
    <w:abstractNumId w:val="11"/>
  </w:num>
  <w:num w:numId="17" w16cid:durableId="209390631">
    <w:abstractNumId w:val="20"/>
  </w:num>
  <w:num w:numId="18" w16cid:durableId="417017120">
    <w:abstractNumId w:val="2"/>
  </w:num>
  <w:num w:numId="19" w16cid:durableId="1833325685">
    <w:abstractNumId w:val="17"/>
  </w:num>
  <w:num w:numId="20" w16cid:durableId="863515728">
    <w:abstractNumId w:val="24"/>
  </w:num>
  <w:num w:numId="21" w16cid:durableId="644553927">
    <w:abstractNumId w:val="0"/>
  </w:num>
  <w:num w:numId="22" w16cid:durableId="1993823490">
    <w:abstractNumId w:val="5"/>
  </w:num>
  <w:num w:numId="23" w16cid:durableId="1566408288">
    <w:abstractNumId w:val="19"/>
  </w:num>
  <w:num w:numId="24" w16cid:durableId="1815444369">
    <w:abstractNumId w:val="28"/>
  </w:num>
  <w:num w:numId="25" w16cid:durableId="1104495893">
    <w:abstractNumId w:val="23"/>
  </w:num>
  <w:num w:numId="26" w16cid:durableId="2080979493">
    <w:abstractNumId w:val="6"/>
  </w:num>
  <w:num w:numId="27" w16cid:durableId="1539198458">
    <w:abstractNumId w:val="26"/>
  </w:num>
  <w:num w:numId="28" w16cid:durableId="749086438">
    <w:abstractNumId w:val="27"/>
  </w:num>
  <w:num w:numId="29" w16cid:durableId="160852745">
    <w:abstractNumId w:val="14"/>
  </w:num>
  <w:num w:numId="30" w16cid:durableId="427389148">
    <w:abstractNumId w:val="21"/>
  </w:num>
  <w:num w:numId="31" w16cid:durableId="1896087562">
    <w:abstractNumId w:val="7"/>
  </w:num>
  <w:num w:numId="32" w16cid:durableId="1645741549">
    <w:abstractNumId w:val="1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39A"/>
    <w:rsid w:val="000009DD"/>
    <w:rsid w:val="00000BE4"/>
    <w:rsid w:val="00001226"/>
    <w:rsid w:val="00002785"/>
    <w:rsid w:val="00002BCB"/>
    <w:rsid w:val="00002F98"/>
    <w:rsid w:val="00003A1C"/>
    <w:rsid w:val="0000415B"/>
    <w:rsid w:val="00005867"/>
    <w:rsid w:val="00005909"/>
    <w:rsid w:val="00005E5B"/>
    <w:rsid w:val="00005FC6"/>
    <w:rsid w:val="00006C96"/>
    <w:rsid w:val="000070A6"/>
    <w:rsid w:val="000071E2"/>
    <w:rsid w:val="00007D3E"/>
    <w:rsid w:val="00007D68"/>
    <w:rsid w:val="0001093D"/>
    <w:rsid w:val="00010B84"/>
    <w:rsid w:val="00010B94"/>
    <w:rsid w:val="00010F94"/>
    <w:rsid w:val="00011064"/>
    <w:rsid w:val="00011793"/>
    <w:rsid w:val="00011A33"/>
    <w:rsid w:val="00011B33"/>
    <w:rsid w:val="00011F5F"/>
    <w:rsid w:val="00012102"/>
    <w:rsid w:val="000122B6"/>
    <w:rsid w:val="00013547"/>
    <w:rsid w:val="00014894"/>
    <w:rsid w:val="00015A66"/>
    <w:rsid w:val="00015A9E"/>
    <w:rsid w:val="0001613B"/>
    <w:rsid w:val="00016143"/>
    <w:rsid w:val="0001648E"/>
    <w:rsid w:val="00017401"/>
    <w:rsid w:val="0001764B"/>
    <w:rsid w:val="00017E94"/>
    <w:rsid w:val="00020202"/>
    <w:rsid w:val="0002081B"/>
    <w:rsid w:val="00021A59"/>
    <w:rsid w:val="00021A84"/>
    <w:rsid w:val="0002251E"/>
    <w:rsid w:val="000230C7"/>
    <w:rsid w:val="000230D8"/>
    <w:rsid w:val="0002356A"/>
    <w:rsid w:val="00023BC3"/>
    <w:rsid w:val="00024774"/>
    <w:rsid w:val="00024FD9"/>
    <w:rsid w:val="0002518A"/>
    <w:rsid w:val="0002538F"/>
    <w:rsid w:val="00025A8F"/>
    <w:rsid w:val="00025EA0"/>
    <w:rsid w:val="0002600B"/>
    <w:rsid w:val="00026EBC"/>
    <w:rsid w:val="00027630"/>
    <w:rsid w:val="00027AB9"/>
    <w:rsid w:val="000307B7"/>
    <w:rsid w:val="000308EA"/>
    <w:rsid w:val="0003093E"/>
    <w:rsid w:val="00030DC2"/>
    <w:rsid w:val="00030E2B"/>
    <w:rsid w:val="000310C3"/>
    <w:rsid w:val="000315A3"/>
    <w:rsid w:val="0003183C"/>
    <w:rsid w:val="00031B7B"/>
    <w:rsid w:val="00032DAB"/>
    <w:rsid w:val="000335BC"/>
    <w:rsid w:val="00033A99"/>
    <w:rsid w:val="00033E16"/>
    <w:rsid w:val="00033FC1"/>
    <w:rsid w:val="0003409C"/>
    <w:rsid w:val="00034D38"/>
    <w:rsid w:val="00034EF7"/>
    <w:rsid w:val="000354AB"/>
    <w:rsid w:val="00036758"/>
    <w:rsid w:val="00036A32"/>
    <w:rsid w:val="00036B64"/>
    <w:rsid w:val="00037B57"/>
    <w:rsid w:val="00037F47"/>
    <w:rsid w:val="000406B0"/>
    <w:rsid w:val="00040832"/>
    <w:rsid w:val="00040A57"/>
    <w:rsid w:val="0004101E"/>
    <w:rsid w:val="0004134E"/>
    <w:rsid w:val="0004144D"/>
    <w:rsid w:val="00041CCD"/>
    <w:rsid w:val="00041D78"/>
    <w:rsid w:val="00041FBD"/>
    <w:rsid w:val="00042988"/>
    <w:rsid w:val="00042B16"/>
    <w:rsid w:val="00042EBB"/>
    <w:rsid w:val="000434B2"/>
    <w:rsid w:val="00043933"/>
    <w:rsid w:val="00043A06"/>
    <w:rsid w:val="00043A80"/>
    <w:rsid w:val="00043BA9"/>
    <w:rsid w:val="0004477A"/>
    <w:rsid w:val="00045966"/>
    <w:rsid w:val="00045D00"/>
    <w:rsid w:val="000468AA"/>
    <w:rsid w:val="00046FF2"/>
    <w:rsid w:val="00050588"/>
    <w:rsid w:val="0005089E"/>
    <w:rsid w:val="00050ACE"/>
    <w:rsid w:val="00051731"/>
    <w:rsid w:val="00051DBA"/>
    <w:rsid w:val="00052375"/>
    <w:rsid w:val="0005249E"/>
    <w:rsid w:val="00052B40"/>
    <w:rsid w:val="00052B98"/>
    <w:rsid w:val="00052C6E"/>
    <w:rsid w:val="00052FBF"/>
    <w:rsid w:val="0005310A"/>
    <w:rsid w:val="000533C5"/>
    <w:rsid w:val="000536DF"/>
    <w:rsid w:val="0005385D"/>
    <w:rsid w:val="00053C0D"/>
    <w:rsid w:val="0005615D"/>
    <w:rsid w:val="00056825"/>
    <w:rsid w:val="00056E0B"/>
    <w:rsid w:val="0005798B"/>
    <w:rsid w:val="00057BC0"/>
    <w:rsid w:val="00060D42"/>
    <w:rsid w:val="000610EF"/>
    <w:rsid w:val="0006135D"/>
    <w:rsid w:val="0006169D"/>
    <w:rsid w:val="00061BA6"/>
    <w:rsid w:val="00061DA4"/>
    <w:rsid w:val="00061DBD"/>
    <w:rsid w:val="00061DF5"/>
    <w:rsid w:val="0006306A"/>
    <w:rsid w:val="000632A7"/>
    <w:rsid w:val="00063707"/>
    <w:rsid w:val="00064637"/>
    <w:rsid w:val="00064831"/>
    <w:rsid w:val="000650FA"/>
    <w:rsid w:val="00065428"/>
    <w:rsid w:val="00065DF2"/>
    <w:rsid w:val="00066E80"/>
    <w:rsid w:val="00066FB1"/>
    <w:rsid w:val="00067795"/>
    <w:rsid w:val="000678A3"/>
    <w:rsid w:val="00067933"/>
    <w:rsid w:val="00070335"/>
    <w:rsid w:val="00070767"/>
    <w:rsid w:val="00070AE8"/>
    <w:rsid w:val="000716B0"/>
    <w:rsid w:val="00071869"/>
    <w:rsid w:val="00072225"/>
    <w:rsid w:val="00072C66"/>
    <w:rsid w:val="000733AF"/>
    <w:rsid w:val="0007378B"/>
    <w:rsid w:val="00073D3F"/>
    <w:rsid w:val="000743D7"/>
    <w:rsid w:val="00074447"/>
    <w:rsid w:val="000749C9"/>
    <w:rsid w:val="00074E65"/>
    <w:rsid w:val="00075639"/>
    <w:rsid w:val="00075AE5"/>
    <w:rsid w:val="000761FF"/>
    <w:rsid w:val="00076244"/>
    <w:rsid w:val="00076C0B"/>
    <w:rsid w:val="00077113"/>
    <w:rsid w:val="000776B2"/>
    <w:rsid w:val="000777A5"/>
    <w:rsid w:val="0007781D"/>
    <w:rsid w:val="000779F0"/>
    <w:rsid w:val="00077F74"/>
    <w:rsid w:val="000800E0"/>
    <w:rsid w:val="00080166"/>
    <w:rsid w:val="00080692"/>
    <w:rsid w:val="00080F6C"/>
    <w:rsid w:val="000815FD"/>
    <w:rsid w:val="00081624"/>
    <w:rsid w:val="000818F5"/>
    <w:rsid w:val="000820EA"/>
    <w:rsid w:val="00082523"/>
    <w:rsid w:val="0008253A"/>
    <w:rsid w:val="000825D5"/>
    <w:rsid w:val="00082CCE"/>
    <w:rsid w:val="00083207"/>
    <w:rsid w:val="00083597"/>
    <w:rsid w:val="0008359A"/>
    <w:rsid w:val="00084CF8"/>
    <w:rsid w:val="00084D33"/>
    <w:rsid w:val="00084F31"/>
    <w:rsid w:val="0008517E"/>
    <w:rsid w:val="00085B13"/>
    <w:rsid w:val="0008634F"/>
    <w:rsid w:val="00086B7F"/>
    <w:rsid w:val="0008706D"/>
    <w:rsid w:val="000876B9"/>
    <w:rsid w:val="00090799"/>
    <w:rsid w:val="000908ED"/>
    <w:rsid w:val="000909F2"/>
    <w:rsid w:val="00091068"/>
    <w:rsid w:val="00091820"/>
    <w:rsid w:val="00091F06"/>
    <w:rsid w:val="000925E6"/>
    <w:rsid w:val="000927A3"/>
    <w:rsid w:val="00092D66"/>
    <w:rsid w:val="00093327"/>
    <w:rsid w:val="00094067"/>
    <w:rsid w:val="000946B0"/>
    <w:rsid w:val="00095947"/>
    <w:rsid w:val="00096DEF"/>
    <w:rsid w:val="00097268"/>
    <w:rsid w:val="00097609"/>
    <w:rsid w:val="0009779B"/>
    <w:rsid w:val="000A0C75"/>
    <w:rsid w:val="000A10D3"/>
    <w:rsid w:val="000A1729"/>
    <w:rsid w:val="000A1DA5"/>
    <w:rsid w:val="000A2E7D"/>
    <w:rsid w:val="000A33AE"/>
    <w:rsid w:val="000A36B1"/>
    <w:rsid w:val="000A3B99"/>
    <w:rsid w:val="000A3C50"/>
    <w:rsid w:val="000A3E17"/>
    <w:rsid w:val="000A3F5F"/>
    <w:rsid w:val="000A4C56"/>
    <w:rsid w:val="000A588A"/>
    <w:rsid w:val="000A624A"/>
    <w:rsid w:val="000A6589"/>
    <w:rsid w:val="000A6618"/>
    <w:rsid w:val="000A68D2"/>
    <w:rsid w:val="000B04FA"/>
    <w:rsid w:val="000B09C5"/>
    <w:rsid w:val="000B0FAE"/>
    <w:rsid w:val="000B1794"/>
    <w:rsid w:val="000B2BE1"/>
    <w:rsid w:val="000B31AE"/>
    <w:rsid w:val="000B3900"/>
    <w:rsid w:val="000B3AD8"/>
    <w:rsid w:val="000B4649"/>
    <w:rsid w:val="000B4EB7"/>
    <w:rsid w:val="000B530D"/>
    <w:rsid w:val="000B53C5"/>
    <w:rsid w:val="000B53C8"/>
    <w:rsid w:val="000B56A3"/>
    <w:rsid w:val="000B5E73"/>
    <w:rsid w:val="000B7A3F"/>
    <w:rsid w:val="000B7E93"/>
    <w:rsid w:val="000C2252"/>
    <w:rsid w:val="000C2C67"/>
    <w:rsid w:val="000C2DB9"/>
    <w:rsid w:val="000C38A2"/>
    <w:rsid w:val="000C4193"/>
    <w:rsid w:val="000C487D"/>
    <w:rsid w:val="000C675A"/>
    <w:rsid w:val="000C67D5"/>
    <w:rsid w:val="000C700D"/>
    <w:rsid w:val="000C7881"/>
    <w:rsid w:val="000C78D0"/>
    <w:rsid w:val="000D09A1"/>
    <w:rsid w:val="000D0A9A"/>
    <w:rsid w:val="000D1888"/>
    <w:rsid w:val="000D1AE6"/>
    <w:rsid w:val="000D1EA8"/>
    <w:rsid w:val="000D3176"/>
    <w:rsid w:val="000D3D36"/>
    <w:rsid w:val="000D3F42"/>
    <w:rsid w:val="000D4C1D"/>
    <w:rsid w:val="000D5743"/>
    <w:rsid w:val="000D5EB4"/>
    <w:rsid w:val="000D76E8"/>
    <w:rsid w:val="000D79A9"/>
    <w:rsid w:val="000E00EC"/>
    <w:rsid w:val="000E0978"/>
    <w:rsid w:val="000E09AA"/>
    <w:rsid w:val="000E0B92"/>
    <w:rsid w:val="000E0E64"/>
    <w:rsid w:val="000E155A"/>
    <w:rsid w:val="000E1962"/>
    <w:rsid w:val="000E244A"/>
    <w:rsid w:val="000E2CDE"/>
    <w:rsid w:val="000E3C38"/>
    <w:rsid w:val="000E4775"/>
    <w:rsid w:val="000E4A89"/>
    <w:rsid w:val="000E516E"/>
    <w:rsid w:val="000E56CB"/>
    <w:rsid w:val="000E5E8E"/>
    <w:rsid w:val="000E6420"/>
    <w:rsid w:val="000E65AB"/>
    <w:rsid w:val="000E66D0"/>
    <w:rsid w:val="000E6A95"/>
    <w:rsid w:val="000E6E19"/>
    <w:rsid w:val="000E7249"/>
    <w:rsid w:val="000E78D6"/>
    <w:rsid w:val="000E7F37"/>
    <w:rsid w:val="000F05D8"/>
    <w:rsid w:val="000F0DB0"/>
    <w:rsid w:val="000F0EB9"/>
    <w:rsid w:val="000F108A"/>
    <w:rsid w:val="000F1445"/>
    <w:rsid w:val="000F2DF9"/>
    <w:rsid w:val="000F2FA3"/>
    <w:rsid w:val="000F57FC"/>
    <w:rsid w:val="000F60B4"/>
    <w:rsid w:val="000F6298"/>
    <w:rsid w:val="000F655B"/>
    <w:rsid w:val="000F7859"/>
    <w:rsid w:val="00100A34"/>
    <w:rsid w:val="00101170"/>
    <w:rsid w:val="001011F7"/>
    <w:rsid w:val="0010133B"/>
    <w:rsid w:val="0010150B"/>
    <w:rsid w:val="00101D07"/>
    <w:rsid w:val="00102037"/>
    <w:rsid w:val="00102A7D"/>
    <w:rsid w:val="001031D7"/>
    <w:rsid w:val="00103423"/>
    <w:rsid w:val="00103B63"/>
    <w:rsid w:val="00104322"/>
    <w:rsid w:val="00104BD4"/>
    <w:rsid w:val="00104D5E"/>
    <w:rsid w:val="00104DFD"/>
    <w:rsid w:val="001051F1"/>
    <w:rsid w:val="00106AF2"/>
    <w:rsid w:val="0010738C"/>
    <w:rsid w:val="00107448"/>
    <w:rsid w:val="00110308"/>
    <w:rsid w:val="001104C5"/>
    <w:rsid w:val="001106E7"/>
    <w:rsid w:val="0011099E"/>
    <w:rsid w:val="00110E29"/>
    <w:rsid w:val="00111631"/>
    <w:rsid w:val="00111BB7"/>
    <w:rsid w:val="00112218"/>
    <w:rsid w:val="00112CF1"/>
    <w:rsid w:val="00112D50"/>
    <w:rsid w:val="00112F81"/>
    <w:rsid w:val="001133C0"/>
    <w:rsid w:val="00113567"/>
    <w:rsid w:val="00113CF7"/>
    <w:rsid w:val="00113ED2"/>
    <w:rsid w:val="00113F4A"/>
    <w:rsid w:val="001146A5"/>
    <w:rsid w:val="00114C51"/>
    <w:rsid w:val="00114CEB"/>
    <w:rsid w:val="00115B90"/>
    <w:rsid w:val="001163B0"/>
    <w:rsid w:val="001173F3"/>
    <w:rsid w:val="001176B6"/>
    <w:rsid w:val="00120674"/>
    <w:rsid w:val="00120948"/>
    <w:rsid w:val="001209CF"/>
    <w:rsid w:val="00120BF1"/>
    <w:rsid w:val="001211CB"/>
    <w:rsid w:val="00121282"/>
    <w:rsid w:val="001212B0"/>
    <w:rsid w:val="001216C5"/>
    <w:rsid w:val="00121DC0"/>
    <w:rsid w:val="001220E1"/>
    <w:rsid w:val="001220FE"/>
    <w:rsid w:val="0012246A"/>
    <w:rsid w:val="00122A8D"/>
    <w:rsid w:val="00123A00"/>
    <w:rsid w:val="00124604"/>
    <w:rsid w:val="00124F1F"/>
    <w:rsid w:val="00126245"/>
    <w:rsid w:val="00126920"/>
    <w:rsid w:val="00127242"/>
    <w:rsid w:val="00127435"/>
    <w:rsid w:val="00130A1E"/>
    <w:rsid w:val="00130C72"/>
    <w:rsid w:val="00131949"/>
    <w:rsid w:val="00131A78"/>
    <w:rsid w:val="00132AD7"/>
    <w:rsid w:val="00133F35"/>
    <w:rsid w:val="001340BB"/>
    <w:rsid w:val="00134847"/>
    <w:rsid w:val="00134A38"/>
    <w:rsid w:val="00134F8C"/>
    <w:rsid w:val="001357E9"/>
    <w:rsid w:val="0013597B"/>
    <w:rsid w:val="0013614A"/>
    <w:rsid w:val="0013624B"/>
    <w:rsid w:val="00136487"/>
    <w:rsid w:val="0013661E"/>
    <w:rsid w:val="00136C81"/>
    <w:rsid w:val="00137034"/>
    <w:rsid w:val="0013738A"/>
    <w:rsid w:val="001373C0"/>
    <w:rsid w:val="0013747F"/>
    <w:rsid w:val="00137BC8"/>
    <w:rsid w:val="0014030B"/>
    <w:rsid w:val="00140385"/>
    <w:rsid w:val="00140DC3"/>
    <w:rsid w:val="00141967"/>
    <w:rsid w:val="001420BD"/>
    <w:rsid w:val="001420EB"/>
    <w:rsid w:val="00142143"/>
    <w:rsid w:val="0014258E"/>
    <w:rsid w:val="00142699"/>
    <w:rsid w:val="00142A61"/>
    <w:rsid w:val="00142C1C"/>
    <w:rsid w:val="00142F0B"/>
    <w:rsid w:val="001435F5"/>
    <w:rsid w:val="00143A4E"/>
    <w:rsid w:val="00143D3D"/>
    <w:rsid w:val="00143E2D"/>
    <w:rsid w:val="00144523"/>
    <w:rsid w:val="001445B6"/>
    <w:rsid w:val="00144D96"/>
    <w:rsid w:val="001474B4"/>
    <w:rsid w:val="00150F7E"/>
    <w:rsid w:val="001511CA"/>
    <w:rsid w:val="00151844"/>
    <w:rsid w:val="00151869"/>
    <w:rsid w:val="001528C5"/>
    <w:rsid w:val="001530AF"/>
    <w:rsid w:val="0015319A"/>
    <w:rsid w:val="00153482"/>
    <w:rsid w:val="00154C7F"/>
    <w:rsid w:val="001553E4"/>
    <w:rsid w:val="00155436"/>
    <w:rsid w:val="00155DA2"/>
    <w:rsid w:val="001561C7"/>
    <w:rsid w:val="001561D3"/>
    <w:rsid w:val="001563E2"/>
    <w:rsid w:val="001565D8"/>
    <w:rsid w:val="00156902"/>
    <w:rsid w:val="00156D5F"/>
    <w:rsid w:val="00156DFC"/>
    <w:rsid w:val="00156E91"/>
    <w:rsid w:val="00156EAE"/>
    <w:rsid w:val="00157122"/>
    <w:rsid w:val="001575CC"/>
    <w:rsid w:val="00157679"/>
    <w:rsid w:val="001576B5"/>
    <w:rsid w:val="0016059B"/>
    <w:rsid w:val="00160A5E"/>
    <w:rsid w:val="00161263"/>
    <w:rsid w:val="0016138E"/>
    <w:rsid w:val="0016159C"/>
    <w:rsid w:val="0016182A"/>
    <w:rsid w:val="0016183A"/>
    <w:rsid w:val="00161C1C"/>
    <w:rsid w:val="00162254"/>
    <w:rsid w:val="001622D6"/>
    <w:rsid w:val="00162518"/>
    <w:rsid w:val="00162570"/>
    <w:rsid w:val="001625CE"/>
    <w:rsid w:val="001626F9"/>
    <w:rsid w:val="0016297C"/>
    <w:rsid w:val="00162C6F"/>
    <w:rsid w:val="00163491"/>
    <w:rsid w:val="0016354C"/>
    <w:rsid w:val="001635A6"/>
    <w:rsid w:val="0016370E"/>
    <w:rsid w:val="00163823"/>
    <w:rsid w:val="00163C52"/>
    <w:rsid w:val="00163D04"/>
    <w:rsid w:val="00163F56"/>
    <w:rsid w:val="00164D76"/>
    <w:rsid w:val="00164EE8"/>
    <w:rsid w:val="00165074"/>
    <w:rsid w:val="0016598F"/>
    <w:rsid w:val="001659EE"/>
    <w:rsid w:val="00166B34"/>
    <w:rsid w:val="00166E3A"/>
    <w:rsid w:val="001672CD"/>
    <w:rsid w:val="001674B1"/>
    <w:rsid w:val="00167600"/>
    <w:rsid w:val="00167E32"/>
    <w:rsid w:val="00167F4F"/>
    <w:rsid w:val="001701AD"/>
    <w:rsid w:val="0017090A"/>
    <w:rsid w:val="00170976"/>
    <w:rsid w:val="00170ABE"/>
    <w:rsid w:val="00172222"/>
    <w:rsid w:val="001725FF"/>
    <w:rsid w:val="00172A64"/>
    <w:rsid w:val="00172BDC"/>
    <w:rsid w:val="00172F7F"/>
    <w:rsid w:val="00174497"/>
    <w:rsid w:val="00174521"/>
    <w:rsid w:val="00174575"/>
    <w:rsid w:val="001759AA"/>
    <w:rsid w:val="00175D60"/>
    <w:rsid w:val="00175E21"/>
    <w:rsid w:val="00176317"/>
    <w:rsid w:val="00176A1C"/>
    <w:rsid w:val="00176C58"/>
    <w:rsid w:val="001778BD"/>
    <w:rsid w:val="00177AEA"/>
    <w:rsid w:val="00177E16"/>
    <w:rsid w:val="00180301"/>
    <w:rsid w:val="00180725"/>
    <w:rsid w:val="001807F0"/>
    <w:rsid w:val="00180E5D"/>
    <w:rsid w:val="00181C6C"/>
    <w:rsid w:val="00182626"/>
    <w:rsid w:val="00182767"/>
    <w:rsid w:val="00182819"/>
    <w:rsid w:val="00183399"/>
    <w:rsid w:val="00183E8B"/>
    <w:rsid w:val="00185005"/>
    <w:rsid w:val="001850FF"/>
    <w:rsid w:val="0018524F"/>
    <w:rsid w:val="00186FA2"/>
    <w:rsid w:val="00187127"/>
    <w:rsid w:val="0018759C"/>
    <w:rsid w:val="0018793C"/>
    <w:rsid w:val="0019009C"/>
    <w:rsid w:val="00191BF6"/>
    <w:rsid w:val="00192944"/>
    <w:rsid w:val="00192EF8"/>
    <w:rsid w:val="00193532"/>
    <w:rsid w:val="001939C5"/>
    <w:rsid w:val="001942E2"/>
    <w:rsid w:val="001945DC"/>
    <w:rsid w:val="00194834"/>
    <w:rsid w:val="00195496"/>
    <w:rsid w:val="00195E2F"/>
    <w:rsid w:val="0019631A"/>
    <w:rsid w:val="00196794"/>
    <w:rsid w:val="00196854"/>
    <w:rsid w:val="00196C6E"/>
    <w:rsid w:val="001977AE"/>
    <w:rsid w:val="001A0165"/>
    <w:rsid w:val="001A01DB"/>
    <w:rsid w:val="001A03F4"/>
    <w:rsid w:val="001A03FD"/>
    <w:rsid w:val="001A0710"/>
    <w:rsid w:val="001A1AE1"/>
    <w:rsid w:val="001A1B27"/>
    <w:rsid w:val="001A1F10"/>
    <w:rsid w:val="001A291D"/>
    <w:rsid w:val="001A2C49"/>
    <w:rsid w:val="001A30B1"/>
    <w:rsid w:val="001A326F"/>
    <w:rsid w:val="001A3AB2"/>
    <w:rsid w:val="001A4005"/>
    <w:rsid w:val="001A4343"/>
    <w:rsid w:val="001A455A"/>
    <w:rsid w:val="001A46E3"/>
    <w:rsid w:val="001A55A7"/>
    <w:rsid w:val="001A5652"/>
    <w:rsid w:val="001A5AFA"/>
    <w:rsid w:val="001A625B"/>
    <w:rsid w:val="001A65DB"/>
    <w:rsid w:val="001A6A14"/>
    <w:rsid w:val="001A6ED1"/>
    <w:rsid w:val="001A77B7"/>
    <w:rsid w:val="001B1E8D"/>
    <w:rsid w:val="001B278B"/>
    <w:rsid w:val="001B2E52"/>
    <w:rsid w:val="001B349A"/>
    <w:rsid w:val="001B394D"/>
    <w:rsid w:val="001B3FC7"/>
    <w:rsid w:val="001B4AFF"/>
    <w:rsid w:val="001B4B99"/>
    <w:rsid w:val="001B5647"/>
    <w:rsid w:val="001B5FA7"/>
    <w:rsid w:val="001B6238"/>
    <w:rsid w:val="001B64B7"/>
    <w:rsid w:val="001B708D"/>
    <w:rsid w:val="001C0BE2"/>
    <w:rsid w:val="001C0C2B"/>
    <w:rsid w:val="001C2188"/>
    <w:rsid w:val="001C3D2E"/>
    <w:rsid w:val="001C43F0"/>
    <w:rsid w:val="001C44A7"/>
    <w:rsid w:val="001C5465"/>
    <w:rsid w:val="001C5D6C"/>
    <w:rsid w:val="001C6048"/>
    <w:rsid w:val="001C6A96"/>
    <w:rsid w:val="001C7F8E"/>
    <w:rsid w:val="001D04D4"/>
    <w:rsid w:val="001D05C9"/>
    <w:rsid w:val="001D1121"/>
    <w:rsid w:val="001D1F6C"/>
    <w:rsid w:val="001D23BD"/>
    <w:rsid w:val="001D2829"/>
    <w:rsid w:val="001D3404"/>
    <w:rsid w:val="001D38A9"/>
    <w:rsid w:val="001D3C2C"/>
    <w:rsid w:val="001D4820"/>
    <w:rsid w:val="001D4F02"/>
    <w:rsid w:val="001D53F4"/>
    <w:rsid w:val="001D563D"/>
    <w:rsid w:val="001D5FAF"/>
    <w:rsid w:val="001D5FF9"/>
    <w:rsid w:val="001D6400"/>
    <w:rsid w:val="001D71A2"/>
    <w:rsid w:val="001D759E"/>
    <w:rsid w:val="001D7766"/>
    <w:rsid w:val="001D7E0D"/>
    <w:rsid w:val="001E0439"/>
    <w:rsid w:val="001E0D3C"/>
    <w:rsid w:val="001E0F4C"/>
    <w:rsid w:val="001E1186"/>
    <w:rsid w:val="001E1235"/>
    <w:rsid w:val="001E12A0"/>
    <w:rsid w:val="001E1439"/>
    <w:rsid w:val="001E184E"/>
    <w:rsid w:val="001E18A1"/>
    <w:rsid w:val="001E1D25"/>
    <w:rsid w:val="001E21A3"/>
    <w:rsid w:val="001E2C87"/>
    <w:rsid w:val="001E3B81"/>
    <w:rsid w:val="001E3E00"/>
    <w:rsid w:val="001E438F"/>
    <w:rsid w:val="001E4471"/>
    <w:rsid w:val="001E4AED"/>
    <w:rsid w:val="001E4D4E"/>
    <w:rsid w:val="001E4ED5"/>
    <w:rsid w:val="001E4F5A"/>
    <w:rsid w:val="001E5349"/>
    <w:rsid w:val="001E540D"/>
    <w:rsid w:val="001E5C16"/>
    <w:rsid w:val="001E5D3D"/>
    <w:rsid w:val="001E62C9"/>
    <w:rsid w:val="001E6730"/>
    <w:rsid w:val="001E698D"/>
    <w:rsid w:val="001E78B2"/>
    <w:rsid w:val="001F2A34"/>
    <w:rsid w:val="001F34E0"/>
    <w:rsid w:val="001F3550"/>
    <w:rsid w:val="001F36B7"/>
    <w:rsid w:val="001F3D8D"/>
    <w:rsid w:val="001F3DD3"/>
    <w:rsid w:val="001F416B"/>
    <w:rsid w:val="001F4775"/>
    <w:rsid w:val="001F48CD"/>
    <w:rsid w:val="001F4ACB"/>
    <w:rsid w:val="001F4FB3"/>
    <w:rsid w:val="001F5B5D"/>
    <w:rsid w:val="001F6CDF"/>
    <w:rsid w:val="001F6F68"/>
    <w:rsid w:val="001F7302"/>
    <w:rsid w:val="001F74C1"/>
    <w:rsid w:val="001F7D57"/>
    <w:rsid w:val="001F7DAC"/>
    <w:rsid w:val="001F7E12"/>
    <w:rsid w:val="001F7EEF"/>
    <w:rsid w:val="002001BE"/>
    <w:rsid w:val="00200253"/>
    <w:rsid w:val="002010F3"/>
    <w:rsid w:val="00201AF9"/>
    <w:rsid w:val="00201BC2"/>
    <w:rsid w:val="002027B6"/>
    <w:rsid w:val="00203240"/>
    <w:rsid w:val="002034F6"/>
    <w:rsid w:val="00203E1C"/>
    <w:rsid w:val="002040D8"/>
    <w:rsid w:val="00205054"/>
    <w:rsid w:val="002050B7"/>
    <w:rsid w:val="002058B9"/>
    <w:rsid w:val="00206019"/>
    <w:rsid w:val="00206375"/>
    <w:rsid w:val="0020686E"/>
    <w:rsid w:val="00206AB0"/>
    <w:rsid w:val="00206BF5"/>
    <w:rsid w:val="00206F02"/>
    <w:rsid w:val="00207268"/>
    <w:rsid w:val="00207A43"/>
    <w:rsid w:val="00207D41"/>
    <w:rsid w:val="002100EC"/>
    <w:rsid w:val="00210224"/>
    <w:rsid w:val="0021056F"/>
    <w:rsid w:val="00210B17"/>
    <w:rsid w:val="00211D87"/>
    <w:rsid w:val="0021252A"/>
    <w:rsid w:val="00212646"/>
    <w:rsid w:val="002128C4"/>
    <w:rsid w:val="0021404E"/>
    <w:rsid w:val="002149A8"/>
    <w:rsid w:val="00214D37"/>
    <w:rsid w:val="00214F60"/>
    <w:rsid w:val="002154FE"/>
    <w:rsid w:val="00215616"/>
    <w:rsid w:val="002157F1"/>
    <w:rsid w:val="002161FB"/>
    <w:rsid w:val="00216486"/>
    <w:rsid w:val="00216DBF"/>
    <w:rsid w:val="00216EC1"/>
    <w:rsid w:val="002171FD"/>
    <w:rsid w:val="00217F05"/>
    <w:rsid w:val="00220165"/>
    <w:rsid w:val="002208B4"/>
    <w:rsid w:val="00220EBB"/>
    <w:rsid w:val="002211CC"/>
    <w:rsid w:val="002213DC"/>
    <w:rsid w:val="00221712"/>
    <w:rsid w:val="0022189F"/>
    <w:rsid w:val="00222386"/>
    <w:rsid w:val="00222A23"/>
    <w:rsid w:val="00222F7A"/>
    <w:rsid w:val="002233E8"/>
    <w:rsid w:val="00223588"/>
    <w:rsid w:val="00224452"/>
    <w:rsid w:val="0022448A"/>
    <w:rsid w:val="002246FB"/>
    <w:rsid w:val="0022523A"/>
    <w:rsid w:val="0022570B"/>
    <w:rsid w:val="00225A39"/>
    <w:rsid w:val="00225E91"/>
    <w:rsid w:val="002263AE"/>
    <w:rsid w:val="0022667F"/>
    <w:rsid w:val="00226B4D"/>
    <w:rsid w:val="00227138"/>
    <w:rsid w:val="00227281"/>
    <w:rsid w:val="002277FA"/>
    <w:rsid w:val="002279FA"/>
    <w:rsid w:val="00227AEB"/>
    <w:rsid w:val="00230AFE"/>
    <w:rsid w:val="0023101F"/>
    <w:rsid w:val="0023131C"/>
    <w:rsid w:val="00231765"/>
    <w:rsid w:val="002318F1"/>
    <w:rsid w:val="00231B6E"/>
    <w:rsid w:val="002326B9"/>
    <w:rsid w:val="002326E8"/>
    <w:rsid w:val="00232CB5"/>
    <w:rsid w:val="00232F3C"/>
    <w:rsid w:val="0023302B"/>
    <w:rsid w:val="00233625"/>
    <w:rsid w:val="00233BDE"/>
    <w:rsid w:val="002349DA"/>
    <w:rsid w:val="00234A55"/>
    <w:rsid w:val="00234BA8"/>
    <w:rsid w:val="00234C98"/>
    <w:rsid w:val="00235E74"/>
    <w:rsid w:val="0023611D"/>
    <w:rsid w:val="002365E5"/>
    <w:rsid w:val="00236723"/>
    <w:rsid w:val="002367C4"/>
    <w:rsid w:val="00236817"/>
    <w:rsid w:val="0023681C"/>
    <w:rsid w:val="00236A6B"/>
    <w:rsid w:val="00240072"/>
    <w:rsid w:val="00240187"/>
    <w:rsid w:val="002407D6"/>
    <w:rsid w:val="002413F3"/>
    <w:rsid w:val="00241513"/>
    <w:rsid w:val="002416DC"/>
    <w:rsid w:val="00241D31"/>
    <w:rsid w:val="002424B0"/>
    <w:rsid w:val="0024272E"/>
    <w:rsid w:val="00243881"/>
    <w:rsid w:val="00243FB1"/>
    <w:rsid w:val="00244E0B"/>
    <w:rsid w:val="00245E02"/>
    <w:rsid w:val="00245F05"/>
    <w:rsid w:val="0024623A"/>
    <w:rsid w:val="00247180"/>
    <w:rsid w:val="00247328"/>
    <w:rsid w:val="0024733E"/>
    <w:rsid w:val="00247342"/>
    <w:rsid w:val="002479BD"/>
    <w:rsid w:val="00247A8B"/>
    <w:rsid w:val="002501BB"/>
    <w:rsid w:val="00250870"/>
    <w:rsid w:val="00251589"/>
    <w:rsid w:val="00251CDE"/>
    <w:rsid w:val="00251E03"/>
    <w:rsid w:val="0025207F"/>
    <w:rsid w:val="00252211"/>
    <w:rsid w:val="002524C1"/>
    <w:rsid w:val="002526B1"/>
    <w:rsid w:val="00252C67"/>
    <w:rsid w:val="00253075"/>
    <w:rsid w:val="00253846"/>
    <w:rsid w:val="00253852"/>
    <w:rsid w:val="00253E3F"/>
    <w:rsid w:val="00254376"/>
    <w:rsid w:val="00255108"/>
    <w:rsid w:val="00255326"/>
    <w:rsid w:val="002555FA"/>
    <w:rsid w:val="002556F1"/>
    <w:rsid w:val="002557A6"/>
    <w:rsid w:val="00256870"/>
    <w:rsid w:val="00256DEC"/>
    <w:rsid w:val="0025777D"/>
    <w:rsid w:val="00257FCB"/>
    <w:rsid w:val="002600C6"/>
    <w:rsid w:val="00260B3F"/>
    <w:rsid w:val="00260EB1"/>
    <w:rsid w:val="00261067"/>
    <w:rsid w:val="0026159D"/>
    <w:rsid w:val="00262247"/>
    <w:rsid w:val="00262E89"/>
    <w:rsid w:val="00263267"/>
    <w:rsid w:val="002632D8"/>
    <w:rsid w:val="00263BED"/>
    <w:rsid w:val="00264E3C"/>
    <w:rsid w:val="0026511E"/>
    <w:rsid w:val="002651E2"/>
    <w:rsid w:val="00265AE8"/>
    <w:rsid w:val="00265DCC"/>
    <w:rsid w:val="00266EBB"/>
    <w:rsid w:val="002670B2"/>
    <w:rsid w:val="002678ED"/>
    <w:rsid w:val="00267929"/>
    <w:rsid w:val="00267F62"/>
    <w:rsid w:val="00271030"/>
    <w:rsid w:val="002711B2"/>
    <w:rsid w:val="00271BF4"/>
    <w:rsid w:val="00274E96"/>
    <w:rsid w:val="00275411"/>
    <w:rsid w:val="00275A5F"/>
    <w:rsid w:val="0027604E"/>
    <w:rsid w:val="0027628E"/>
    <w:rsid w:val="002767D6"/>
    <w:rsid w:val="0027686C"/>
    <w:rsid w:val="002769AE"/>
    <w:rsid w:val="00276C12"/>
    <w:rsid w:val="0028014F"/>
    <w:rsid w:val="00280562"/>
    <w:rsid w:val="00281E49"/>
    <w:rsid w:val="00282E61"/>
    <w:rsid w:val="00282FF8"/>
    <w:rsid w:val="00283756"/>
    <w:rsid w:val="002837CF"/>
    <w:rsid w:val="002839D6"/>
    <w:rsid w:val="0028474B"/>
    <w:rsid w:val="00284755"/>
    <w:rsid w:val="00284F7A"/>
    <w:rsid w:val="00285269"/>
    <w:rsid w:val="002859B7"/>
    <w:rsid w:val="00285C64"/>
    <w:rsid w:val="002873EC"/>
    <w:rsid w:val="0029007A"/>
    <w:rsid w:val="0029016E"/>
    <w:rsid w:val="0029069F"/>
    <w:rsid w:val="00290EEC"/>
    <w:rsid w:val="0029158E"/>
    <w:rsid w:val="00291752"/>
    <w:rsid w:val="00291B6A"/>
    <w:rsid w:val="00291B90"/>
    <w:rsid w:val="00291F64"/>
    <w:rsid w:val="002925BB"/>
    <w:rsid w:val="00292F49"/>
    <w:rsid w:val="00293152"/>
    <w:rsid w:val="002935F0"/>
    <w:rsid w:val="002936B4"/>
    <w:rsid w:val="00293912"/>
    <w:rsid w:val="00293A47"/>
    <w:rsid w:val="00293FCC"/>
    <w:rsid w:val="002954F1"/>
    <w:rsid w:val="00295909"/>
    <w:rsid w:val="0029632E"/>
    <w:rsid w:val="00296DB2"/>
    <w:rsid w:val="002971F9"/>
    <w:rsid w:val="00297488"/>
    <w:rsid w:val="0029764B"/>
    <w:rsid w:val="00297679"/>
    <w:rsid w:val="002A03E2"/>
    <w:rsid w:val="002A0FBF"/>
    <w:rsid w:val="002A1097"/>
    <w:rsid w:val="002A13D1"/>
    <w:rsid w:val="002A1BBF"/>
    <w:rsid w:val="002A1F96"/>
    <w:rsid w:val="002A1FAD"/>
    <w:rsid w:val="002A25AC"/>
    <w:rsid w:val="002A27E0"/>
    <w:rsid w:val="002A2E6A"/>
    <w:rsid w:val="002A3673"/>
    <w:rsid w:val="002A375F"/>
    <w:rsid w:val="002A3C63"/>
    <w:rsid w:val="002A3E12"/>
    <w:rsid w:val="002A42EE"/>
    <w:rsid w:val="002A462E"/>
    <w:rsid w:val="002A4B4D"/>
    <w:rsid w:val="002A5036"/>
    <w:rsid w:val="002A5258"/>
    <w:rsid w:val="002A5B41"/>
    <w:rsid w:val="002A5B44"/>
    <w:rsid w:val="002A618F"/>
    <w:rsid w:val="002A661D"/>
    <w:rsid w:val="002A6ABE"/>
    <w:rsid w:val="002A6ABF"/>
    <w:rsid w:val="002A76C6"/>
    <w:rsid w:val="002A7720"/>
    <w:rsid w:val="002B027F"/>
    <w:rsid w:val="002B035D"/>
    <w:rsid w:val="002B0CF6"/>
    <w:rsid w:val="002B13AB"/>
    <w:rsid w:val="002B16FD"/>
    <w:rsid w:val="002B1BFB"/>
    <w:rsid w:val="002B327F"/>
    <w:rsid w:val="002B3A1C"/>
    <w:rsid w:val="002B3C7B"/>
    <w:rsid w:val="002B402E"/>
    <w:rsid w:val="002B4062"/>
    <w:rsid w:val="002B437E"/>
    <w:rsid w:val="002B443B"/>
    <w:rsid w:val="002B4825"/>
    <w:rsid w:val="002B491B"/>
    <w:rsid w:val="002B4B69"/>
    <w:rsid w:val="002B5095"/>
    <w:rsid w:val="002B53AC"/>
    <w:rsid w:val="002B6605"/>
    <w:rsid w:val="002B6D2B"/>
    <w:rsid w:val="002B736C"/>
    <w:rsid w:val="002B7A0D"/>
    <w:rsid w:val="002C07A2"/>
    <w:rsid w:val="002C094B"/>
    <w:rsid w:val="002C0D9D"/>
    <w:rsid w:val="002C0DBF"/>
    <w:rsid w:val="002C16C1"/>
    <w:rsid w:val="002C16F1"/>
    <w:rsid w:val="002C1A8F"/>
    <w:rsid w:val="002C2D8F"/>
    <w:rsid w:val="002C32AF"/>
    <w:rsid w:val="002C331E"/>
    <w:rsid w:val="002C3323"/>
    <w:rsid w:val="002C34E3"/>
    <w:rsid w:val="002C3F8B"/>
    <w:rsid w:val="002C5A01"/>
    <w:rsid w:val="002C5F4D"/>
    <w:rsid w:val="002C61ED"/>
    <w:rsid w:val="002C6CE1"/>
    <w:rsid w:val="002C6FC8"/>
    <w:rsid w:val="002C7AC9"/>
    <w:rsid w:val="002C7E67"/>
    <w:rsid w:val="002D0267"/>
    <w:rsid w:val="002D06BA"/>
    <w:rsid w:val="002D123E"/>
    <w:rsid w:val="002D27F3"/>
    <w:rsid w:val="002D2960"/>
    <w:rsid w:val="002D2D31"/>
    <w:rsid w:val="002D2F16"/>
    <w:rsid w:val="002D2F30"/>
    <w:rsid w:val="002D30A8"/>
    <w:rsid w:val="002D3B10"/>
    <w:rsid w:val="002D43B4"/>
    <w:rsid w:val="002D4556"/>
    <w:rsid w:val="002D563A"/>
    <w:rsid w:val="002D5BF8"/>
    <w:rsid w:val="002D6525"/>
    <w:rsid w:val="002D6A22"/>
    <w:rsid w:val="002D7009"/>
    <w:rsid w:val="002E11CF"/>
    <w:rsid w:val="002E133A"/>
    <w:rsid w:val="002E19A3"/>
    <w:rsid w:val="002E24B4"/>
    <w:rsid w:val="002E394B"/>
    <w:rsid w:val="002E3C59"/>
    <w:rsid w:val="002E42CD"/>
    <w:rsid w:val="002E4496"/>
    <w:rsid w:val="002E5062"/>
    <w:rsid w:val="002E532D"/>
    <w:rsid w:val="002E5C64"/>
    <w:rsid w:val="002E65C2"/>
    <w:rsid w:val="002E6615"/>
    <w:rsid w:val="002E6EC7"/>
    <w:rsid w:val="002E7D62"/>
    <w:rsid w:val="002E7F3B"/>
    <w:rsid w:val="002F01B9"/>
    <w:rsid w:val="002F0910"/>
    <w:rsid w:val="002F0F0D"/>
    <w:rsid w:val="002F1127"/>
    <w:rsid w:val="002F154E"/>
    <w:rsid w:val="002F1835"/>
    <w:rsid w:val="002F18DA"/>
    <w:rsid w:val="002F1B78"/>
    <w:rsid w:val="002F2761"/>
    <w:rsid w:val="002F3014"/>
    <w:rsid w:val="002F32CB"/>
    <w:rsid w:val="002F347D"/>
    <w:rsid w:val="002F3C32"/>
    <w:rsid w:val="002F3DD8"/>
    <w:rsid w:val="002F4656"/>
    <w:rsid w:val="002F492B"/>
    <w:rsid w:val="002F4AEB"/>
    <w:rsid w:val="002F4CBF"/>
    <w:rsid w:val="002F50BC"/>
    <w:rsid w:val="002F51E8"/>
    <w:rsid w:val="002F52EC"/>
    <w:rsid w:val="002F5F7D"/>
    <w:rsid w:val="002F697A"/>
    <w:rsid w:val="002F6D01"/>
    <w:rsid w:val="002F6F3E"/>
    <w:rsid w:val="002F79B9"/>
    <w:rsid w:val="00300522"/>
    <w:rsid w:val="00300D3E"/>
    <w:rsid w:val="00300F41"/>
    <w:rsid w:val="00300F93"/>
    <w:rsid w:val="003017F5"/>
    <w:rsid w:val="00301C30"/>
    <w:rsid w:val="00301DF4"/>
    <w:rsid w:val="00301E49"/>
    <w:rsid w:val="0030244F"/>
    <w:rsid w:val="003024B6"/>
    <w:rsid w:val="00302EA7"/>
    <w:rsid w:val="0030359C"/>
    <w:rsid w:val="0030426C"/>
    <w:rsid w:val="00304440"/>
    <w:rsid w:val="00304D39"/>
    <w:rsid w:val="00305603"/>
    <w:rsid w:val="003056E4"/>
    <w:rsid w:val="00305AD0"/>
    <w:rsid w:val="00305E2D"/>
    <w:rsid w:val="00305E56"/>
    <w:rsid w:val="003071F7"/>
    <w:rsid w:val="0031007B"/>
    <w:rsid w:val="00310CEB"/>
    <w:rsid w:val="00310EEA"/>
    <w:rsid w:val="003110CF"/>
    <w:rsid w:val="003113C9"/>
    <w:rsid w:val="003123F1"/>
    <w:rsid w:val="00312484"/>
    <w:rsid w:val="00312749"/>
    <w:rsid w:val="00313363"/>
    <w:rsid w:val="003134B5"/>
    <w:rsid w:val="00313F72"/>
    <w:rsid w:val="00313F7F"/>
    <w:rsid w:val="00314329"/>
    <w:rsid w:val="00314478"/>
    <w:rsid w:val="00314D29"/>
    <w:rsid w:val="00315611"/>
    <w:rsid w:val="00315BFB"/>
    <w:rsid w:val="0031616D"/>
    <w:rsid w:val="00316A0B"/>
    <w:rsid w:val="003174C6"/>
    <w:rsid w:val="00317592"/>
    <w:rsid w:val="00317DDD"/>
    <w:rsid w:val="00320255"/>
    <w:rsid w:val="0032029B"/>
    <w:rsid w:val="003206C0"/>
    <w:rsid w:val="00320763"/>
    <w:rsid w:val="00320B1D"/>
    <w:rsid w:val="00320C39"/>
    <w:rsid w:val="003215B2"/>
    <w:rsid w:val="00322E66"/>
    <w:rsid w:val="00323233"/>
    <w:rsid w:val="00323D33"/>
    <w:rsid w:val="00323F75"/>
    <w:rsid w:val="0032419D"/>
    <w:rsid w:val="00324AE6"/>
    <w:rsid w:val="00326D3D"/>
    <w:rsid w:val="00326F1A"/>
    <w:rsid w:val="0033065E"/>
    <w:rsid w:val="0033067B"/>
    <w:rsid w:val="00330773"/>
    <w:rsid w:val="00330BF1"/>
    <w:rsid w:val="003312A3"/>
    <w:rsid w:val="003318D0"/>
    <w:rsid w:val="00331EF6"/>
    <w:rsid w:val="00332144"/>
    <w:rsid w:val="0033427E"/>
    <w:rsid w:val="0033465E"/>
    <w:rsid w:val="00334BD3"/>
    <w:rsid w:val="00336E19"/>
    <w:rsid w:val="00337970"/>
    <w:rsid w:val="00337A7F"/>
    <w:rsid w:val="00337DA1"/>
    <w:rsid w:val="00337F4F"/>
    <w:rsid w:val="003404C4"/>
    <w:rsid w:val="00340636"/>
    <w:rsid w:val="00340905"/>
    <w:rsid w:val="00340CBD"/>
    <w:rsid w:val="00340D59"/>
    <w:rsid w:val="00341FBC"/>
    <w:rsid w:val="003420E4"/>
    <w:rsid w:val="0034237C"/>
    <w:rsid w:val="00342627"/>
    <w:rsid w:val="00342C44"/>
    <w:rsid w:val="00342DF5"/>
    <w:rsid w:val="00343C7C"/>
    <w:rsid w:val="003459B9"/>
    <w:rsid w:val="00345D76"/>
    <w:rsid w:val="003464D8"/>
    <w:rsid w:val="003465B9"/>
    <w:rsid w:val="003508E0"/>
    <w:rsid w:val="00351812"/>
    <w:rsid w:val="00352514"/>
    <w:rsid w:val="003526FE"/>
    <w:rsid w:val="00352FBD"/>
    <w:rsid w:val="00354088"/>
    <w:rsid w:val="00354640"/>
    <w:rsid w:val="0035475D"/>
    <w:rsid w:val="00354DC7"/>
    <w:rsid w:val="00354E3F"/>
    <w:rsid w:val="00355D97"/>
    <w:rsid w:val="003560B1"/>
    <w:rsid w:val="00356407"/>
    <w:rsid w:val="00356CC1"/>
    <w:rsid w:val="00357ACF"/>
    <w:rsid w:val="003603A3"/>
    <w:rsid w:val="003606D0"/>
    <w:rsid w:val="003607A9"/>
    <w:rsid w:val="00360DE5"/>
    <w:rsid w:val="003615A6"/>
    <w:rsid w:val="003617E1"/>
    <w:rsid w:val="003619F1"/>
    <w:rsid w:val="00362A6D"/>
    <w:rsid w:val="00363715"/>
    <w:rsid w:val="00363A1D"/>
    <w:rsid w:val="00363B9B"/>
    <w:rsid w:val="00364A90"/>
    <w:rsid w:val="0036526C"/>
    <w:rsid w:val="00365F71"/>
    <w:rsid w:val="00366CDE"/>
    <w:rsid w:val="003670B0"/>
    <w:rsid w:val="00367170"/>
    <w:rsid w:val="00367545"/>
    <w:rsid w:val="00370AD1"/>
    <w:rsid w:val="003712C6"/>
    <w:rsid w:val="0037158A"/>
    <w:rsid w:val="003716EA"/>
    <w:rsid w:val="00371874"/>
    <w:rsid w:val="003723D6"/>
    <w:rsid w:val="00372526"/>
    <w:rsid w:val="00372AFD"/>
    <w:rsid w:val="00372DB7"/>
    <w:rsid w:val="00372E24"/>
    <w:rsid w:val="00374555"/>
    <w:rsid w:val="00375030"/>
    <w:rsid w:val="0037689B"/>
    <w:rsid w:val="0037695D"/>
    <w:rsid w:val="00376F51"/>
    <w:rsid w:val="00377F58"/>
    <w:rsid w:val="00380560"/>
    <w:rsid w:val="003812FB"/>
    <w:rsid w:val="00381461"/>
    <w:rsid w:val="003821F6"/>
    <w:rsid w:val="003822F0"/>
    <w:rsid w:val="003829E2"/>
    <w:rsid w:val="00382E97"/>
    <w:rsid w:val="00382F53"/>
    <w:rsid w:val="0038342B"/>
    <w:rsid w:val="0038392F"/>
    <w:rsid w:val="00383DC1"/>
    <w:rsid w:val="003842EB"/>
    <w:rsid w:val="00384D42"/>
    <w:rsid w:val="00384FCA"/>
    <w:rsid w:val="003857F8"/>
    <w:rsid w:val="00385AE0"/>
    <w:rsid w:val="00386047"/>
    <w:rsid w:val="0038604D"/>
    <w:rsid w:val="0038628C"/>
    <w:rsid w:val="00387240"/>
    <w:rsid w:val="003874CC"/>
    <w:rsid w:val="00387714"/>
    <w:rsid w:val="003877F9"/>
    <w:rsid w:val="00387A49"/>
    <w:rsid w:val="003909A6"/>
    <w:rsid w:val="00390E8C"/>
    <w:rsid w:val="00390F26"/>
    <w:rsid w:val="00391268"/>
    <w:rsid w:val="00391876"/>
    <w:rsid w:val="003919F2"/>
    <w:rsid w:val="0039248B"/>
    <w:rsid w:val="00392878"/>
    <w:rsid w:val="003932E0"/>
    <w:rsid w:val="00393835"/>
    <w:rsid w:val="00393AC7"/>
    <w:rsid w:val="00394966"/>
    <w:rsid w:val="00394D2B"/>
    <w:rsid w:val="003957D4"/>
    <w:rsid w:val="00395C66"/>
    <w:rsid w:val="00395F25"/>
    <w:rsid w:val="00395F63"/>
    <w:rsid w:val="003961EF"/>
    <w:rsid w:val="003979BD"/>
    <w:rsid w:val="003A0651"/>
    <w:rsid w:val="003A0CBF"/>
    <w:rsid w:val="003A179B"/>
    <w:rsid w:val="003A2209"/>
    <w:rsid w:val="003A2469"/>
    <w:rsid w:val="003A27EB"/>
    <w:rsid w:val="003A3269"/>
    <w:rsid w:val="003A39DA"/>
    <w:rsid w:val="003A3F71"/>
    <w:rsid w:val="003A3FD9"/>
    <w:rsid w:val="003A445A"/>
    <w:rsid w:val="003A4550"/>
    <w:rsid w:val="003A48B1"/>
    <w:rsid w:val="003A48C8"/>
    <w:rsid w:val="003A5117"/>
    <w:rsid w:val="003A54E8"/>
    <w:rsid w:val="003A5E0B"/>
    <w:rsid w:val="003A5EF9"/>
    <w:rsid w:val="003A6468"/>
    <w:rsid w:val="003A6DE8"/>
    <w:rsid w:val="003A71EF"/>
    <w:rsid w:val="003A7657"/>
    <w:rsid w:val="003A7C6F"/>
    <w:rsid w:val="003A7E2B"/>
    <w:rsid w:val="003B05B2"/>
    <w:rsid w:val="003B0BD4"/>
    <w:rsid w:val="003B0E20"/>
    <w:rsid w:val="003B0F7F"/>
    <w:rsid w:val="003B18AC"/>
    <w:rsid w:val="003B1B64"/>
    <w:rsid w:val="003B1DB4"/>
    <w:rsid w:val="003B2240"/>
    <w:rsid w:val="003B269B"/>
    <w:rsid w:val="003B3180"/>
    <w:rsid w:val="003B3A57"/>
    <w:rsid w:val="003B3C4B"/>
    <w:rsid w:val="003B4675"/>
    <w:rsid w:val="003B46F5"/>
    <w:rsid w:val="003B4736"/>
    <w:rsid w:val="003B4C98"/>
    <w:rsid w:val="003B513D"/>
    <w:rsid w:val="003B55AA"/>
    <w:rsid w:val="003B59B5"/>
    <w:rsid w:val="003B5A03"/>
    <w:rsid w:val="003B74BA"/>
    <w:rsid w:val="003B75D2"/>
    <w:rsid w:val="003B79D5"/>
    <w:rsid w:val="003C036B"/>
    <w:rsid w:val="003C0AF7"/>
    <w:rsid w:val="003C1248"/>
    <w:rsid w:val="003C1389"/>
    <w:rsid w:val="003C1E54"/>
    <w:rsid w:val="003C2111"/>
    <w:rsid w:val="003C2A2E"/>
    <w:rsid w:val="003C33A9"/>
    <w:rsid w:val="003C3F9D"/>
    <w:rsid w:val="003C4F68"/>
    <w:rsid w:val="003C57FE"/>
    <w:rsid w:val="003C6BC3"/>
    <w:rsid w:val="003C7275"/>
    <w:rsid w:val="003C7ACD"/>
    <w:rsid w:val="003C7BDB"/>
    <w:rsid w:val="003D02B3"/>
    <w:rsid w:val="003D06C6"/>
    <w:rsid w:val="003D127D"/>
    <w:rsid w:val="003D146B"/>
    <w:rsid w:val="003D1559"/>
    <w:rsid w:val="003D1E93"/>
    <w:rsid w:val="003D238F"/>
    <w:rsid w:val="003D2632"/>
    <w:rsid w:val="003D26F5"/>
    <w:rsid w:val="003D27EF"/>
    <w:rsid w:val="003D2A4C"/>
    <w:rsid w:val="003D3B1F"/>
    <w:rsid w:val="003D3D59"/>
    <w:rsid w:val="003D408F"/>
    <w:rsid w:val="003D4607"/>
    <w:rsid w:val="003D4BCA"/>
    <w:rsid w:val="003D4E1F"/>
    <w:rsid w:val="003D4E4E"/>
    <w:rsid w:val="003D5044"/>
    <w:rsid w:val="003D57B8"/>
    <w:rsid w:val="003D5B89"/>
    <w:rsid w:val="003D5F48"/>
    <w:rsid w:val="003D676D"/>
    <w:rsid w:val="003D68CD"/>
    <w:rsid w:val="003D6C96"/>
    <w:rsid w:val="003D6FB4"/>
    <w:rsid w:val="003D7D8C"/>
    <w:rsid w:val="003D7E77"/>
    <w:rsid w:val="003E0131"/>
    <w:rsid w:val="003E015E"/>
    <w:rsid w:val="003E02FC"/>
    <w:rsid w:val="003E03C0"/>
    <w:rsid w:val="003E0A16"/>
    <w:rsid w:val="003E1705"/>
    <w:rsid w:val="003E18FC"/>
    <w:rsid w:val="003E1B4A"/>
    <w:rsid w:val="003E207C"/>
    <w:rsid w:val="003E2D3B"/>
    <w:rsid w:val="003E30D6"/>
    <w:rsid w:val="003E3689"/>
    <w:rsid w:val="003E52F2"/>
    <w:rsid w:val="003E5CB3"/>
    <w:rsid w:val="003E6178"/>
    <w:rsid w:val="003E6213"/>
    <w:rsid w:val="003E7AD9"/>
    <w:rsid w:val="003F039B"/>
    <w:rsid w:val="003F0CC6"/>
    <w:rsid w:val="003F14E1"/>
    <w:rsid w:val="003F16B0"/>
    <w:rsid w:val="003F1737"/>
    <w:rsid w:val="003F1DA9"/>
    <w:rsid w:val="003F1FF2"/>
    <w:rsid w:val="003F31EC"/>
    <w:rsid w:val="003F3462"/>
    <w:rsid w:val="003F3581"/>
    <w:rsid w:val="003F49B0"/>
    <w:rsid w:val="003F4FA1"/>
    <w:rsid w:val="003F5088"/>
    <w:rsid w:val="003F53BC"/>
    <w:rsid w:val="003F54C8"/>
    <w:rsid w:val="003F586D"/>
    <w:rsid w:val="003F5989"/>
    <w:rsid w:val="003F689E"/>
    <w:rsid w:val="003F6EFF"/>
    <w:rsid w:val="003F715A"/>
    <w:rsid w:val="003F7381"/>
    <w:rsid w:val="003F77BD"/>
    <w:rsid w:val="003F7A5D"/>
    <w:rsid w:val="003F7B47"/>
    <w:rsid w:val="004002FB"/>
    <w:rsid w:val="00400719"/>
    <w:rsid w:val="004008E7"/>
    <w:rsid w:val="00400AD1"/>
    <w:rsid w:val="00401BE3"/>
    <w:rsid w:val="0040216D"/>
    <w:rsid w:val="00402E87"/>
    <w:rsid w:val="00403CFD"/>
    <w:rsid w:val="00403D55"/>
    <w:rsid w:val="00403EE9"/>
    <w:rsid w:val="00403F53"/>
    <w:rsid w:val="00404B63"/>
    <w:rsid w:val="00404B7C"/>
    <w:rsid w:val="00404C43"/>
    <w:rsid w:val="00404DB7"/>
    <w:rsid w:val="00405C24"/>
    <w:rsid w:val="0040655A"/>
    <w:rsid w:val="004070AB"/>
    <w:rsid w:val="004070DC"/>
    <w:rsid w:val="00410799"/>
    <w:rsid w:val="00410FA6"/>
    <w:rsid w:val="00411998"/>
    <w:rsid w:val="00411C7F"/>
    <w:rsid w:val="0041200A"/>
    <w:rsid w:val="0041222E"/>
    <w:rsid w:val="0041253F"/>
    <w:rsid w:val="0041306D"/>
    <w:rsid w:val="0041338E"/>
    <w:rsid w:val="00413EC5"/>
    <w:rsid w:val="004143E6"/>
    <w:rsid w:val="00414536"/>
    <w:rsid w:val="00415940"/>
    <w:rsid w:val="00415AA5"/>
    <w:rsid w:val="00415C56"/>
    <w:rsid w:val="00420624"/>
    <w:rsid w:val="00422324"/>
    <w:rsid w:val="0042282C"/>
    <w:rsid w:val="00423018"/>
    <w:rsid w:val="00423605"/>
    <w:rsid w:val="0042368E"/>
    <w:rsid w:val="00423751"/>
    <w:rsid w:val="00423A78"/>
    <w:rsid w:val="00423A82"/>
    <w:rsid w:val="00424181"/>
    <w:rsid w:val="004251BB"/>
    <w:rsid w:val="00425635"/>
    <w:rsid w:val="00425C97"/>
    <w:rsid w:val="00426B62"/>
    <w:rsid w:val="004271AA"/>
    <w:rsid w:val="00427447"/>
    <w:rsid w:val="00427563"/>
    <w:rsid w:val="004278CA"/>
    <w:rsid w:val="00427A2E"/>
    <w:rsid w:val="004302A5"/>
    <w:rsid w:val="004305E0"/>
    <w:rsid w:val="004306DD"/>
    <w:rsid w:val="0043136D"/>
    <w:rsid w:val="004318A1"/>
    <w:rsid w:val="00431900"/>
    <w:rsid w:val="00431BA9"/>
    <w:rsid w:val="00431E1D"/>
    <w:rsid w:val="00432D74"/>
    <w:rsid w:val="00432F6B"/>
    <w:rsid w:val="004331DE"/>
    <w:rsid w:val="004337D9"/>
    <w:rsid w:val="00434029"/>
    <w:rsid w:val="004342AF"/>
    <w:rsid w:val="00434347"/>
    <w:rsid w:val="0043493F"/>
    <w:rsid w:val="004350CF"/>
    <w:rsid w:val="00435F4A"/>
    <w:rsid w:val="00436BCB"/>
    <w:rsid w:val="0043766D"/>
    <w:rsid w:val="00437BB9"/>
    <w:rsid w:val="004401CE"/>
    <w:rsid w:val="004405F2"/>
    <w:rsid w:val="00440AC0"/>
    <w:rsid w:val="00440D09"/>
    <w:rsid w:val="00441108"/>
    <w:rsid w:val="00441FAA"/>
    <w:rsid w:val="00442137"/>
    <w:rsid w:val="0044229C"/>
    <w:rsid w:val="00443131"/>
    <w:rsid w:val="00443399"/>
    <w:rsid w:val="0044392B"/>
    <w:rsid w:val="004444D9"/>
    <w:rsid w:val="004447B9"/>
    <w:rsid w:val="0044481E"/>
    <w:rsid w:val="004455B8"/>
    <w:rsid w:val="00445801"/>
    <w:rsid w:val="00445EF3"/>
    <w:rsid w:val="00446AAB"/>
    <w:rsid w:val="00446DBA"/>
    <w:rsid w:val="004476B8"/>
    <w:rsid w:val="00447AB0"/>
    <w:rsid w:val="00450115"/>
    <w:rsid w:val="004519AD"/>
    <w:rsid w:val="00452F5B"/>
    <w:rsid w:val="00453B6A"/>
    <w:rsid w:val="00454022"/>
    <w:rsid w:val="00455B60"/>
    <w:rsid w:val="00456547"/>
    <w:rsid w:val="0045662C"/>
    <w:rsid w:val="00456705"/>
    <w:rsid w:val="0045699D"/>
    <w:rsid w:val="00456C60"/>
    <w:rsid w:val="00457B68"/>
    <w:rsid w:val="004602C2"/>
    <w:rsid w:val="00460D39"/>
    <w:rsid w:val="00460F97"/>
    <w:rsid w:val="004632E1"/>
    <w:rsid w:val="00463A33"/>
    <w:rsid w:val="00463CFC"/>
    <w:rsid w:val="0046406E"/>
    <w:rsid w:val="00464783"/>
    <w:rsid w:val="004652E6"/>
    <w:rsid w:val="00466604"/>
    <w:rsid w:val="00467114"/>
    <w:rsid w:val="00467394"/>
    <w:rsid w:val="0046739D"/>
    <w:rsid w:val="00467939"/>
    <w:rsid w:val="00467AD5"/>
    <w:rsid w:val="00467B3A"/>
    <w:rsid w:val="00470137"/>
    <w:rsid w:val="004703FB"/>
    <w:rsid w:val="004704AA"/>
    <w:rsid w:val="00470CFB"/>
    <w:rsid w:val="004718A5"/>
    <w:rsid w:val="00472136"/>
    <w:rsid w:val="00473049"/>
    <w:rsid w:val="00473D69"/>
    <w:rsid w:val="00474AFC"/>
    <w:rsid w:val="00474D3F"/>
    <w:rsid w:val="00475072"/>
    <w:rsid w:val="00475365"/>
    <w:rsid w:val="004753F2"/>
    <w:rsid w:val="004755F5"/>
    <w:rsid w:val="00475AF8"/>
    <w:rsid w:val="004761D7"/>
    <w:rsid w:val="00476A67"/>
    <w:rsid w:val="00476CE6"/>
    <w:rsid w:val="00477884"/>
    <w:rsid w:val="00477C81"/>
    <w:rsid w:val="0048046B"/>
    <w:rsid w:val="00480477"/>
    <w:rsid w:val="0048051F"/>
    <w:rsid w:val="004809C4"/>
    <w:rsid w:val="00480A5D"/>
    <w:rsid w:val="00480D11"/>
    <w:rsid w:val="00480E6C"/>
    <w:rsid w:val="00480E6F"/>
    <w:rsid w:val="004811FE"/>
    <w:rsid w:val="00481D76"/>
    <w:rsid w:val="00481E55"/>
    <w:rsid w:val="00481FC7"/>
    <w:rsid w:val="00482138"/>
    <w:rsid w:val="00482685"/>
    <w:rsid w:val="00482DEB"/>
    <w:rsid w:val="004830F1"/>
    <w:rsid w:val="0048356C"/>
    <w:rsid w:val="00484645"/>
    <w:rsid w:val="004857F6"/>
    <w:rsid w:val="00485CCC"/>
    <w:rsid w:val="00485D1A"/>
    <w:rsid w:val="00486378"/>
    <w:rsid w:val="004863D4"/>
    <w:rsid w:val="00486B13"/>
    <w:rsid w:val="0048722D"/>
    <w:rsid w:val="0049025A"/>
    <w:rsid w:val="0049044F"/>
    <w:rsid w:val="0049059C"/>
    <w:rsid w:val="0049103A"/>
    <w:rsid w:val="00491094"/>
    <w:rsid w:val="00491E28"/>
    <w:rsid w:val="00492586"/>
    <w:rsid w:val="00492670"/>
    <w:rsid w:val="00492B1F"/>
    <w:rsid w:val="00492BDB"/>
    <w:rsid w:val="004934F1"/>
    <w:rsid w:val="00493C29"/>
    <w:rsid w:val="00493C37"/>
    <w:rsid w:val="00494412"/>
    <w:rsid w:val="004944F8"/>
    <w:rsid w:val="0049456F"/>
    <w:rsid w:val="00494866"/>
    <w:rsid w:val="00494A92"/>
    <w:rsid w:val="0049556B"/>
    <w:rsid w:val="0049625B"/>
    <w:rsid w:val="004966FA"/>
    <w:rsid w:val="0049743C"/>
    <w:rsid w:val="004975F7"/>
    <w:rsid w:val="00497B80"/>
    <w:rsid w:val="004A0139"/>
    <w:rsid w:val="004A0184"/>
    <w:rsid w:val="004A0350"/>
    <w:rsid w:val="004A0988"/>
    <w:rsid w:val="004A0BB3"/>
    <w:rsid w:val="004A0BB9"/>
    <w:rsid w:val="004A0E26"/>
    <w:rsid w:val="004A12F7"/>
    <w:rsid w:val="004A1671"/>
    <w:rsid w:val="004A2290"/>
    <w:rsid w:val="004A31A4"/>
    <w:rsid w:val="004A33C4"/>
    <w:rsid w:val="004A3550"/>
    <w:rsid w:val="004A3562"/>
    <w:rsid w:val="004A3674"/>
    <w:rsid w:val="004A3BB2"/>
    <w:rsid w:val="004A3CB8"/>
    <w:rsid w:val="004A440C"/>
    <w:rsid w:val="004A44F7"/>
    <w:rsid w:val="004A477B"/>
    <w:rsid w:val="004A4919"/>
    <w:rsid w:val="004A52C0"/>
    <w:rsid w:val="004A52FD"/>
    <w:rsid w:val="004A6075"/>
    <w:rsid w:val="004A61A8"/>
    <w:rsid w:val="004A752B"/>
    <w:rsid w:val="004A788D"/>
    <w:rsid w:val="004A7E94"/>
    <w:rsid w:val="004B0233"/>
    <w:rsid w:val="004B0235"/>
    <w:rsid w:val="004B050C"/>
    <w:rsid w:val="004B0A78"/>
    <w:rsid w:val="004B0F56"/>
    <w:rsid w:val="004B1835"/>
    <w:rsid w:val="004B1B29"/>
    <w:rsid w:val="004B1B2A"/>
    <w:rsid w:val="004B27E6"/>
    <w:rsid w:val="004B29D4"/>
    <w:rsid w:val="004B2B78"/>
    <w:rsid w:val="004B2D48"/>
    <w:rsid w:val="004B2E5A"/>
    <w:rsid w:val="004B3E86"/>
    <w:rsid w:val="004B4D69"/>
    <w:rsid w:val="004B56C9"/>
    <w:rsid w:val="004B583C"/>
    <w:rsid w:val="004B5927"/>
    <w:rsid w:val="004B5C3C"/>
    <w:rsid w:val="004B6562"/>
    <w:rsid w:val="004B67C3"/>
    <w:rsid w:val="004B6EE9"/>
    <w:rsid w:val="004B7071"/>
    <w:rsid w:val="004B7492"/>
    <w:rsid w:val="004B78A0"/>
    <w:rsid w:val="004C05FA"/>
    <w:rsid w:val="004C0647"/>
    <w:rsid w:val="004C0E49"/>
    <w:rsid w:val="004C0F26"/>
    <w:rsid w:val="004C1039"/>
    <w:rsid w:val="004C163F"/>
    <w:rsid w:val="004C1881"/>
    <w:rsid w:val="004C22EB"/>
    <w:rsid w:val="004C27AA"/>
    <w:rsid w:val="004C2DF2"/>
    <w:rsid w:val="004C3099"/>
    <w:rsid w:val="004C3D89"/>
    <w:rsid w:val="004C3EF1"/>
    <w:rsid w:val="004C40F5"/>
    <w:rsid w:val="004C5314"/>
    <w:rsid w:val="004C5405"/>
    <w:rsid w:val="004C554C"/>
    <w:rsid w:val="004C5F7A"/>
    <w:rsid w:val="004C6EE6"/>
    <w:rsid w:val="004C7AA8"/>
    <w:rsid w:val="004D0206"/>
    <w:rsid w:val="004D09BA"/>
    <w:rsid w:val="004D1018"/>
    <w:rsid w:val="004D102C"/>
    <w:rsid w:val="004D1B54"/>
    <w:rsid w:val="004D22F8"/>
    <w:rsid w:val="004D2856"/>
    <w:rsid w:val="004D3427"/>
    <w:rsid w:val="004D3C4B"/>
    <w:rsid w:val="004D3EA5"/>
    <w:rsid w:val="004D418D"/>
    <w:rsid w:val="004D435C"/>
    <w:rsid w:val="004D439C"/>
    <w:rsid w:val="004D57A4"/>
    <w:rsid w:val="004D5BA0"/>
    <w:rsid w:val="004D5DCE"/>
    <w:rsid w:val="004D5EA2"/>
    <w:rsid w:val="004D6DCE"/>
    <w:rsid w:val="004E053E"/>
    <w:rsid w:val="004E17BC"/>
    <w:rsid w:val="004E1A2C"/>
    <w:rsid w:val="004E2D15"/>
    <w:rsid w:val="004E2E09"/>
    <w:rsid w:val="004E342B"/>
    <w:rsid w:val="004E53FC"/>
    <w:rsid w:val="004E5E42"/>
    <w:rsid w:val="004E60B7"/>
    <w:rsid w:val="004E6258"/>
    <w:rsid w:val="004E694F"/>
    <w:rsid w:val="004E7E5E"/>
    <w:rsid w:val="004E7FBB"/>
    <w:rsid w:val="004F008F"/>
    <w:rsid w:val="004F0295"/>
    <w:rsid w:val="004F1658"/>
    <w:rsid w:val="004F166D"/>
    <w:rsid w:val="004F1EE7"/>
    <w:rsid w:val="004F23E1"/>
    <w:rsid w:val="004F267D"/>
    <w:rsid w:val="004F2C0B"/>
    <w:rsid w:val="004F2C51"/>
    <w:rsid w:val="004F3233"/>
    <w:rsid w:val="004F37C8"/>
    <w:rsid w:val="004F4484"/>
    <w:rsid w:val="004F47AA"/>
    <w:rsid w:val="004F4847"/>
    <w:rsid w:val="004F535A"/>
    <w:rsid w:val="004F5459"/>
    <w:rsid w:val="004F65D9"/>
    <w:rsid w:val="004F6749"/>
    <w:rsid w:val="004F6FD2"/>
    <w:rsid w:val="004F7414"/>
    <w:rsid w:val="004F767F"/>
    <w:rsid w:val="00500B17"/>
    <w:rsid w:val="00501070"/>
    <w:rsid w:val="0050115B"/>
    <w:rsid w:val="005011D4"/>
    <w:rsid w:val="005015D7"/>
    <w:rsid w:val="0050186D"/>
    <w:rsid w:val="00501B57"/>
    <w:rsid w:val="00501C96"/>
    <w:rsid w:val="00502230"/>
    <w:rsid w:val="00502542"/>
    <w:rsid w:val="00502693"/>
    <w:rsid w:val="005026B4"/>
    <w:rsid w:val="00502A0D"/>
    <w:rsid w:val="00502B81"/>
    <w:rsid w:val="00503493"/>
    <w:rsid w:val="005035EB"/>
    <w:rsid w:val="0050379C"/>
    <w:rsid w:val="00503C3F"/>
    <w:rsid w:val="00503CB6"/>
    <w:rsid w:val="005045FE"/>
    <w:rsid w:val="00507046"/>
    <w:rsid w:val="005071A4"/>
    <w:rsid w:val="00507490"/>
    <w:rsid w:val="00507E27"/>
    <w:rsid w:val="00510A37"/>
    <w:rsid w:val="00511044"/>
    <w:rsid w:val="005114F6"/>
    <w:rsid w:val="00511EB1"/>
    <w:rsid w:val="005121BC"/>
    <w:rsid w:val="00512BA3"/>
    <w:rsid w:val="0051344C"/>
    <w:rsid w:val="005136B3"/>
    <w:rsid w:val="00513B9B"/>
    <w:rsid w:val="00513C22"/>
    <w:rsid w:val="005140D6"/>
    <w:rsid w:val="00514415"/>
    <w:rsid w:val="0051454E"/>
    <w:rsid w:val="00514CC9"/>
    <w:rsid w:val="0051531F"/>
    <w:rsid w:val="00515389"/>
    <w:rsid w:val="00515DCA"/>
    <w:rsid w:val="00515E5E"/>
    <w:rsid w:val="00517983"/>
    <w:rsid w:val="00517B1A"/>
    <w:rsid w:val="0052032E"/>
    <w:rsid w:val="00520714"/>
    <w:rsid w:val="00520983"/>
    <w:rsid w:val="00521D53"/>
    <w:rsid w:val="005223BE"/>
    <w:rsid w:val="00522712"/>
    <w:rsid w:val="00522D9C"/>
    <w:rsid w:val="00522E98"/>
    <w:rsid w:val="00523694"/>
    <w:rsid w:val="00523921"/>
    <w:rsid w:val="00523E23"/>
    <w:rsid w:val="00524187"/>
    <w:rsid w:val="005242FC"/>
    <w:rsid w:val="005245F9"/>
    <w:rsid w:val="005250A0"/>
    <w:rsid w:val="0052686C"/>
    <w:rsid w:val="005270AA"/>
    <w:rsid w:val="005271CB"/>
    <w:rsid w:val="005277DF"/>
    <w:rsid w:val="00527E22"/>
    <w:rsid w:val="005302F5"/>
    <w:rsid w:val="0053087B"/>
    <w:rsid w:val="00530CF5"/>
    <w:rsid w:val="005312A3"/>
    <w:rsid w:val="0053146F"/>
    <w:rsid w:val="00531817"/>
    <w:rsid w:val="00531FAC"/>
    <w:rsid w:val="0053266E"/>
    <w:rsid w:val="0053346F"/>
    <w:rsid w:val="005336E3"/>
    <w:rsid w:val="00535945"/>
    <w:rsid w:val="00535DC0"/>
    <w:rsid w:val="00536073"/>
    <w:rsid w:val="0053612F"/>
    <w:rsid w:val="00537057"/>
    <w:rsid w:val="005371D2"/>
    <w:rsid w:val="0053754D"/>
    <w:rsid w:val="0053775A"/>
    <w:rsid w:val="00537789"/>
    <w:rsid w:val="00540987"/>
    <w:rsid w:val="00541039"/>
    <w:rsid w:val="005411F8"/>
    <w:rsid w:val="0054201B"/>
    <w:rsid w:val="005433DE"/>
    <w:rsid w:val="00543794"/>
    <w:rsid w:val="00543F60"/>
    <w:rsid w:val="00544691"/>
    <w:rsid w:val="005447AE"/>
    <w:rsid w:val="00544EBB"/>
    <w:rsid w:val="0054514C"/>
    <w:rsid w:val="0054535C"/>
    <w:rsid w:val="0054599E"/>
    <w:rsid w:val="00545BB5"/>
    <w:rsid w:val="00545DD1"/>
    <w:rsid w:val="00546D21"/>
    <w:rsid w:val="005472AC"/>
    <w:rsid w:val="00547D21"/>
    <w:rsid w:val="00547E95"/>
    <w:rsid w:val="00550025"/>
    <w:rsid w:val="00550152"/>
    <w:rsid w:val="00550EA2"/>
    <w:rsid w:val="00551257"/>
    <w:rsid w:val="005512A7"/>
    <w:rsid w:val="0055146E"/>
    <w:rsid w:val="00551CB3"/>
    <w:rsid w:val="005521EC"/>
    <w:rsid w:val="00552589"/>
    <w:rsid w:val="005526E2"/>
    <w:rsid w:val="00552BF0"/>
    <w:rsid w:val="00552C4B"/>
    <w:rsid w:val="00552D9D"/>
    <w:rsid w:val="00553082"/>
    <w:rsid w:val="0055365D"/>
    <w:rsid w:val="00553A35"/>
    <w:rsid w:val="0055406A"/>
    <w:rsid w:val="00554938"/>
    <w:rsid w:val="00554B71"/>
    <w:rsid w:val="005551DD"/>
    <w:rsid w:val="005558BF"/>
    <w:rsid w:val="00556186"/>
    <w:rsid w:val="005565D7"/>
    <w:rsid w:val="00556D6B"/>
    <w:rsid w:val="00556F14"/>
    <w:rsid w:val="005572AF"/>
    <w:rsid w:val="0055748C"/>
    <w:rsid w:val="00557589"/>
    <w:rsid w:val="00557E36"/>
    <w:rsid w:val="00557E4D"/>
    <w:rsid w:val="0056071C"/>
    <w:rsid w:val="00560E3A"/>
    <w:rsid w:val="00561005"/>
    <w:rsid w:val="00561374"/>
    <w:rsid w:val="005616DD"/>
    <w:rsid w:val="00561E21"/>
    <w:rsid w:val="00562493"/>
    <w:rsid w:val="005625A8"/>
    <w:rsid w:val="00562619"/>
    <w:rsid w:val="00562B20"/>
    <w:rsid w:val="005633EB"/>
    <w:rsid w:val="00563D5F"/>
    <w:rsid w:val="00564124"/>
    <w:rsid w:val="0056436F"/>
    <w:rsid w:val="00564740"/>
    <w:rsid w:val="005647C1"/>
    <w:rsid w:val="00564867"/>
    <w:rsid w:val="00564B60"/>
    <w:rsid w:val="00564D7F"/>
    <w:rsid w:val="00565074"/>
    <w:rsid w:val="005652FD"/>
    <w:rsid w:val="00565637"/>
    <w:rsid w:val="00565664"/>
    <w:rsid w:val="00565D4B"/>
    <w:rsid w:val="00566894"/>
    <w:rsid w:val="0056721B"/>
    <w:rsid w:val="00567FDC"/>
    <w:rsid w:val="00570125"/>
    <w:rsid w:val="00570F7D"/>
    <w:rsid w:val="005715A4"/>
    <w:rsid w:val="00571799"/>
    <w:rsid w:val="005719B7"/>
    <w:rsid w:val="00571A89"/>
    <w:rsid w:val="005723EB"/>
    <w:rsid w:val="0057254C"/>
    <w:rsid w:val="005727D1"/>
    <w:rsid w:val="0057287E"/>
    <w:rsid w:val="0057294D"/>
    <w:rsid w:val="0057299F"/>
    <w:rsid w:val="00572FCA"/>
    <w:rsid w:val="005733B8"/>
    <w:rsid w:val="005746EB"/>
    <w:rsid w:val="00575977"/>
    <w:rsid w:val="00576A85"/>
    <w:rsid w:val="00576CDF"/>
    <w:rsid w:val="00576F8A"/>
    <w:rsid w:val="0057782C"/>
    <w:rsid w:val="005779D8"/>
    <w:rsid w:val="00577EA3"/>
    <w:rsid w:val="005803A0"/>
    <w:rsid w:val="0058054C"/>
    <w:rsid w:val="00580D96"/>
    <w:rsid w:val="005810BA"/>
    <w:rsid w:val="00581C72"/>
    <w:rsid w:val="00583259"/>
    <w:rsid w:val="005835F0"/>
    <w:rsid w:val="00583BB9"/>
    <w:rsid w:val="00583C85"/>
    <w:rsid w:val="00583D3B"/>
    <w:rsid w:val="005840BD"/>
    <w:rsid w:val="005847AC"/>
    <w:rsid w:val="00584E73"/>
    <w:rsid w:val="00584E85"/>
    <w:rsid w:val="00585237"/>
    <w:rsid w:val="005858FE"/>
    <w:rsid w:val="00585C57"/>
    <w:rsid w:val="00585E87"/>
    <w:rsid w:val="00585ECA"/>
    <w:rsid w:val="00586F25"/>
    <w:rsid w:val="00586F8E"/>
    <w:rsid w:val="00587FD9"/>
    <w:rsid w:val="00590212"/>
    <w:rsid w:val="00590944"/>
    <w:rsid w:val="00591A5A"/>
    <w:rsid w:val="00591E5A"/>
    <w:rsid w:val="005922B6"/>
    <w:rsid w:val="00592926"/>
    <w:rsid w:val="00592A2D"/>
    <w:rsid w:val="00592EDB"/>
    <w:rsid w:val="005939C3"/>
    <w:rsid w:val="00594AA8"/>
    <w:rsid w:val="00594F23"/>
    <w:rsid w:val="00594F68"/>
    <w:rsid w:val="00595268"/>
    <w:rsid w:val="00595464"/>
    <w:rsid w:val="00595591"/>
    <w:rsid w:val="00595D27"/>
    <w:rsid w:val="005963C7"/>
    <w:rsid w:val="00596600"/>
    <w:rsid w:val="00596FF6"/>
    <w:rsid w:val="0059714E"/>
    <w:rsid w:val="00597786"/>
    <w:rsid w:val="005A0046"/>
    <w:rsid w:val="005A07C1"/>
    <w:rsid w:val="005A0BCA"/>
    <w:rsid w:val="005A0E95"/>
    <w:rsid w:val="005A0FCC"/>
    <w:rsid w:val="005A188B"/>
    <w:rsid w:val="005A23DF"/>
    <w:rsid w:val="005A26BC"/>
    <w:rsid w:val="005A27CD"/>
    <w:rsid w:val="005A2AFF"/>
    <w:rsid w:val="005A3531"/>
    <w:rsid w:val="005A3742"/>
    <w:rsid w:val="005A3CDE"/>
    <w:rsid w:val="005A3FF0"/>
    <w:rsid w:val="005A4F06"/>
    <w:rsid w:val="005A4F0D"/>
    <w:rsid w:val="005A54D3"/>
    <w:rsid w:val="005A5866"/>
    <w:rsid w:val="005A59A4"/>
    <w:rsid w:val="005A66A3"/>
    <w:rsid w:val="005A710E"/>
    <w:rsid w:val="005A7954"/>
    <w:rsid w:val="005A7A5A"/>
    <w:rsid w:val="005A7D79"/>
    <w:rsid w:val="005B04B7"/>
    <w:rsid w:val="005B06C9"/>
    <w:rsid w:val="005B0E10"/>
    <w:rsid w:val="005B0E2F"/>
    <w:rsid w:val="005B1A53"/>
    <w:rsid w:val="005B1A5A"/>
    <w:rsid w:val="005B1BF1"/>
    <w:rsid w:val="005B1E3B"/>
    <w:rsid w:val="005B33C2"/>
    <w:rsid w:val="005B3836"/>
    <w:rsid w:val="005B38C9"/>
    <w:rsid w:val="005B41F8"/>
    <w:rsid w:val="005B56E5"/>
    <w:rsid w:val="005B59F3"/>
    <w:rsid w:val="005B6714"/>
    <w:rsid w:val="005B715C"/>
    <w:rsid w:val="005B7283"/>
    <w:rsid w:val="005B75E1"/>
    <w:rsid w:val="005C0E0C"/>
    <w:rsid w:val="005C145B"/>
    <w:rsid w:val="005C23E4"/>
    <w:rsid w:val="005C275D"/>
    <w:rsid w:val="005C28A7"/>
    <w:rsid w:val="005C2DD5"/>
    <w:rsid w:val="005C34D2"/>
    <w:rsid w:val="005C3C6C"/>
    <w:rsid w:val="005C40D4"/>
    <w:rsid w:val="005C44F5"/>
    <w:rsid w:val="005C4F4B"/>
    <w:rsid w:val="005C5EB8"/>
    <w:rsid w:val="005C6B4D"/>
    <w:rsid w:val="005C7C8D"/>
    <w:rsid w:val="005D0070"/>
    <w:rsid w:val="005D01EF"/>
    <w:rsid w:val="005D04B6"/>
    <w:rsid w:val="005D12D8"/>
    <w:rsid w:val="005D1A8F"/>
    <w:rsid w:val="005D2879"/>
    <w:rsid w:val="005D2C9A"/>
    <w:rsid w:val="005D3708"/>
    <w:rsid w:val="005D375F"/>
    <w:rsid w:val="005D3B76"/>
    <w:rsid w:val="005D3D5C"/>
    <w:rsid w:val="005D47A5"/>
    <w:rsid w:val="005D5131"/>
    <w:rsid w:val="005D5A01"/>
    <w:rsid w:val="005D5A14"/>
    <w:rsid w:val="005D5E5A"/>
    <w:rsid w:val="005D60CE"/>
    <w:rsid w:val="005D62B0"/>
    <w:rsid w:val="005D66B0"/>
    <w:rsid w:val="005D67AA"/>
    <w:rsid w:val="005D73D5"/>
    <w:rsid w:val="005E0936"/>
    <w:rsid w:val="005E1B0A"/>
    <w:rsid w:val="005E1CFC"/>
    <w:rsid w:val="005E29A3"/>
    <w:rsid w:val="005E30F6"/>
    <w:rsid w:val="005E31C1"/>
    <w:rsid w:val="005E3221"/>
    <w:rsid w:val="005E3498"/>
    <w:rsid w:val="005E3BFC"/>
    <w:rsid w:val="005E3D17"/>
    <w:rsid w:val="005E4D96"/>
    <w:rsid w:val="005E5CA0"/>
    <w:rsid w:val="005E74FD"/>
    <w:rsid w:val="005E7526"/>
    <w:rsid w:val="005E7A53"/>
    <w:rsid w:val="005F03FD"/>
    <w:rsid w:val="005F045D"/>
    <w:rsid w:val="005F138E"/>
    <w:rsid w:val="005F1843"/>
    <w:rsid w:val="005F1867"/>
    <w:rsid w:val="005F1B62"/>
    <w:rsid w:val="005F1BFD"/>
    <w:rsid w:val="005F240F"/>
    <w:rsid w:val="005F3C8A"/>
    <w:rsid w:val="005F43D9"/>
    <w:rsid w:val="005F44BE"/>
    <w:rsid w:val="005F4DB8"/>
    <w:rsid w:val="005F578D"/>
    <w:rsid w:val="005F5A23"/>
    <w:rsid w:val="005F629F"/>
    <w:rsid w:val="005F66BA"/>
    <w:rsid w:val="005F6A97"/>
    <w:rsid w:val="005F7256"/>
    <w:rsid w:val="005F72E6"/>
    <w:rsid w:val="005F73DF"/>
    <w:rsid w:val="005F76A8"/>
    <w:rsid w:val="005F7950"/>
    <w:rsid w:val="005F7BC3"/>
    <w:rsid w:val="005F7F74"/>
    <w:rsid w:val="00600BFA"/>
    <w:rsid w:val="00600E52"/>
    <w:rsid w:val="0060216B"/>
    <w:rsid w:val="00602498"/>
    <w:rsid w:val="006024B5"/>
    <w:rsid w:val="00602724"/>
    <w:rsid w:val="0060338B"/>
    <w:rsid w:val="00603832"/>
    <w:rsid w:val="006040FB"/>
    <w:rsid w:val="00604822"/>
    <w:rsid w:val="00604A45"/>
    <w:rsid w:val="00604F53"/>
    <w:rsid w:val="00605FD7"/>
    <w:rsid w:val="00606283"/>
    <w:rsid w:val="00606349"/>
    <w:rsid w:val="00607B01"/>
    <w:rsid w:val="00607EB2"/>
    <w:rsid w:val="0061078B"/>
    <w:rsid w:val="006114BC"/>
    <w:rsid w:val="00611648"/>
    <w:rsid w:val="00611C1A"/>
    <w:rsid w:val="006124D6"/>
    <w:rsid w:val="00612700"/>
    <w:rsid w:val="006129E5"/>
    <w:rsid w:val="0061371E"/>
    <w:rsid w:val="00613A41"/>
    <w:rsid w:val="006144D6"/>
    <w:rsid w:val="00614882"/>
    <w:rsid w:val="00615577"/>
    <w:rsid w:val="00615EAD"/>
    <w:rsid w:val="00616971"/>
    <w:rsid w:val="00617A0A"/>
    <w:rsid w:val="00617A12"/>
    <w:rsid w:val="00617C55"/>
    <w:rsid w:val="006200B1"/>
    <w:rsid w:val="00620D4C"/>
    <w:rsid w:val="006217D7"/>
    <w:rsid w:val="00621CB4"/>
    <w:rsid w:val="006221E5"/>
    <w:rsid w:val="006222E0"/>
    <w:rsid w:val="00622D1D"/>
    <w:rsid w:val="0062338C"/>
    <w:rsid w:val="0062356A"/>
    <w:rsid w:val="00623BBB"/>
    <w:rsid w:val="006253D9"/>
    <w:rsid w:val="006256FE"/>
    <w:rsid w:val="0062599A"/>
    <w:rsid w:val="00625B9E"/>
    <w:rsid w:val="00625FE1"/>
    <w:rsid w:val="00626005"/>
    <w:rsid w:val="00626226"/>
    <w:rsid w:val="00626962"/>
    <w:rsid w:val="00626CF7"/>
    <w:rsid w:val="006275C2"/>
    <w:rsid w:val="00627C86"/>
    <w:rsid w:val="00627F02"/>
    <w:rsid w:val="0063000F"/>
    <w:rsid w:val="0063065D"/>
    <w:rsid w:val="00630F91"/>
    <w:rsid w:val="00631508"/>
    <w:rsid w:val="00631F29"/>
    <w:rsid w:val="00631FF2"/>
    <w:rsid w:val="006320E2"/>
    <w:rsid w:val="006321A2"/>
    <w:rsid w:val="0063294F"/>
    <w:rsid w:val="006330D8"/>
    <w:rsid w:val="00633303"/>
    <w:rsid w:val="00633E39"/>
    <w:rsid w:val="00634059"/>
    <w:rsid w:val="006345EE"/>
    <w:rsid w:val="006352BC"/>
    <w:rsid w:val="00635776"/>
    <w:rsid w:val="00635A26"/>
    <w:rsid w:val="00635A3D"/>
    <w:rsid w:val="00636B72"/>
    <w:rsid w:val="00636E56"/>
    <w:rsid w:val="00637083"/>
    <w:rsid w:val="00637239"/>
    <w:rsid w:val="0063750C"/>
    <w:rsid w:val="00637FA7"/>
    <w:rsid w:val="00640035"/>
    <w:rsid w:val="00640436"/>
    <w:rsid w:val="006404A3"/>
    <w:rsid w:val="00640D7E"/>
    <w:rsid w:val="00642437"/>
    <w:rsid w:val="00642516"/>
    <w:rsid w:val="006429A9"/>
    <w:rsid w:val="00644037"/>
    <w:rsid w:val="00644149"/>
    <w:rsid w:val="006442A1"/>
    <w:rsid w:val="00644633"/>
    <w:rsid w:val="00644DA6"/>
    <w:rsid w:val="0064521E"/>
    <w:rsid w:val="00645273"/>
    <w:rsid w:val="00645952"/>
    <w:rsid w:val="00645A9E"/>
    <w:rsid w:val="00645BBD"/>
    <w:rsid w:val="00645CEE"/>
    <w:rsid w:val="00646C69"/>
    <w:rsid w:val="006472EE"/>
    <w:rsid w:val="00647438"/>
    <w:rsid w:val="00647952"/>
    <w:rsid w:val="00650CEF"/>
    <w:rsid w:val="00650E9D"/>
    <w:rsid w:val="00650EA0"/>
    <w:rsid w:val="00650FE4"/>
    <w:rsid w:val="006514D1"/>
    <w:rsid w:val="006518ED"/>
    <w:rsid w:val="00651991"/>
    <w:rsid w:val="00651D07"/>
    <w:rsid w:val="00651DFE"/>
    <w:rsid w:val="006523D2"/>
    <w:rsid w:val="006528A5"/>
    <w:rsid w:val="00652B78"/>
    <w:rsid w:val="00652EC5"/>
    <w:rsid w:val="006542A5"/>
    <w:rsid w:val="00654B74"/>
    <w:rsid w:val="00655036"/>
    <w:rsid w:val="0065569C"/>
    <w:rsid w:val="006559D9"/>
    <w:rsid w:val="00656243"/>
    <w:rsid w:val="006575A8"/>
    <w:rsid w:val="00657AB8"/>
    <w:rsid w:val="00657FF6"/>
    <w:rsid w:val="006609FA"/>
    <w:rsid w:val="00660E0A"/>
    <w:rsid w:val="006610E5"/>
    <w:rsid w:val="00661A01"/>
    <w:rsid w:val="00661D01"/>
    <w:rsid w:val="00661E79"/>
    <w:rsid w:val="0066253E"/>
    <w:rsid w:val="00663A3F"/>
    <w:rsid w:val="006646BC"/>
    <w:rsid w:val="006648B9"/>
    <w:rsid w:val="00665835"/>
    <w:rsid w:val="00665C38"/>
    <w:rsid w:val="00665E54"/>
    <w:rsid w:val="00665FB8"/>
    <w:rsid w:val="00666155"/>
    <w:rsid w:val="00666889"/>
    <w:rsid w:val="0066690D"/>
    <w:rsid w:val="00666A71"/>
    <w:rsid w:val="00666AB1"/>
    <w:rsid w:val="00666B3E"/>
    <w:rsid w:val="00667A73"/>
    <w:rsid w:val="00667D59"/>
    <w:rsid w:val="006707FF"/>
    <w:rsid w:val="006712D6"/>
    <w:rsid w:val="00671809"/>
    <w:rsid w:val="00672195"/>
    <w:rsid w:val="00672551"/>
    <w:rsid w:val="00673C2E"/>
    <w:rsid w:val="00673F83"/>
    <w:rsid w:val="00674355"/>
    <w:rsid w:val="00674441"/>
    <w:rsid w:val="006753F2"/>
    <w:rsid w:val="0067581C"/>
    <w:rsid w:val="006758BC"/>
    <w:rsid w:val="00675A2E"/>
    <w:rsid w:val="00675E10"/>
    <w:rsid w:val="0067606C"/>
    <w:rsid w:val="00676DCB"/>
    <w:rsid w:val="00676E50"/>
    <w:rsid w:val="00677569"/>
    <w:rsid w:val="006809BA"/>
    <w:rsid w:val="00680A8C"/>
    <w:rsid w:val="00680AD0"/>
    <w:rsid w:val="006818CB"/>
    <w:rsid w:val="006821B5"/>
    <w:rsid w:val="006822D6"/>
    <w:rsid w:val="006828FB"/>
    <w:rsid w:val="00684155"/>
    <w:rsid w:val="00684CDA"/>
    <w:rsid w:val="00686211"/>
    <w:rsid w:val="00686613"/>
    <w:rsid w:val="00686851"/>
    <w:rsid w:val="00687052"/>
    <w:rsid w:val="00687ACC"/>
    <w:rsid w:val="00687E0D"/>
    <w:rsid w:val="00690003"/>
    <w:rsid w:val="006901C9"/>
    <w:rsid w:val="006906D8"/>
    <w:rsid w:val="00691C0D"/>
    <w:rsid w:val="00692AF4"/>
    <w:rsid w:val="00692BF6"/>
    <w:rsid w:val="00693BB3"/>
    <w:rsid w:val="0069483C"/>
    <w:rsid w:val="006952E7"/>
    <w:rsid w:val="00695512"/>
    <w:rsid w:val="00696582"/>
    <w:rsid w:val="006966A4"/>
    <w:rsid w:val="006972EE"/>
    <w:rsid w:val="0069731A"/>
    <w:rsid w:val="00697A33"/>
    <w:rsid w:val="00697D64"/>
    <w:rsid w:val="00697DEB"/>
    <w:rsid w:val="006A0C95"/>
    <w:rsid w:val="006A0DA0"/>
    <w:rsid w:val="006A0DC0"/>
    <w:rsid w:val="006A1596"/>
    <w:rsid w:val="006A21E9"/>
    <w:rsid w:val="006A2758"/>
    <w:rsid w:val="006A2D23"/>
    <w:rsid w:val="006A38F6"/>
    <w:rsid w:val="006A3D6E"/>
    <w:rsid w:val="006A3EB4"/>
    <w:rsid w:val="006A40B7"/>
    <w:rsid w:val="006A462F"/>
    <w:rsid w:val="006A47F4"/>
    <w:rsid w:val="006A5396"/>
    <w:rsid w:val="006A59AC"/>
    <w:rsid w:val="006A5BE5"/>
    <w:rsid w:val="006A61CE"/>
    <w:rsid w:val="006A707B"/>
    <w:rsid w:val="006A70EE"/>
    <w:rsid w:val="006A720C"/>
    <w:rsid w:val="006A736E"/>
    <w:rsid w:val="006B0828"/>
    <w:rsid w:val="006B09D2"/>
    <w:rsid w:val="006B0DBD"/>
    <w:rsid w:val="006B10B5"/>
    <w:rsid w:val="006B1E8F"/>
    <w:rsid w:val="006B2985"/>
    <w:rsid w:val="006B2A90"/>
    <w:rsid w:val="006B3E0C"/>
    <w:rsid w:val="006B3ED4"/>
    <w:rsid w:val="006B429E"/>
    <w:rsid w:val="006B4B9E"/>
    <w:rsid w:val="006B5B6C"/>
    <w:rsid w:val="006B5CBB"/>
    <w:rsid w:val="006B6121"/>
    <w:rsid w:val="006B622E"/>
    <w:rsid w:val="006B62DB"/>
    <w:rsid w:val="006B7374"/>
    <w:rsid w:val="006B7482"/>
    <w:rsid w:val="006B7989"/>
    <w:rsid w:val="006B7F06"/>
    <w:rsid w:val="006B7FED"/>
    <w:rsid w:val="006C01AC"/>
    <w:rsid w:val="006C0698"/>
    <w:rsid w:val="006C0CB1"/>
    <w:rsid w:val="006C0EC2"/>
    <w:rsid w:val="006C1418"/>
    <w:rsid w:val="006C1A02"/>
    <w:rsid w:val="006C1E13"/>
    <w:rsid w:val="006C1FC8"/>
    <w:rsid w:val="006C243B"/>
    <w:rsid w:val="006C254D"/>
    <w:rsid w:val="006C3079"/>
    <w:rsid w:val="006C363B"/>
    <w:rsid w:val="006C3725"/>
    <w:rsid w:val="006C492C"/>
    <w:rsid w:val="006C4DBD"/>
    <w:rsid w:val="006C507B"/>
    <w:rsid w:val="006C518C"/>
    <w:rsid w:val="006C5C59"/>
    <w:rsid w:val="006C5E2B"/>
    <w:rsid w:val="006C6E25"/>
    <w:rsid w:val="006C794B"/>
    <w:rsid w:val="006D13CA"/>
    <w:rsid w:val="006D158D"/>
    <w:rsid w:val="006D17C6"/>
    <w:rsid w:val="006D296E"/>
    <w:rsid w:val="006D2F28"/>
    <w:rsid w:val="006D455F"/>
    <w:rsid w:val="006D50D8"/>
    <w:rsid w:val="006D530D"/>
    <w:rsid w:val="006D5636"/>
    <w:rsid w:val="006D5B39"/>
    <w:rsid w:val="006D615A"/>
    <w:rsid w:val="006D63B0"/>
    <w:rsid w:val="006D7A4E"/>
    <w:rsid w:val="006E0388"/>
    <w:rsid w:val="006E054A"/>
    <w:rsid w:val="006E0D39"/>
    <w:rsid w:val="006E0EDC"/>
    <w:rsid w:val="006E12FA"/>
    <w:rsid w:val="006E13F7"/>
    <w:rsid w:val="006E1D5D"/>
    <w:rsid w:val="006E1EB5"/>
    <w:rsid w:val="006E1F04"/>
    <w:rsid w:val="006E26BE"/>
    <w:rsid w:val="006E29C5"/>
    <w:rsid w:val="006E2B0A"/>
    <w:rsid w:val="006E2E59"/>
    <w:rsid w:val="006E3143"/>
    <w:rsid w:val="006E3265"/>
    <w:rsid w:val="006E4392"/>
    <w:rsid w:val="006E47B1"/>
    <w:rsid w:val="006E49D6"/>
    <w:rsid w:val="006E6652"/>
    <w:rsid w:val="006E7266"/>
    <w:rsid w:val="006E7722"/>
    <w:rsid w:val="006E7848"/>
    <w:rsid w:val="006E7AE6"/>
    <w:rsid w:val="006E7BD8"/>
    <w:rsid w:val="006E7CD2"/>
    <w:rsid w:val="006E7F36"/>
    <w:rsid w:val="006F0114"/>
    <w:rsid w:val="006F0F96"/>
    <w:rsid w:val="006F1E2E"/>
    <w:rsid w:val="006F2864"/>
    <w:rsid w:val="006F3AD3"/>
    <w:rsid w:val="006F428D"/>
    <w:rsid w:val="006F486A"/>
    <w:rsid w:val="006F4BC8"/>
    <w:rsid w:val="006F5CED"/>
    <w:rsid w:val="006F5D39"/>
    <w:rsid w:val="006F6480"/>
    <w:rsid w:val="006F663B"/>
    <w:rsid w:val="006F6D37"/>
    <w:rsid w:val="006F75FC"/>
    <w:rsid w:val="006F7759"/>
    <w:rsid w:val="006F77D1"/>
    <w:rsid w:val="006F7889"/>
    <w:rsid w:val="006F7CF3"/>
    <w:rsid w:val="00700D8C"/>
    <w:rsid w:val="007010A9"/>
    <w:rsid w:val="007024DC"/>
    <w:rsid w:val="0070360E"/>
    <w:rsid w:val="007036B1"/>
    <w:rsid w:val="00703F5D"/>
    <w:rsid w:val="007040BD"/>
    <w:rsid w:val="00704A43"/>
    <w:rsid w:val="00704CBB"/>
    <w:rsid w:val="00704E13"/>
    <w:rsid w:val="00704F93"/>
    <w:rsid w:val="00705415"/>
    <w:rsid w:val="007056ED"/>
    <w:rsid w:val="00705A51"/>
    <w:rsid w:val="0071015B"/>
    <w:rsid w:val="00710303"/>
    <w:rsid w:val="00710514"/>
    <w:rsid w:val="0071070E"/>
    <w:rsid w:val="0071077D"/>
    <w:rsid w:val="00710DBC"/>
    <w:rsid w:val="007110D8"/>
    <w:rsid w:val="00711797"/>
    <w:rsid w:val="007117E3"/>
    <w:rsid w:val="00711DC8"/>
    <w:rsid w:val="00712D05"/>
    <w:rsid w:val="00712F96"/>
    <w:rsid w:val="007138C5"/>
    <w:rsid w:val="007141AB"/>
    <w:rsid w:val="007143EB"/>
    <w:rsid w:val="007150FC"/>
    <w:rsid w:val="00715A5A"/>
    <w:rsid w:val="00715E79"/>
    <w:rsid w:val="007163FA"/>
    <w:rsid w:val="0071657D"/>
    <w:rsid w:val="00716A9C"/>
    <w:rsid w:val="0071712E"/>
    <w:rsid w:val="00717288"/>
    <w:rsid w:val="00717565"/>
    <w:rsid w:val="007175CD"/>
    <w:rsid w:val="007179F0"/>
    <w:rsid w:val="00720812"/>
    <w:rsid w:val="00721699"/>
    <w:rsid w:val="00721768"/>
    <w:rsid w:val="00721A53"/>
    <w:rsid w:val="00721BC8"/>
    <w:rsid w:val="00721C1B"/>
    <w:rsid w:val="00723A49"/>
    <w:rsid w:val="00723FA2"/>
    <w:rsid w:val="00725148"/>
    <w:rsid w:val="00725303"/>
    <w:rsid w:val="00725F08"/>
    <w:rsid w:val="00726B39"/>
    <w:rsid w:val="00726EE3"/>
    <w:rsid w:val="00731B06"/>
    <w:rsid w:val="00731F4B"/>
    <w:rsid w:val="00731F86"/>
    <w:rsid w:val="007321C0"/>
    <w:rsid w:val="00732252"/>
    <w:rsid w:val="00732334"/>
    <w:rsid w:val="0073239C"/>
    <w:rsid w:val="00732671"/>
    <w:rsid w:val="007328F3"/>
    <w:rsid w:val="00732F25"/>
    <w:rsid w:val="00732F4A"/>
    <w:rsid w:val="0073326A"/>
    <w:rsid w:val="0073334A"/>
    <w:rsid w:val="007336EA"/>
    <w:rsid w:val="00733ADA"/>
    <w:rsid w:val="00733EF2"/>
    <w:rsid w:val="00734A51"/>
    <w:rsid w:val="00734B3E"/>
    <w:rsid w:val="00734F74"/>
    <w:rsid w:val="0073519D"/>
    <w:rsid w:val="00735939"/>
    <w:rsid w:val="00735E43"/>
    <w:rsid w:val="00735FC7"/>
    <w:rsid w:val="00737221"/>
    <w:rsid w:val="00737227"/>
    <w:rsid w:val="0073757E"/>
    <w:rsid w:val="00737ED1"/>
    <w:rsid w:val="007401CE"/>
    <w:rsid w:val="007402DD"/>
    <w:rsid w:val="00740317"/>
    <w:rsid w:val="007404B8"/>
    <w:rsid w:val="007406F5"/>
    <w:rsid w:val="00740EC6"/>
    <w:rsid w:val="007419B0"/>
    <w:rsid w:val="00741FE1"/>
    <w:rsid w:val="0074250B"/>
    <w:rsid w:val="0074266E"/>
    <w:rsid w:val="00742C5C"/>
    <w:rsid w:val="00742E34"/>
    <w:rsid w:val="00742F8D"/>
    <w:rsid w:val="00743095"/>
    <w:rsid w:val="007443CD"/>
    <w:rsid w:val="00744448"/>
    <w:rsid w:val="00744515"/>
    <w:rsid w:val="00744D8F"/>
    <w:rsid w:val="007450AC"/>
    <w:rsid w:val="007455F4"/>
    <w:rsid w:val="007464E1"/>
    <w:rsid w:val="00746A69"/>
    <w:rsid w:val="00747277"/>
    <w:rsid w:val="00747C5A"/>
    <w:rsid w:val="00747D6E"/>
    <w:rsid w:val="007503E2"/>
    <w:rsid w:val="00750C65"/>
    <w:rsid w:val="0075115A"/>
    <w:rsid w:val="007527DE"/>
    <w:rsid w:val="00752B52"/>
    <w:rsid w:val="00752EE7"/>
    <w:rsid w:val="0075334A"/>
    <w:rsid w:val="0075483E"/>
    <w:rsid w:val="00754A55"/>
    <w:rsid w:val="007553C3"/>
    <w:rsid w:val="00756590"/>
    <w:rsid w:val="007565BC"/>
    <w:rsid w:val="00757626"/>
    <w:rsid w:val="00757CA2"/>
    <w:rsid w:val="00760051"/>
    <w:rsid w:val="007602DC"/>
    <w:rsid w:val="00760972"/>
    <w:rsid w:val="00760B23"/>
    <w:rsid w:val="0076172F"/>
    <w:rsid w:val="00761843"/>
    <w:rsid w:val="007625C9"/>
    <w:rsid w:val="00762717"/>
    <w:rsid w:val="00763BD6"/>
    <w:rsid w:val="00763CC0"/>
    <w:rsid w:val="0076432B"/>
    <w:rsid w:val="00764DEA"/>
    <w:rsid w:val="00764FC2"/>
    <w:rsid w:val="00765389"/>
    <w:rsid w:val="007654E6"/>
    <w:rsid w:val="00765585"/>
    <w:rsid w:val="00765998"/>
    <w:rsid w:val="00765DA4"/>
    <w:rsid w:val="007668DE"/>
    <w:rsid w:val="00767867"/>
    <w:rsid w:val="00767FFD"/>
    <w:rsid w:val="007706BC"/>
    <w:rsid w:val="0077119E"/>
    <w:rsid w:val="007711E6"/>
    <w:rsid w:val="00771332"/>
    <w:rsid w:val="00772B45"/>
    <w:rsid w:val="0077392B"/>
    <w:rsid w:val="0077497E"/>
    <w:rsid w:val="00775120"/>
    <w:rsid w:val="00775266"/>
    <w:rsid w:val="00775436"/>
    <w:rsid w:val="00775C2B"/>
    <w:rsid w:val="00776958"/>
    <w:rsid w:val="007773C5"/>
    <w:rsid w:val="00777710"/>
    <w:rsid w:val="00777F5B"/>
    <w:rsid w:val="00781893"/>
    <w:rsid w:val="00782282"/>
    <w:rsid w:val="0078238D"/>
    <w:rsid w:val="00782AB7"/>
    <w:rsid w:val="00783315"/>
    <w:rsid w:val="00783668"/>
    <w:rsid w:val="0078391A"/>
    <w:rsid w:val="00783A5E"/>
    <w:rsid w:val="00783F00"/>
    <w:rsid w:val="00784120"/>
    <w:rsid w:val="00784342"/>
    <w:rsid w:val="007844EE"/>
    <w:rsid w:val="007845FE"/>
    <w:rsid w:val="00784C4B"/>
    <w:rsid w:val="0078545A"/>
    <w:rsid w:val="00785CCC"/>
    <w:rsid w:val="00785D42"/>
    <w:rsid w:val="00786120"/>
    <w:rsid w:val="00786220"/>
    <w:rsid w:val="007863F7"/>
    <w:rsid w:val="007872D5"/>
    <w:rsid w:val="00787305"/>
    <w:rsid w:val="007900BF"/>
    <w:rsid w:val="00790128"/>
    <w:rsid w:val="0079023C"/>
    <w:rsid w:val="0079069A"/>
    <w:rsid w:val="00790940"/>
    <w:rsid w:val="0079138D"/>
    <w:rsid w:val="0079143C"/>
    <w:rsid w:val="00791A2D"/>
    <w:rsid w:val="00793207"/>
    <w:rsid w:val="00793569"/>
    <w:rsid w:val="0079399B"/>
    <w:rsid w:val="00793E48"/>
    <w:rsid w:val="007943E4"/>
    <w:rsid w:val="007958D9"/>
    <w:rsid w:val="00796EB4"/>
    <w:rsid w:val="00797053"/>
    <w:rsid w:val="00797A86"/>
    <w:rsid w:val="00797B93"/>
    <w:rsid w:val="00797FD9"/>
    <w:rsid w:val="007A06E7"/>
    <w:rsid w:val="007A0BBB"/>
    <w:rsid w:val="007A219C"/>
    <w:rsid w:val="007A259A"/>
    <w:rsid w:val="007A2AF7"/>
    <w:rsid w:val="007A2B31"/>
    <w:rsid w:val="007A3155"/>
    <w:rsid w:val="007A34E6"/>
    <w:rsid w:val="007A3EBA"/>
    <w:rsid w:val="007A40D6"/>
    <w:rsid w:val="007A44D0"/>
    <w:rsid w:val="007A4A7B"/>
    <w:rsid w:val="007A5747"/>
    <w:rsid w:val="007A57EB"/>
    <w:rsid w:val="007A5B29"/>
    <w:rsid w:val="007A5B44"/>
    <w:rsid w:val="007A67D3"/>
    <w:rsid w:val="007A68E7"/>
    <w:rsid w:val="007A7406"/>
    <w:rsid w:val="007A7489"/>
    <w:rsid w:val="007A7E89"/>
    <w:rsid w:val="007B0472"/>
    <w:rsid w:val="007B0838"/>
    <w:rsid w:val="007B095A"/>
    <w:rsid w:val="007B095C"/>
    <w:rsid w:val="007B0B76"/>
    <w:rsid w:val="007B0D1E"/>
    <w:rsid w:val="007B0F16"/>
    <w:rsid w:val="007B15FF"/>
    <w:rsid w:val="007B35B9"/>
    <w:rsid w:val="007B3FEB"/>
    <w:rsid w:val="007B44CD"/>
    <w:rsid w:val="007B4651"/>
    <w:rsid w:val="007B4C8E"/>
    <w:rsid w:val="007B4CDE"/>
    <w:rsid w:val="007B53A7"/>
    <w:rsid w:val="007B5AB0"/>
    <w:rsid w:val="007B6DF9"/>
    <w:rsid w:val="007B74B7"/>
    <w:rsid w:val="007B798A"/>
    <w:rsid w:val="007B7E1D"/>
    <w:rsid w:val="007C05B4"/>
    <w:rsid w:val="007C0E4B"/>
    <w:rsid w:val="007C129B"/>
    <w:rsid w:val="007C16AB"/>
    <w:rsid w:val="007C19D0"/>
    <w:rsid w:val="007C1D0A"/>
    <w:rsid w:val="007C22D9"/>
    <w:rsid w:val="007C2918"/>
    <w:rsid w:val="007C2B10"/>
    <w:rsid w:val="007C3567"/>
    <w:rsid w:val="007C3C1C"/>
    <w:rsid w:val="007C40DC"/>
    <w:rsid w:val="007C43A7"/>
    <w:rsid w:val="007C44CD"/>
    <w:rsid w:val="007C4996"/>
    <w:rsid w:val="007C4F8B"/>
    <w:rsid w:val="007C58FD"/>
    <w:rsid w:val="007C66F8"/>
    <w:rsid w:val="007C6A31"/>
    <w:rsid w:val="007C6D7C"/>
    <w:rsid w:val="007C728A"/>
    <w:rsid w:val="007C752A"/>
    <w:rsid w:val="007C77A2"/>
    <w:rsid w:val="007C7D36"/>
    <w:rsid w:val="007C7EF5"/>
    <w:rsid w:val="007D0442"/>
    <w:rsid w:val="007D11AA"/>
    <w:rsid w:val="007D172C"/>
    <w:rsid w:val="007D1774"/>
    <w:rsid w:val="007D1893"/>
    <w:rsid w:val="007D34FD"/>
    <w:rsid w:val="007D3C40"/>
    <w:rsid w:val="007D3CB6"/>
    <w:rsid w:val="007D3ED6"/>
    <w:rsid w:val="007D4056"/>
    <w:rsid w:val="007D4124"/>
    <w:rsid w:val="007D4BEA"/>
    <w:rsid w:val="007D54D5"/>
    <w:rsid w:val="007D5900"/>
    <w:rsid w:val="007D5931"/>
    <w:rsid w:val="007D6055"/>
    <w:rsid w:val="007D63F0"/>
    <w:rsid w:val="007D77BB"/>
    <w:rsid w:val="007D780B"/>
    <w:rsid w:val="007D79E1"/>
    <w:rsid w:val="007E024E"/>
    <w:rsid w:val="007E0492"/>
    <w:rsid w:val="007E04BE"/>
    <w:rsid w:val="007E2600"/>
    <w:rsid w:val="007E33F7"/>
    <w:rsid w:val="007E3D0F"/>
    <w:rsid w:val="007E42F9"/>
    <w:rsid w:val="007E4745"/>
    <w:rsid w:val="007E48EB"/>
    <w:rsid w:val="007E4DC5"/>
    <w:rsid w:val="007E4E7E"/>
    <w:rsid w:val="007E4EB2"/>
    <w:rsid w:val="007E518C"/>
    <w:rsid w:val="007E5339"/>
    <w:rsid w:val="007E5BB2"/>
    <w:rsid w:val="007E5F23"/>
    <w:rsid w:val="007E60E8"/>
    <w:rsid w:val="007E6976"/>
    <w:rsid w:val="007E6CDB"/>
    <w:rsid w:val="007E79AE"/>
    <w:rsid w:val="007E7FE6"/>
    <w:rsid w:val="007F02B7"/>
    <w:rsid w:val="007F0D71"/>
    <w:rsid w:val="007F18DC"/>
    <w:rsid w:val="007F1E95"/>
    <w:rsid w:val="007F218A"/>
    <w:rsid w:val="007F271B"/>
    <w:rsid w:val="007F304A"/>
    <w:rsid w:val="007F31BD"/>
    <w:rsid w:val="007F3A75"/>
    <w:rsid w:val="007F4399"/>
    <w:rsid w:val="007F57FD"/>
    <w:rsid w:val="007F6385"/>
    <w:rsid w:val="007F6738"/>
    <w:rsid w:val="007F6A75"/>
    <w:rsid w:val="007F70ED"/>
    <w:rsid w:val="007F7DE0"/>
    <w:rsid w:val="0080097F"/>
    <w:rsid w:val="00800F49"/>
    <w:rsid w:val="008015DD"/>
    <w:rsid w:val="00801621"/>
    <w:rsid w:val="00801A6E"/>
    <w:rsid w:val="00801ADF"/>
    <w:rsid w:val="00801DC2"/>
    <w:rsid w:val="00801EA9"/>
    <w:rsid w:val="00801F40"/>
    <w:rsid w:val="00802096"/>
    <w:rsid w:val="008022FA"/>
    <w:rsid w:val="008023BD"/>
    <w:rsid w:val="0080258E"/>
    <w:rsid w:val="0080274C"/>
    <w:rsid w:val="00802938"/>
    <w:rsid w:val="00802AAA"/>
    <w:rsid w:val="00802D55"/>
    <w:rsid w:val="00803066"/>
    <w:rsid w:val="008046CC"/>
    <w:rsid w:val="00804D29"/>
    <w:rsid w:val="00804D2E"/>
    <w:rsid w:val="0080603D"/>
    <w:rsid w:val="0080688E"/>
    <w:rsid w:val="00806A37"/>
    <w:rsid w:val="00806BB0"/>
    <w:rsid w:val="0080702B"/>
    <w:rsid w:val="008072C9"/>
    <w:rsid w:val="00807874"/>
    <w:rsid w:val="00807E54"/>
    <w:rsid w:val="00807E69"/>
    <w:rsid w:val="0081036A"/>
    <w:rsid w:val="00810CCC"/>
    <w:rsid w:val="00810E90"/>
    <w:rsid w:val="00810F5E"/>
    <w:rsid w:val="008126B8"/>
    <w:rsid w:val="0081309B"/>
    <w:rsid w:val="00813116"/>
    <w:rsid w:val="00813404"/>
    <w:rsid w:val="008138DC"/>
    <w:rsid w:val="00814151"/>
    <w:rsid w:val="0081418D"/>
    <w:rsid w:val="00814B22"/>
    <w:rsid w:val="00814EED"/>
    <w:rsid w:val="0081526E"/>
    <w:rsid w:val="008156BF"/>
    <w:rsid w:val="00815810"/>
    <w:rsid w:val="00815B81"/>
    <w:rsid w:val="008167B0"/>
    <w:rsid w:val="00816AF0"/>
    <w:rsid w:val="00817981"/>
    <w:rsid w:val="008200CF"/>
    <w:rsid w:val="00820203"/>
    <w:rsid w:val="00820530"/>
    <w:rsid w:val="00820D27"/>
    <w:rsid w:val="00820D95"/>
    <w:rsid w:val="00821401"/>
    <w:rsid w:val="00821829"/>
    <w:rsid w:val="00821C61"/>
    <w:rsid w:val="00821CF4"/>
    <w:rsid w:val="00822437"/>
    <w:rsid w:val="00823209"/>
    <w:rsid w:val="00823407"/>
    <w:rsid w:val="008236AD"/>
    <w:rsid w:val="0082371E"/>
    <w:rsid w:val="0082396B"/>
    <w:rsid w:val="0082420D"/>
    <w:rsid w:val="008249E4"/>
    <w:rsid w:val="00824EF0"/>
    <w:rsid w:val="0082603A"/>
    <w:rsid w:val="008263A2"/>
    <w:rsid w:val="008263AE"/>
    <w:rsid w:val="00826AD6"/>
    <w:rsid w:val="008271E3"/>
    <w:rsid w:val="008276E1"/>
    <w:rsid w:val="00827CD2"/>
    <w:rsid w:val="008302B6"/>
    <w:rsid w:val="008305AE"/>
    <w:rsid w:val="00830A39"/>
    <w:rsid w:val="00830D5B"/>
    <w:rsid w:val="00830DEB"/>
    <w:rsid w:val="00830EF0"/>
    <w:rsid w:val="00831979"/>
    <w:rsid w:val="00832251"/>
    <w:rsid w:val="00832577"/>
    <w:rsid w:val="008329FB"/>
    <w:rsid w:val="00832C51"/>
    <w:rsid w:val="00833274"/>
    <w:rsid w:val="00833709"/>
    <w:rsid w:val="008337E5"/>
    <w:rsid w:val="008339CD"/>
    <w:rsid w:val="00833B84"/>
    <w:rsid w:val="0083474B"/>
    <w:rsid w:val="00834D2F"/>
    <w:rsid w:val="00835B2C"/>
    <w:rsid w:val="00835EF6"/>
    <w:rsid w:val="00835F3F"/>
    <w:rsid w:val="00836870"/>
    <w:rsid w:val="008369AA"/>
    <w:rsid w:val="00836F61"/>
    <w:rsid w:val="00837919"/>
    <w:rsid w:val="00840C62"/>
    <w:rsid w:val="00841307"/>
    <w:rsid w:val="00842ECC"/>
    <w:rsid w:val="00842EE8"/>
    <w:rsid w:val="00843345"/>
    <w:rsid w:val="00843D36"/>
    <w:rsid w:val="00843FA8"/>
    <w:rsid w:val="00844AC7"/>
    <w:rsid w:val="00844EE4"/>
    <w:rsid w:val="0084537D"/>
    <w:rsid w:val="00845B03"/>
    <w:rsid w:val="00845F9F"/>
    <w:rsid w:val="0084673A"/>
    <w:rsid w:val="00846809"/>
    <w:rsid w:val="00846839"/>
    <w:rsid w:val="00846E06"/>
    <w:rsid w:val="00847987"/>
    <w:rsid w:val="00847F99"/>
    <w:rsid w:val="00850F2D"/>
    <w:rsid w:val="008514F4"/>
    <w:rsid w:val="00851DC4"/>
    <w:rsid w:val="00851F73"/>
    <w:rsid w:val="00852130"/>
    <w:rsid w:val="0085252C"/>
    <w:rsid w:val="00853BD7"/>
    <w:rsid w:val="00853F56"/>
    <w:rsid w:val="0085475E"/>
    <w:rsid w:val="008551C7"/>
    <w:rsid w:val="008557E9"/>
    <w:rsid w:val="00855837"/>
    <w:rsid w:val="00855AA9"/>
    <w:rsid w:val="00855B30"/>
    <w:rsid w:val="00857203"/>
    <w:rsid w:val="00860040"/>
    <w:rsid w:val="00861207"/>
    <w:rsid w:val="00861485"/>
    <w:rsid w:val="008615E4"/>
    <w:rsid w:val="00861B4B"/>
    <w:rsid w:val="00861C83"/>
    <w:rsid w:val="00861DCB"/>
    <w:rsid w:val="00862446"/>
    <w:rsid w:val="00862CC1"/>
    <w:rsid w:val="00862CDB"/>
    <w:rsid w:val="00863791"/>
    <w:rsid w:val="00864135"/>
    <w:rsid w:val="008641F1"/>
    <w:rsid w:val="008650CE"/>
    <w:rsid w:val="00865915"/>
    <w:rsid w:val="00867968"/>
    <w:rsid w:val="00867C4E"/>
    <w:rsid w:val="008702A5"/>
    <w:rsid w:val="0087079F"/>
    <w:rsid w:val="00870976"/>
    <w:rsid w:val="0087098C"/>
    <w:rsid w:val="00870C96"/>
    <w:rsid w:val="00870FA5"/>
    <w:rsid w:val="00871146"/>
    <w:rsid w:val="00872D42"/>
    <w:rsid w:val="00873041"/>
    <w:rsid w:val="00873105"/>
    <w:rsid w:val="0087314D"/>
    <w:rsid w:val="0087375C"/>
    <w:rsid w:val="00873797"/>
    <w:rsid w:val="00873C7B"/>
    <w:rsid w:val="00873F25"/>
    <w:rsid w:val="00874560"/>
    <w:rsid w:val="008745D0"/>
    <w:rsid w:val="00874793"/>
    <w:rsid w:val="00874DDF"/>
    <w:rsid w:val="00875397"/>
    <w:rsid w:val="00876153"/>
    <w:rsid w:val="0087652F"/>
    <w:rsid w:val="00876599"/>
    <w:rsid w:val="008771BD"/>
    <w:rsid w:val="0087756A"/>
    <w:rsid w:val="00880E12"/>
    <w:rsid w:val="00881F0D"/>
    <w:rsid w:val="008824F2"/>
    <w:rsid w:val="008827FC"/>
    <w:rsid w:val="008838D9"/>
    <w:rsid w:val="00883BFD"/>
    <w:rsid w:val="00883E10"/>
    <w:rsid w:val="0088484E"/>
    <w:rsid w:val="008848EF"/>
    <w:rsid w:val="0088498F"/>
    <w:rsid w:val="00884BF5"/>
    <w:rsid w:val="00884FB9"/>
    <w:rsid w:val="008858DC"/>
    <w:rsid w:val="00885E86"/>
    <w:rsid w:val="008864AD"/>
    <w:rsid w:val="00886843"/>
    <w:rsid w:val="00886D3A"/>
    <w:rsid w:val="0089028D"/>
    <w:rsid w:val="008902F8"/>
    <w:rsid w:val="008917C2"/>
    <w:rsid w:val="00891BC1"/>
    <w:rsid w:val="008927C5"/>
    <w:rsid w:val="0089294F"/>
    <w:rsid w:val="00892CC0"/>
    <w:rsid w:val="00892D3B"/>
    <w:rsid w:val="00892E56"/>
    <w:rsid w:val="008933E2"/>
    <w:rsid w:val="0089341D"/>
    <w:rsid w:val="0089370F"/>
    <w:rsid w:val="00893EBD"/>
    <w:rsid w:val="008942BE"/>
    <w:rsid w:val="0089432F"/>
    <w:rsid w:val="008944F9"/>
    <w:rsid w:val="00895696"/>
    <w:rsid w:val="00895D5B"/>
    <w:rsid w:val="00895D6D"/>
    <w:rsid w:val="00895FDF"/>
    <w:rsid w:val="0089691C"/>
    <w:rsid w:val="00896B96"/>
    <w:rsid w:val="0089779A"/>
    <w:rsid w:val="008A14BE"/>
    <w:rsid w:val="008A169F"/>
    <w:rsid w:val="008A187A"/>
    <w:rsid w:val="008A1C13"/>
    <w:rsid w:val="008A200E"/>
    <w:rsid w:val="008A212B"/>
    <w:rsid w:val="008A2238"/>
    <w:rsid w:val="008A2CAD"/>
    <w:rsid w:val="008A32CF"/>
    <w:rsid w:val="008A3D5D"/>
    <w:rsid w:val="008A43FF"/>
    <w:rsid w:val="008A57B2"/>
    <w:rsid w:val="008A5A1B"/>
    <w:rsid w:val="008A5B56"/>
    <w:rsid w:val="008A5B8D"/>
    <w:rsid w:val="008A6030"/>
    <w:rsid w:val="008A64F1"/>
    <w:rsid w:val="008A6DD0"/>
    <w:rsid w:val="008A75C2"/>
    <w:rsid w:val="008B00FC"/>
    <w:rsid w:val="008B0259"/>
    <w:rsid w:val="008B028A"/>
    <w:rsid w:val="008B0DE7"/>
    <w:rsid w:val="008B0E6C"/>
    <w:rsid w:val="008B222F"/>
    <w:rsid w:val="008B2AEF"/>
    <w:rsid w:val="008B3169"/>
    <w:rsid w:val="008B33BB"/>
    <w:rsid w:val="008B3B36"/>
    <w:rsid w:val="008B3DA0"/>
    <w:rsid w:val="008B44D7"/>
    <w:rsid w:val="008B4CE4"/>
    <w:rsid w:val="008B5563"/>
    <w:rsid w:val="008B57CA"/>
    <w:rsid w:val="008B5B05"/>
    <w:rsid w:val="008B6597"/>
    <w:rsid w:val="008B6B6D"/>
    <w:rsid w:val="008B6C8D"/>
    <w:rsid w:val="008B79AD"/>
    <w:rsid w:val="008B7AD8"/>
    <w:rsid w:val="008B7D9F"/>
    <w:rsid w:val="008C07A4"/>
    <w:rsid w:val="008C0AFF"/>
    <w:rsid w:val="008C0BF5"/>
    <w:rsid w:val="008C1009"/>
    <w:rsid w:val="008C11B2"/>
    <w:rsid w:val="008C1222"/>
    <w:rsid w:val="008C15C2"/>
    <w:rsid w:val="008C1BB9"/>
    <w:rsid w:val="008C299E"/>
    <w:rsid w:val="008C3CC7"/>
    <w:rsid w:val="008C3E99"/>
    <w:rsid w:val="008C4BBA"/>
    <w:rsid w:val="008C4C29"/>
    <w:rsid w:val="008C55D0"/>
    <w:rsid w:val="008C5976"/>
    <w:rsid w:val="008C63A0"/>
    <w:rsid w:val="008C6DF3"/>
    <w:rsid w:val="008D13E7"/>
    <w:rsid w:val="008D13FE"/>
    <w:rsid w:val="008D15CF"/>
    <w:rsid w:val="008D1A7D"/>
    <w:rsid w:val="008D2037"/>
    <w:rsid w:val="008D251D"/>
    <w:rsid w:val="008D261D"/>
    <w:rsid w:val="008D2A0C"/>
    <w:rsid w:val="008D319D"/>
    <w:rsid w:val="008D451B"/>
    <w:rsid w:val="008D4E3A"/>
    <w:rsid w:val="008D55C7"/>
    <w:rsid w:val="008D5949"/>
    <w:rsid w:val="008D5E43"/>
    <w:rsid w:val="008D5FE2"/>
    <w:rsid w:val="008D6D4C"/>
    <w:rsid w:val="008D73CF"/>
    <w:rsid w:val="008D78CC"/>
    <w:rsid w:val="008D7CB3"/>
    <w:rsid w:val="008E0105"/>
    <w:rsid w:val="008E04FB"/>
    <w:rsid w:val="008E0564"/>
    <w:rsid w:val="008E13B6"/>
    <w:rsid w:val="008E1540"/>
    <w:rsid w:val="008E19DE"/>
    <w:rsid w:val="008E21A3"/>
    <w:rsid w:val="008E297B"/>
    <w:rsid w:val="008E2EC9"/>
    <w:rsid w:val="008E3192"/>
    <w:rsid w:val="008E3921"/>
    <w:rsid w:val="008E39E7"/>
    <w:rsid w:val="008E3FFB"/>
    <w:rsid w:val="008E4243"/>
    <w:rsid w:val="008E490C"/>
    <w:rsid w:val="008E4F8A"/>
    <w:rsid w:val="008E6B44"/>
    <w:rsid w:val="008E7603"/>
    <w:rsid w:val="008E7744"/>
    <w:rsid w:val="008E7B5A"/>
    <w:rsid w:val="008F0C5C"/>
    <w:rsid w:val="008F0F92"/>
    <w:rsid w:val="008F12D6"/>
    <w:rsid w:val="008F149D"/>
    <w:rsid w:val="008F1B4A"/>
    <w:rsid w:val="008F23B1"/>
    <w:rsid w:val="008F2AF4"/>
    <w:rsid w:val="008F2C13"/>
    <w:rsid w:val="008F3304"/>
    <w:rsid w:val="008F348F"/>
    <w:rsid w:val="008F34A2"/>
    <w:rsid w:val="008F4343"/>
    <w:rsid w:val="008F4B7E"/>
    <w:rsid w:val="008F5225"/>
    <w:rsid w:val="008F52D3"/>
    <w:rsid w:val="008F5BF1"/>
    <w:rsid w:val="008F663B"/>
    <w:rsid w:val="008F694B"/>
    <w:rsid w:val="008F6E15"/>
    <w:rsid w:val="008F73A8"/>
    <w:rsid w:val="00900EBB"/>
    <w:rsid w:val="00900FD4"/>
    <w:rsid w:val="0090132C"/>
    <w:rsid w:val="009013FD"/>
    <w:rsid w:val="0090172E"/>
    <w:rsid w:val="00901C93"/>
    <w:rsid w:val="009023BE"/>
    <w:rsid w:val="009027EB"/>
    <w:rsid w:val="00902FF1"/>
    <w:rsid w:val="009036F0"/>
    <w:rsid w:val="00903A70"/>
    <w:rsid w:val="00903BEF"/>
    <w:rsid w:val="00904B45"/>
    <w:rsid w:val="009051FF"/>
    <w:rsid w:val="00905718"/>
    <w:rsid w:val="00905886"/>
    <w:rsid w:val="00905BF2"/>
    <w:rsid w:val="009068F2"/>
    <w:rsid w:val="00907040"/>
    <w:rsid w:val="00911598"/>
    <w:rsid w:val="00911FD3"/>
    <w:rsid w:val="009132C8"/>
    <w:rsid w:val="009135DB"/>
    <w:rsid w:val="009138B9"/>
    <w:rsid w:val="00913996"/>
    <w:rsid w:val="00914305"/>
    <w:rsid w:val="009143D9"/>
    <w:rsid w:val="00914720"/>
    <w:rsid w:val="009148D5"/>
    <w:rsid w:val="009149F3"/>
    <w:rsid w:val="00914BDC"/>
    <w:rsid w:val="0091571D"/>
    <w:rsid w:val="00915841"/>
    <w:rsid w:val="00915B3E"/>
    <w:rsid w:val="00915BBA"/>
    <w:rsid w:val="00916017"/>
    <w:rsid w:val="00916234"/>
    <w:rsid w:val="00917244"/>
    <w:rsid w:val="00917487"/>
    <w:rsid w:val="009175CA"/>
    <w:rsid w:val="00917730"/>
    <w:rsid w:val="00917840"/>
    <w:rsid w:val="0092004A"/>
    <w:rsid w:val="009201CA"/>
    <w:rsid w:val="009205BB"/>
    <w:rsid w:val="00920647"/>
    <w:rsid w:val="00920654"/>
    <w:rsid w:val="00920676"/>
    <w:rsid w:val="00920DB6"/>
    <w:rsid w:val="0092103F"/>
    <w:rsid w:val="0092135F"/>
    <w:rsid w:val="009217D3"/>
    <w:rsid w:val="00921CC7"/>
    <w:rsid w:val="00922263"/>
    <w:rsid w:val="00922A50"/>
    <w:rsid w:val="0092393F"/>
    <w:rsid w:val="00923FD9"/>
    <w:rsid w:val="009241AB"/>
    <w:rsid w:val="0092445E"/>
    <w:rsid w:val="0092457A"/>
    <w:rsid w:val="0092459C"/>
    <w:rsid w:val="00924B20"/>
    <w:rsid w:val="00924D2D"/>
    <w:rsid w:val="0092519B"/>
    <w:rsid w:val="0092538E"/>
    <w:rsid w:val="0092582D"/>
    <w:rsid w:val="00925902"/>
    <w:rsid w:val="009259FF"/>
    <w:rsid w:val="00925F03"/>
    <w:rsid w:val="009264B1"/>
    <w:rsid w:val="0092668A"/>
    <w:rsid w:val="00926998"/>
    <w:rsid w:val="00926CBC"/>
    <w:rsid w:val="00927118"/>
    <w:rsid w:val="0092749D"/>
    <w:rsid w:val="00927B65"/>
    <w:rsid w:val="0093097E"/>
    <w:rsid w:val="0093108B"/>
    <w:rsid w:val="0093115D"/>
    <w:rsid w:val="00931267"/>
    <w:rsid w:val="00931825"/>
    <w:rsid w:val="00932A5C"/>
    <w:rsid w:val="00933BFE"/>
    <w:rsid w:val="00933DC9"/>
    <w:rsid w:val="00934192"/>
    <w:rsid w:val="00934486"/>
    <w:rsid w:val="00934B40"/>
    <w:rsid w:val="00935FCD"/>
    <w:rsid w:val="00936CF5"/>
    <w:rsid w:val="009372F0"/>
    <w:rsid w:val="00937373"/>
    <w:rsid w:val="009378BF"/>
    <w:rsid w:val="00940138"/>
    <w:rsid w:val="009407E1"/>
    <w:rsid w:val="00940CFC"/>
    <w:rsid w:val="009413BD"/>
    <w:rsid w:val="009417BB"/>
    <w:rsid w:val="00941B4A"/>
    <w:rsid w:val="00941E7E"/>
    <w:rsid w:val="00942454"/>
    <w:rsid w:val="009438F3"/>
    <w:rsid w:val="00943D37"/>
    <w:rsid w:val="00943ED1"/>
    <w:rsid w:val="00944F20"/>
    <w:rsid w:val="00945251"/>
    <w:rsid w:val="009452B3"/>
    <w:rsid w:val="00945681"/>
    <w:rsid w:val="00946488"/>
    <w:rsid w:val="0094668A"/>
    <w:rsid w:val="00946A55"/>
    <w:rsid w:val="009471C9"/>
    <w:rsid w:val="009472CD"/>
    <w:rsid w:val="00947798"/>
    <w:rsid w:val="009478F5"/>
    <w:rsid w:val="00947934"/>
    <w:rsid w:val="0095021D"/>
    <w:rsid w:val="00950452"/>
    <w:rsid w:val="0095103A"/>
    <w:rsid w:val="00951514"/>
    <w:rsid w:val="009542DC"/>
    <w:rsid w:val="00954F02"/>
    <w:rsid w:val="00954FDF"/>
    <w:rsid w:val="00955088"/>
    <w:rsid w:val="0095664D"/>
    <w:rsid w:val="00957387"/>
    <w:rsid w:val="009573AF"/>
    <w:rsid w:val="009579EC"/>
    <w:rsid w:val="00957EC8"/>
    <w:rsid w:val="009614D8"/>
    <w:rsid w:val="00962849"/>
    <w:rsid w:val="00962873"/>
    <w:rsid w:val="00963496"/>
    <w:rsid w:val="00963A19"/>
    <w:rsid w:val="00963C5C"/>
    <w:rsid w:val="00963EA9"/>
    <w:rsid w:val="009651B3"/>
    <w:rsid w:val="009656F2"/>
    <w:rsid w:val="00965717"/>
    <w:rsid w:val="00965A2C"/>
    <w:rsid w:val="00965E46"/>
    <w:rsid w:val="0096662A"/>
    <w:rsid w:val="00966BB7"/>
    <w:rsid w:val="00966D45"/>
    <w:rsid w:val="00967D69"/>
    <w:rsid w:val="0097023B"/>
    <w:rsid w:val="009709BD"/>
    <w:rsid w:val="00971202"/>
    <w:rsid w:val="009716A8"/>
    <w:rsid w:val="009716D7"/>
    <w:rsid w:val="00971FE4"/>
    <w:rsid w:val="00972845"/>
    <w:rsid w:val="009735FE"/>
    <w:rsid w:val="009745F9"/>
    <w:rsid w:val="009767C7"/>
    <w:rsid w:val="0097771C"/>
    <w:rsid w:val="009777FB"/>
    <w:rsid w:val="00977A3A"/>
    <w:rsid w:val="00977A94"/>
    <w:rsid w:val="00980141"/>
    <w:rsid w:val="00980BCD"/>
    <w:rsid w:val="00980F93"/>
    <w:rsid w:val="00981020"/>
    <w:rsid w:val="00981905"/>
    <w:rsid w:val="00981C26"/>
    <w:rsid w:val="00981C2F"/>
    <w:rsid w:val="00981EF8"/>
    <w:rsid w:val="00982A18"/>
    <w:rsid w:val="009830A9"/>
    <w:rsid w:val="00983364"/>
    <w:rsid w:val="00983A73"/>
    <w:rsid w:val="00983B4B"/>
    <w:rsid w:val="00984018"/>
    <w:rsid w:val="0098419A"/>
    <w:rsid w:val="0098474A"/>
    <w:rsid w:val="00984D4A"/>
    <w:rsid w:val="009858C4"/>
    <w:rsid w:val="00985A1F"/>
    <w:rsid w:val="00985E2A"/>
    <w:rsid w:val="009869E6"/>
    <w:rsid w:val="00986E52"/>
    <w:rsid w:val="00987287"/>
    <w:rsid w:val="00987CBA"/>
    <w:rsid w:val="00987CC9"/>
    <w:rsid w:val="00987F2C"/>
    <w:rsid w:val="009908DE"/>
    <w:rsid w:val="00990ECC"/>
    <w:rsid w:val="00991702"/>
    <w:rsid w:val="00991E91"/>
    <w:rsid w:val="00992825"/>
    <w:rsid w:val="00992B13"/>
    <w:rsid w:val="00992E35"/>
    <w:rsid w:val="00992FFE"/>
    <w:rsid w:val="00993661"/>
    <w:rsid w:val="009938BC"/>
    <w:rsid w:val="00994059"/>
    <w:rsid w:val="00994601"/>
    <w:rsid w:val="00994D9C"/>
    <w:rsid w:val="009951AF"/>
    <w:rsid w:val="0099553A"/>
    <w:rsid w:val="009957EF"/>
    <w:rsid w:val="0099581B"/>
    <w:rsid w:val="00995BB4"/>
    <w:rsid w:val="009965CD"/>
    <w:rsid w:val="00996846"/>
    <w:rsid w:val="00996EF9"/>
    <w:rsid w:val="00997696"/>
    <w:rsid w:val="009977F0"/>
    <w:rsid w:val="00997DA5"/>
    <w:rsid w:val="009A0B80"/>
    <w:rsid w:val="009A0C4E"/>
    <w:rsid w:val="009A149A"/>
    <w:rsid w:val="009A33F4"/>
    <w:rsid w:val="009A4222"/>
    <w:rsid w:val="009A4443"/>
    <w:rsid w:val="009A4A99"/>
    <w:rsid w:val="009A4D2D"/>
    <w:rsid w:val="009A4E64"/>
    <w:rsid w:val="009A5041"/>
    <w:rsid w:val="009A5785"/>
    <w:rsid w:val="009A5797"/>
    <w:rsid w:val="009A5984"/>
    <w:rsid w:val="009A5E40"/>
    <w:rsid w:val="009A686E"/>
    <w:rsid w:val="009A76F7"/>
    <w:rsid w:val="009A7D24"/>
    <w:rsid w:val="009B04A8"/>
    <w:rsid w:val="009B09A8"/>
    <w:rsid w:val="009B1A0E"/>
    <w:rsid w:val="009B21B0"/>
    <w:rsid w:val="009B29AA"/>
    <w:rsid w:val="009B2B62"/>
    <w:rsid w:val="009B2F6E"/>
    <w:rsid w:val="009B3502"/>
    <w:rsid w:val="009B3621"/>
    <w:rsid w:val="009B495F"/>
    <w:rsid w:val="009B4CE7"/>
    <w:rsid w:val="009B53F5"/>
    <w:rsid w:val="009B5964"/>
    <w:rsid w:val="009B5B8F"/>
    <w:rsid w:val="009B6F49"/>
    <w:rsid w:val="009B708D"/>
    <w:rsid w:val="009B790C"/>
    <w:rsid w:val="009C0448"/>
    <w:rsid w:val="009C0BEC"/>
    <w:rsid w:val="009C2191"/>
    <w:rsid w:val="009C27E6"/>
    <w:rsid w:val="009C5202"/>
    <w:rsid w:val="009C67C4"/>
    <w:rsid w:val="009C715C"/>
    <w:rsid w:val="009C747B"/>
    <w:rsid w:val="009C748A"/>
    <w:rsid w:val="009C7796"/>
    <w:rsid w:val="009C78BC"/>
    <w:rsid w:val="009C7950"/>
    <w:rsid w:val="009D0278"/>
    <w:rsid w:val="009D0D3A"/>
    <w:rsid w:val="009D1256"/>
    <w:rsid w:val="009D2387"/>
    <w:rsid w:val="009D2491"/>
    <w:rsid w:val="009D256B"/>
    <w:rsid w:val="009D293E"/>
    <w:rsid w:val="009D3787"/>
    <w:rsid w:val="009D3E11"/>
    <w:rsid w:val="009D4739"/>
    <w:rsid w:val="009D48ED"/>
    <w:rsid w:val="009D5E86"/>
    <w:rsid w:val="009D6985"/>
    <w:rsid w:val="009D6A66"/>
    <w:rsid w:val="009D6D30"/>
    <w:rsid w:val="009D752A"/>
    <w:rsid w:val="009D7CBB"/>
    <w:rsid w:val="009E023C"/>
    <w:rsid w:val="009E0608"/>
    <w:rsid w:val="009E08BC"/>
    <w:rsid w:val="009E09DE"/>
    <w:rsid w:val="009E10AD"/>
    <w:rsid w:val="009E1E90"/>
    <w:rsid w:val="009E223B"/>
    <w:rsid w:val="009E2C53"/>
    <w:rsid w:val="009E3273"/>
    <w:rsid w:val="009E388A"/>
    <w:rsid w:val="009E397B"/>
    <w:rsid w:val="009E3FEC"/>
    <w:rsid w:val="009E412C"/>
    <w:rsid w:val="009E458D"/>
    <w:rsid w:val="009E4786"/>
    <w:rsid w:val="009E4C39"/>
    <w:rsid w:val="009E4DD6"/>
    <w:rsid w:val="009E5259"/>
    <w:rsid w:val="009E536F"/>
    <w:rsid w:val="009E5B39"/>
    <w:rsid w:val="009E5DB6"/>
    <w:rsid w:val="009E750E"/>
    <w:rsid w:val="009E78E0"/>
    <w:rsid w:val="009F0303"/>
    <w:rsid w:val="009F0FD2"/>
    <w:rsid w:val="009F12BA"/>
    <w:rsid w:val="009F1AD8"/>
    <w:rsid w:val="009F1C12"/>
    <w:rsid w:val="009F2191"/>
    <w:rsid w:val="009F31AB"/>
    <w:rsid w:val="009F356C"/>
    <w:rsid w:val="009F4535"/>
    <w:rsid w:val="009F4628"/>
    <w:rsid w:val="009F4B20"/>
    <w:rsid w:val="009F5350"/>
    <w:rsid w:val="009F5658"/>
    <w:rsid w:val="009F5DFC"/>
    <w:rsid w:val="009F5E59"/>
    <w:rsid w:val="009F6A47"/>
    <w:rsid w:val="009F794D"/>
    <w:rsid w:val="009F7A36"/>
    <w:rsid w:val="009F7A63"/>
    <w:rsid w:val="009F7B4A"/>
    <w:rsid w:val="009F7CA1"/>
    <w:rsid w:val="00A0034A"/>
    <w:rsid w:val="00A007A5"/>
    <w:rsid w:val="00A007C4"/>
    <w:rsid w:val="00A009FA"/>
    <w:rsid w:val="00A00F02"/>
    <w:rsid w:val="00A01C3E"/>
    <w:rsid w:val="00A01C8C"/>
    <w:rsid w:val="00A02BDB"/>
    <w:rsid w:val="00A02D89"/>
    <w:rsid w:val="00A03071"/>
    <w:rsid w:val="00A04D75"/>
    <w:rsid w:val="00A04F36"/>
    <w:rsid w:val="00A0643F"/>
    <w:rsid w:val="00A06928"/>
    <w:rsid w:val="00A0785F"/>
    <w:rsid w:val="00A1070D"/>
    <w:rsid w:val="00A10B27"/>
    <w:rsid w:val="00A113F3"/>
    <w:rsid w:val="00A127B7"/>
    <w:rsid w:val="00A1354E"/>
    <w:rsid w:val="00A13CA7"/>
    <w:rsid w:val="00A13E4D"/>
    <w:rsid w:val="00A14951"/>
    <w:rsid w:val="00A14A53"/>
    <w:rsid w:val="00A153A9"/>
    <w:rsid w:val="00A16082"/>
    <w:rsid w:val="00A1610F"/>
    <w:rsid w:val="00A16DBE"/>
    <w:rsid w:val="00A17424"/>
    <w:rsid w:val="00A175FF"/>
    <w:rsid w:val="00A178DE"/>
    <w:rsid w:val="00A206CA"/>
    <w:rsid w:val="00A20A07"/>
    <w:rsid w:val="00A213D0"/>
    <w:rsid w:val="00A2157F"/>
    <w:rsid w:val="00A21805"/>
    <w:rsid w:val="00A22090"/>
    <w:rsid w:val="00A220A6"/>
    <w:rsid w:val="00A2288E"/>
    <w:rsid w:val="00A22C87"/>
    <w:rsid w:val="00A236CE"/>
    <w:rsid w:val="00A241E3"/>
    <w:rsid w:val="00A249A7"/>
    <w:rsid w:val="00A25013"/>
    <w:rsid w:val="00A25156"/>
    <w:rsid w:val="00A251E8"/>
    <w:rsid w:val="00A26080"/>
    <w:rsid w:val="00A267A5"/>
    <w:rsid w:val="00A27A06"/>
    <w:rsid w:val="00A30528"/>
    <w:rsid w:val="00A30A02"/>
    <w:rsid w:val="00A30CFD"/>
    <w:rsid w:val="00A3106F"/>
    <w:rsid w:val="00A327A9"/>
    <w:rsid w:val="00A327AE"/>
    <w:rsid w:val="00A331AA"/>
    <w:rsid w:val="00A33505"/>
    <w:rsid w:val="00A34098"/>
    <w:rsid w:val="00A344F3"/>
    <w:rsid w:val="00A34547"/>
    <w:rsid w:val="00A34794"/>
    <w:rsid w:val="00A34999"/>
    <w:rsid w:val="00A34D1B"/>
    <w:rsid w:val="00A3573C"/>
    <w:rsid w:val="00A359AC"/>
    <w:rsid w:val="00A359E2"/>
    <w:rsid w:val="00A35D20"/>
    <w:rsid w:val="00A36631"/>
    <w:rsid w:val="00A36DE6"/>
    <w:rsid w:val="00A373CD"/>
    <w:rsid w:val="00A3741D"/>
    <w:rsid w:val="00A37794"/>
    <w:rsid w:val="00A37E94"/>
    <w:rsid w:val="00A40593"/>
    <w:rsid w:val="00A40AFE"/>
    <w:rsid w:val="00A40ED5"/>
    <w:rsid w:val="00A41707"/>
    <w:rsid w:val="00A41AE6"/>
    <w:rsid w:val="00A41C97"/>
    <w:rsid w:val="00A41DDB"/>
    <w:rsid w:val="00A41E50"/>
    <w:rsid w:val="00A4221F"/>
    <w:rsid w:val="00A42994"/>
    <w:rsid w:val="00A42B4F"/>
    <w:rsid w:val="00A42BBB"/>
    <w:rsid w:val="00A42FC9"/>
    <w:rsid w:val="00A4371A"/>
    <w:rsid w:val="00A442A2"/>
    <w:rsid w:val="00A44D32"/>
    <w:rsid w:val="00A44DA7"/>
    <w:rsid w:val="00A44EF8"/>
    <w:rsid w:val="00A4502A"/>
    <w:rsid w:val="00A45D1C"/>
    <w:rsid w:val="00A45EC8"/>
    <w:rsid w:val="00A46115"/>
    <w:rsid w:val="00A465C5"/>
    <w:rsid w:val="00A47066"/>
    <w:rsid w:val="00A4707F"/>
    <w:rsid w:val="00A47660"/>
    <w:rsid w:val="00A47CE3"/>
    <w:rsid w:val="00A510A0"/>
    <w:rsid w:val="00A5124C"/>
    <w:rsid w:val="00A51C2A"/>
    <w:rsid w:val="00A51D43"/>
    <w:rsid w:val="00A52904"/>
    <w:rsid w:val="00A53608"/>
    <w:rsid w:val="00A53E29"/>
    <w:rsid w:val="00A53FB0"/>
    <w:rsid w:val="00A54AF2"/>
    <w:rsid w:val="00A54EF2"/>
    <w:rsid w:val="00A55391"/>
    <w:rsid w:val="00A55F21"/>
    <w:rsid w:val="00A56305"/>
    <w:rsid w:val="00A5671F"/>
    <w:rsid w:val="00A569D5"/>
    <w:rsid w:val="00A56A2A"/>
    <w:rsid w:val="00A57F2D"/>
    <w:rsid w:val="00A60CC0"/>
    <w:rsid w:val="00A60DA0"/>
    <w:rsid w:val="00A60F52"/>
    <w:rsid w:val="00A615AB"/>
    <w:rsid w:val="00A617F5"/>
    <w:rsid w:val="00A61871"/>
    <w:rsid w:val="00A61E60"/>
    <w:rsid w:val="00A639D7"/>
    <w:rsid w:val="00A6458C"/>
    <w:rsid w:val="00A654FE"/>
    <w:rsid w:val="00A66A5A"/>
    <w:rsid w:val="00A67191"/>
    <w:rsid w:val="00A701C5"/>
    <w:rsid w:val="00A703BB"/>
    <w:rsid w:val="00A71719"/>
    <w:rsid w:val="00A71A96"/>
    <w:rsid w:val="00A71AF4"/>
    <w:rsid w:val="00A71CD2"/>
    <w:rsid w:val="00A72EA2"/>
    <w:rsid w:val="00A730FE"/>
    <w:rsid w:val="00A7373F"/>
    <w:rsid w:val="00A73D77"/>
    <w:rsid w:val="00A73DCA"/>
    <w:rsid w:val="00A740F1"/>
    <w:rsid w:val="00A7414D"/>
    <w:rsid w:val="00A7416C"/>
    <w:rsid w:val="00A75136"/>
    <w:rsid w:val="00A75323"/>
    <w:rsid w:val="00A756F2"/>
    <w:rsid w:val="00A75ADF"/>
    <w:rsid w:val="00A75BC2"/>
    <w:rsid w:val="00A75F04"/>
    <w:rsid w:val="00A76DDB"/>
    <w:rsid w:val="00A77181"/>
    <w:rsid w:val="00A77319"/>
    <w:rsid w:val="00A800BF"/>
    <w:rsid w:val="00A807FC"/>
    <w:rsid w:val="00A80AD7"/>
    <w:rsid w:val="00A80D60"/>
    <w:rsid w:val="00A80F99"/>
    <w:rsid w:val="00A8126D"/>
    <w:rsid w:val="00A82120"/>
    <w:rsid w:val="00A82211"/>
    <w:rsid w:val="00A8248D"/>
    <w:rsid w:val="00A83800"/>
    <w:rsid w:val="00A83F44"/>
    <w:rsid w:val="00A840EA"/>
    <w:rsid w:val="00A84134"/>
    <w:rsid w:val="00A8451C"/>
    <w:rsid w:val="00A84D91"/>
    <w:rsid w:val="00A85084"/>
    <w:rsid w:val="00A852A6"/>
    <w:rsid w:val="00A857A9"/>
    <w:rsid w:val="00A85E8B"/>
    <w:rsid w:val="00A860AF"/>
    <w:rsid w:val="00A860E9"/>
    <w:rsid w:val="00A861C2"/>
    <w:rsid w:val="00A870A0"/>
    <w:rsid w:val="00A87A0D"/>
    <w:rsid w:val="00A87ACE"/>
    <w:rsid w:val="00A87B98"/>
    <w:rsid w:val="00A90577"/>
    <w:rsid w:val="00A90C05"/>
    <w:rsid w:val="00A91A97"/>
    <w:rsid w:val="00A91AE3"/>
    <w:rsid w:val="00A92511"/>
    <w:rsid w:val="00A926A1"/>
    <w:rsid w:val="00A92F4A"/>
    <w:rsid w:val="00A93167"/>
    <w:rsid w:val="00A93386"/>
    <w:rsid w:val="00A93A6B"/>
    <w:rsid w:val="00A94BBB"/>
    <w:rsid w:val="00A94F03"/>
    <w:rsid w:val="00A954F1"/>
    <w:rsid w:val="00A95735"/>
    <w:rsid w:val="00A95CF4"/>
    <w:rsid w:val="00A95E72"/>
    <w:rsid w:val="00A95F5F"/>
    <w:rsid w:val="00A968D0"/>
    <w:rsid w:val="00A973B6"/>
    <w:rsid w:val="00A9740D"/>
    <w:rsid w:val="00A97733"/>
    <w:rsid w:val="00A97A6F"/>
    <w:rsid w:val="00AA0285"/>
    <w:rsid w:val="00AA0435"/>
    <w:rsid w:val="00AA073E"/>
    <w:rsid w:val="00AA0BEB"/>
    <w:rsid w:val="00AA0C44"/>
    <w:rsid w:val="00AA0C5C"/>
    <w:rsid w:val="00AA1414"/>
    <w:rsid w:val="00AA19EE"/>
    <w:rsid w:val="00AA1F52"/>
    <w:rsid w:val="00AA27FE"/>
    <w:rsid w:val="00AA3226"/>
    <w:rsid w:val="00AA32DA"/>
    <w:rsid w:val="00AA373A"/>
    <w:rsid w:val="00AA385A"/>
    <w:rsid w:val="00AA3F44"/>
    <w:rsid w:val="00AA404C"/>
    <w:rsid w:val="00AA40A6"/>
    <w:rsid w:val="00AA4857"/>
    <w:rsid w:val="00AA5773"/>
    <w:rsid w:val="00AA58F3"/>
    <w:rsid w:val="00AA5FF1"/>
    <w:rsid w:val="00AA6786"/>
    <w:rsid w:val="00AA6F6D"/>
    <w:rsid w:val="00AA790C"/>
    <w:rsid w:val="00AA7CC8"/>
    <w:rsid w:val="00AA7F28"/>
    <w:rsid w:val="00AB0328"/>
    <w:rsid w:val="00AB0527"/>
    <w:rsid w:val="00AB0EC5"/>
    <w:rsid w:val="00AB1478"/>
    <w:rsid w:val="00AB1485"/>
    <w:rsid w:val="00AB19C1"/>
    <w:rsid w:val="00AB1C18"/>
    <w:rsid w:val="00AB1F4E"/>
    <w:rsid w:val="00AB24EF"/>
    <w:rsid w:val="00AB29A0"/>
    <w:rsid w:val="00AB33B3"/>
    <w:rsid w:val="00AB3EDB"/>
    <w:rsid w:val="00AB4571"/>
    <w:rsid w:val="00AB5FA0"/>
    <w:rsid w:val="00AB6D78"/>
    <w:rsid w:val="00AB70E8"/>
    <w:rsid w:val="00AB7163"/>
    <w:rsid w:val="00AB73AD"/>
    <w:rsid w:val="00AB783C"/>
    <w:rsid w:val="00AC016B"/>
    <w:rsid w:val="00AC018D"/>
    <w:rsid w:val="00AC068E"/>
    <w:rsid w:val="00AC0DE5"/>
    <w:rsid w:val="00AC1457"/>
    <w:rsid w:val="00AC1673"/>
    <w:rsid w:val="00AC16BC"/>
    <w:rsid w:val="00AC1869"/>
    <w:rsid w:val="00AC23E5"/>
    <w:rsid w:val="00AC2514"/>
    <w:rsid w:val="00AC2624"/>
    <w:rsid w:val="00AC27BC"/>
    <w:rsid w:val="00AC29FC"/>
    <w:rsid w:val="00AC2BDC"/>
    <w:rsid w:val="00AC2DB9"/>
    <w:rsid w:val="00AC2E08"/>
    <w:rsid w:val="00AC3472"/>
    <w:rsid w:val="00AC3817"/>
    <w:rsid w:val="00AC387A"/>
    <w:rsid w:val="00AC4272"/>
    <w:rsid w:val="00AC4596"/>
    <w:rsid w:val="00AC578B"/>
    <w:rsid w:val="00AC5ED0"/>
    <w:rsid w:val="00AC6BA4"/>
    <w:rsid w:val="00AC6BB9"/>
    <w:rsid w:val="00AC7FB1"/>
    <w:rsid w:val="00AD1A3E"/>
    <w:rsid w:val="00AD1CBC"/>
    <w:rsid w:val="00AD3243"/>
    <w:rsid w:val="00AD3500"/>
    <w:rsid w:val="00AD390F"/>
    <w:rsid w:val="00AD407B"/>
    <w:rsid w:val="00AD4339"/>
    <w:rsid w:val="00AD45E3"/>
    <w:rsid w:val="00AD5D43"/>
    <w:rsid w:val="00AD6060"/>
    <w:rsid w:val="00AD612B"/>
    <w:rsid w:val="00AD6A85"/>
    <w:rsid w:val="00AD6CEA"/>
    <w:rsid w:val="00AD6DD9"/>
    <w:rsid w:val="00AD6FEB"/>
    <w:rsid w:val="00AD7195"/>
    <w:rsid w:val="00AD7AFB"/>
    <w:rsid w:val="00AE13FC"/>
    <w:rsid w:val="00AE1542"/>
    <w:rsid w:val="00AE1563"/>
    <w:rsid w:val="00AE17B1"/>
    <w:rsid w:val="00AE19E1"/>
    <w:rsid w:val="00AE1A2A"/>
    <w:rsid w:val="00AE1D28"/>
    <w:rsid w:val="00AE1D44"/>
    <w:rsid w:val="00AE2BA1"/>
    <w:rsid w:val="00AE30AA"/>
    <w:rsid w:val="00AE3AF4"/>
    <w:rsid w:val="00AE3B19"/>
    <w:rsid w:val="00AE3CA8"/>
    <w:rsid w:val="00AE3CBF"/>
    <w:rsid w:val="00AE41E0"/>
    <w:rsid w:val="00AE4CD2"/>
    <w:rsid w:val="00AE6099"/>
    <w:rsid w:val="00AE6B51"/>
    <w:rsid w:val="00AE6CBD"/>
    <w:rsid w:val="00AE6D42"/>
    <w:rsid w:val="00AE71EC"/>
    <w:rsid w:val="00AE7776"/>
    <w:rsid w:val="00AE7D72"/>
    <w:rsid w:val="00AF0544"/>
    <w:rsid w:val="00AF0B91"/>
    <w:rsid w:val="00AF22F5"/>
    <w:rsid w:val="00AF2D3D"/>
    <w:rsid w:val="00AF3058"/>
    <w:rsid w:val="00AF3D1D"/>
    <w:rsid w:val="00AF4FD3"/>
    <w:rsid w:val="00AF51E2"/>
    <w:rsid w:val="00AF532E"/>
    <w:rsid w:val="00AF5810"/>
    <w:rsid w:val="00AF5A0F"/>
    <w:rsid w:val="00AF60B5"/>
    <w:rsid w:val="00AF700D"/>
    <w:rsid w:val="00AF7AEA"/>
    <w:rsid w:val="00AF7B0B"/>
    <w:rsid w:val="00B006EB"/>
    <w:rsid w:val="00B016A0"/>
    <w:rsid w:val="00B0177C"/>
    <w:rsid w:val="00B0317B"/>
    <w:rsid w:val="00B03BA1"/>
    <w:rsid w:val="00B04547"/>
    <w:rsid w:val="00B04661"/>
    <w:rsid w:val="00B0487F"/>
    <w:rsid w:val="00B0562B"/>
    <w:rsid w:val="00B0597B"/>
    <w:rsid w:val="00B060C9"/>
    <w:rsid w:val="00B06821"/>
    <w:rsid w:val="00B06C37"/>
    <w:rsid w:val="00B072B0"/>
    <w:rsid w:val="00B0798C"/>
    <w:rsid w:val="00B100AB"/>
    <w:rsid w:val="00B10808"/>
    <w:rsid w:val="00B10A77"/>
    <w:rsid w:val="00B10DEC"/>
    <w:rsid w:val="00B10EB8"/>
    <w:rsid w:val="00B11436"/>
    <w:rsid w:val="00B117A9"/>
    <w:rsid w:val="00B1275E"/>
    <w:rsid w:val="00B1325C"/>
    <w:rsid w:val="00B1340A"/>
    <w:rsid w:val="00B137B1"/>
    <w:rsid w:val="00B13BAE"/>
    <w:rsid w:val="00B13E56"/>
    <w:rsid w:val="00B13F39"/>
    <w:rsid w:val="00B15687"/>
    <w:rsid w:val="00B15A4F"/>
    <w:rsid w:val="00B163E4"/>
    <w:rsid w:val="00B17020"/>
    <w:rsid w:val="00B173BF"/>
    <w:rsid w:val="00B1740C"/>
    <w:rsid w:val="00B22016"/>
    <w:rsid w:val="00B227DE"/>
    <w:rsid w:val="00B22D40"/>
    <w:rsid w:val="00B23F64"/>
    <w:rsid w:val="00B23FB3"/>
    <w:rsid w:val="00B24099"/>
    <w:rsid w:val="00B250B7"/>
    <w:rsid w:val="00B25715"/>
    <w:rsid w:val="00B25959"/>
    <w:rsid w:val="00B263E3"/>
    <w:rsid w:val="00B2664E"/>
    <w:rsid w:val="00B2712C"/>
    <w:rsid w:val="00B273E7"/>
    <w:rsid w:val="00B27BC4"/>
    <w:rsid w:val="00B30AD3"/>
    <w:rsid w:val="00B317BC"/>
    <w:rsid w:val="00B32656"/>
    <w:rsid w:val="00B32B3B"/>
    <w:rsid w:val="00B3333B"/>
    <w:rsid w:val="00B334BA"/>
    <w:rsid w:val="00B3357C"/>
    <w:rsid w:val="00B33FE8"/>
    <w:rsid w:val="00B34027"/>
    <w:rsid w:val="00B34BD7"/>
    <w:rsid w:val="00B34E03"/>
    <w:rsid w:val="00B360F9"/>
    <w:rsid w:val="00B36671"/>
    <w:rsid w:val="00B36802"/>
    <w:rsid w:val="00B369A6"/>
    <w:rsid w:val="00B36DB8"/>
    <w:rsid w:val="00B3738D"/>
    <w:rsid w:val="00B373BE"/>
    <w:rsid w:val="00B373E4"/>
    <w:rsid w:val="00B37BBF"/>
    <w:rsid w:val="00B406F1"/>
    <w:rsid w:val="00B41EE1"/>
    <w:rsid w:val="00B423A8"/>
    <w:rsid w:val="00B42AFF"/>
    <w:rsid w:val="00B43023"/>
    <w:rsid w:val="00B430D6"/>
    <w:rsid w:val="00B44997"/>
    <w:rsid w:val="00B45140"/>
    <w:rsid w:val="00B45AF1"/>
    <w:rsid w:val="00B460D8"/>
    <w:rsid w:val="00B46218"/>
    <w:rsid w:val="00B46709"/>
    <w:rsid w:val="00B46728"/>
    <w:rsid w:val="00B46B99"/>
    <w:rsid w:val="00B46D1D"/>
    <w:rsid w:val="00B46E86"/>
    <w:rsid w:val="00B4708D"/>
    <w:rsid w:val="00B474DF"/>
    <w:rsid w:val="00B47567"/>
    <w:rsid w:val="00B47B27"/>
    <w:rsid w:val="00B505BB"/>
    <w:rsid w:val="00B5061C"/>
    <w:rsid w:val="00B50A56"/>
    <w:rsid w:val="00B50B77"/>
    <w:rsid w:val="00B50E3D"/>
    <w:rsid w:val="00B50E7A"/>
    <w:rsid w:val="00B513D4"/>
    <w:rsid w:val="00B513E8"/>
    <w:rsid w:val="00B5173F"/>
    <w:rsid w:val="00B51E88"/>
    <w:rsid w:val="00B51F0F"/>
    <w:rsid w:val="00B539FE"/>
    <w:rsid w:val="00B5469E"/>
    <w:rsid w:val="00B548EA"/>
    <w:rsid w:val="00B56063"/>
    <w:rsid w:val="00B56DA7"/>
    <w:rsid w:val="00B56DDA"/>
    <w:rsid w:val="00B6052D"/>
    <w:rsid w:val="00B605AA"/>
    <w:rsid w:val="00B60735"/>
    <w:rsid w:val="00B617DE"/>
    <w:rsid w:val="00B6181B"/>
    <w:rsid w:val="00B61AD5"/>
    <w:rsid w:val="00B622FE"/>
    <w:rsid w:val="00B62D65"/>
    <w:rsid w:val="00B634A6"/>
    <w:rsid w:val="00B63755"/>
    <w:rsid w:val="00B6393F"/>
    <w:rsid w:val="00B64EF1"/>
    <w:rsid w:val="00B64FE3"/>
    <w:rsid w:val="00B65D6E"/>
    <w:rsid w:val="00B661E4"/>
    <w:rsid w:val="00B668AD"/>
    <w:rsid w:val="00B66AC5"/>
    <w:rsid w:val="00B66ACE"/>
    <w:rsid w:val="00B67095"/>
    <w:rsid w:val="00B672A5"/>
    <w:rsid w:val="00B674D8"/>
    <w:rsid w:val="00B703FE"/>
    <w:rsid w:val="00B711A1"/>
    <w:rsid w:val="00B71A06"/>
    <w:rsid w:val="00B721BC"/>
    <w:rsid w:val="00B73748"/>
    <w:rsid w:val="00B739F8"/>
    <w:rsid w:val="00B73B44"/>
    <w:rsid w:val="00B73CD3"/>
    <w:rsid w:val="00B7404E"/>
    <w:rsid w:val="00B740E4"/>
    <w:rsid w:val="00B7484D"/>
    <w:rsid w:val="00B748CB"/>
    <w:rsid w:val="00B75511"/>
    <w:rsid w:val="00B75547"/>
    <w:rsid w:val="00B7557A"/>
    <w:rsid w:val="00B75845"/>
    <w:rsid w:val="00B75D1D"/>
    <w:rsid w:val="00B777CB"/>
    <w:rsid w:val="00B80099"/>
    <w:rsid w:val="00B803E3"/>
    <w:rsid w:val="00B80910"/>
    <w:rsid w:val="00B818FE"/>
    <w:rsid w:val="00B8261D"/>
    <w:rsid w:val="00B82B7B"/>
    <w:rsid w:val="00B82C8D"/>
    <w:rsid w:val="00B839DF"/>
    <w:rsid w:val="00B839E5"/>
    <w:rsid w:val="00B83B24"/>
    <w:rsid w:val="00B84872"/>
    <w:rsid w:val="00B850E3"/>
    <w:rsid w:val="00B854EB"/>
    <w:rsid w:val="00B85FA3"/>
    <w:rsid w:val="00B86393"/>
    <w:rsid w:val="00B87247"/>
    <w:rsid w:val="00B90E45"/>
    <w:rsid w:val="00B912D1"/>
    <w:rsid w:val="00B92237"/>
    <w:rsid w:val="00B92701"/>
    <w:rsid w:val="00B9285C"/>
    <w:rsid w:val="00B9379C"/>
    <w:rsid w:val="00B937BA"/>
    <w:rsid w:val="00B93A52"/>
    <w:rsid w:val="00B93CF8"/>
    <w:rsid w:val="00B944B1"/>
    <w:rsid w:val="00B9476B"/>
    <w:rsid w:val="00B94AD2"/>
    <w:rsid w:val="00B94F49"/>
    <w:rsid w:val="00B9525D"/>
    <w:rsid w:val="00B95572"/>
    <w:rsid w:val="00B955B4"/>
    <w:rsid w:val="00B962F9"/>
    <w:rsid w:val="00B96BEC"/>
    <w:rsid w:val="00B9704F"/>
    <w:rsid w:val="00B97A7F"/>
    <w:rsid w:val="00B97BB5"/>
    <w:rsid w:val="00B97EA6"/>
    <w:rsid w:val="00BA225F"/>
    <w:rsid w:val="00BA27BB"/>
    <w:rsid w:val="00BA2853"/>
    <w:rsid w:val="00BA2A18"/>
    <w:rsid w:val="00BA2A64"/>
    <w:rsid w:val="00BA2BFE"/>
    <w:rsid w:val="00BA2D31"/>
    <w:rsid w:val="00BA426A"/>
    <w:rsid w:val="00BA5097"/>
    <w:rsid w:val="00BA5A13"/>
    <w:rsid w:val="00BA6751"/>
    <w:rsid w:val="00BA6F75"/>
    <w:rsid w:val="00BA70A4"/>
    <w:rsid w:val="00BA7513"/>
    <w:rsid w:val="00BA7857"/>
    <w:rsid w:val="00BB04E2"/>
    <w:rsid w:val="00BB06C3"/>
    <w:rsid w:val="00BB0D57"/>
    <w:rsid w:val="00BB0D6E"/>
    <w:rsid w:val="00BB0DD5"/>
    <w:rsid w:val="00BB16FF"/>
    <w:rsid w:val="00BB1760"/>
    <w:rsid w:val="00BB1946"/>
    <w:rsid w:val="00BB1D60"/>
    <w:rsid w:val="00BB1E68"/>
    <w:rsid w:val="00BB2803"/>
    <w:rsid w:val="00BB2973"/>
    <w:rsid w:val="00BB2CF7"/>
    <w:rsid w:val="00BB369C"/>
    <w:rsid w:val="00BB370F"/>
    <w:rsid w:val="00BB434B"/>
    <w:rsid w:val="00BB48CD"/>
    <w:rsid w:val="00BB4C8D"/>
    <w:rsid w:val="00BB51EA"/>
    <w:rsid w:val="00BB5293"/>
    <w:rsid w:val="00BB545E"/>
    <w:rsid w:val="00BB61F9"/>
    <w:rsid w:val="00BB64C2"/>
    <w:rsid w:val="00BB6627"/>
    <w:rsid w:val="00BB67E1"/>
    <w:rsid w:val="00BB6BE6"/>
    <w:rsid w:val="00BB6F14"/>
    <w:rsid w:val="00BB71BF"/>
    <w:rsid w:val="00BB7B8B"/>
    <w:rsid w:val="00BB7C1D"/>
    <w:rsid w:val="00BC04C0"/>
    <w:rsid w:val="00BC0A75"/>
    <w:rsid w:val="00BC121E"/>
    <w:rsid w:val="00BC200F"/>
    <w:rsid w:val="00BC21D2"/>
    <w:rsid w:val="00BC2814"/>
    <w:rsid w:val="00BC298D"/>
    <w:rsid w:val="00BC3062"/>
    <w:rsid w:val="00BC4087"/>
    <w:rsid w:val="00BC411A"/>
    <w:rsid w:val="00BC4812"/>
    <w:rsid w:val="00BC5731"/>
    <w:rsid w:val="00BC58D1"/>
    <w:rsid w:val="00BC5969"/>
    <w:rsid w:val="00BC6014"/>
    <w:rsid w:val="00BC6536"/>
    <w:rsid w:val="00BC65B6"/>
    <w:rsid w:val="00BC77F8"/>
    <w:rsid w:val="00BC79F4"/>
    <w:rsid w:val="00BD0E78"/>
    <w:rsid w:val="00BD34AC"/>
    <w:rsid w:val="00BD3E43"/>
    <w:rsid w:val="00BD4AAC"/>
    <w:rsid w:val="00BD7B47"/>
    <w:rsid w:val="00BD7DF2"/>
    <w:rsid w:val="00BE044C"/>
    <w:rsid w:val="00BE05EE"/>
    <w:rsid w:val="00BE0F96"/>
    <w:rsid w:val="00BE13E1"/>
    <w:rsid w:val="00BE1480"/>
    <w:rsid w:val="00BE158F"/>
    <w:rsid w:val="00BE1801"/>
    <w:rsid w:val="00BE25DE"/>
    <w:rsid w:val="00BE2726"/>
    <w:rsid w:val="00BE31E8"/>
    <w:rsid w:val="00BE375F"/>
    <w:rsid w:val="00BE3A4A"/>
    <w:rsid w:val="00BE3DF1"/>
    <w:rsid w:val="00BE412C"/>
    <w:rsid w:val="00BE4142"/>
    <w:rsid w:val="00BE471F"/>
    <w:rsid w:val="00BE4EBF"/>
    <w:rsid w:val="00BE59FB"/>
    <w:rsid w:val="00BE5A47"/>
    <w:rsid w:val="00BE5EEC"/>
    <w:rsid w:val="00BE6E4D"/>
    <w:rsid w:val="00BE73DF"/>
    <w:rsid w:val="00BE777B"/>
    <w:rsid w:val="00BF05C5"/>
    <w:rsid w:val="00BF06CC"/>
    <w:rsid w:val="00BF0A53"/>
    <w:rsid w:val="00BF0FC7"/>
    <w:rsid w:val="00BF1BF8"/>
    <w:rsid w:val="00BF2458"/>
    <w:rsid w:val="00BF2512"/>
    <w:rsid w:val="00BF2566"/>
    <w:rsid w:val="00BF2CA4"/>
    <w:rsid w:val="00BF35E5"/>
    <w:rsid w:val="00BF379C"/>
    <w:rsid w:val="00BF380D"/>
    <w:rsid w:val="00BF3FA5"/>
    <w:rsid w:val="00BF4544"/>
    <w:rsid w:val="00BF458D"/>
    <w:rsid w:val="00BF45AF"/>
    <w:rsid w:val="00BF46C9"/>
    <w:rsid w:val="00BF5555"/>
    <w:rsid w:val="00BF5746"/>
    <w:rsid w:val="00BF595E"/>
    <w:rsid w:val="00BF5A17"/>
    <w:rsid w:val="00BF5DA1"/>
    <w:rsid w:val="00BF623C"/>
    <w:rsid w:val="00BF63D1"/>
    <w:rsid w:val="00BF66F1"/>
    <w:rsid w:val="00BF6F93"/>
    <w:rsid w:val="00BF72AE"/>
    <w:rsid w:val="00BF730C"/>
    <w:rsid w:val="00BF7D03"/>
    <w:rsid w:val="00BF7DA1"/>
    <w:rsid w:val="00C0032A"/>
    <w:rsid w:val="00C00D41"/>
    <w:rsid w:val="00C0133C"/>
    <w:rsid w:val="00C018AF"/>
    <w:rsid w:val="00C02FF0"/>
    <w:rsid w:val="00C03C62"/>
    <w:rsid w:val="00C03FB3"/>
    <w:rsid w:val="00C048C2"/>
    <w:rsid w:val="00C04D1E"/>
    <w:rsid w:val="00C04F5A"/>
    <w:rsid w:val="00C0514C"/>
    <w:rsid w:val="00C05993"/>
    <w:rsid w:val="00C0617F"/>
    <w:rsid w:val="00C066C9"/>
    <w:rsid w:val="00C06B93"/>
    <w:rsid w:val="00C078A0"/>
    <w:rsid w:val="00C112FE"/>
    <w:rsid w:val="00C11847"/>
    <w:rsid w:val="00C122E9"/>
    <w:rsid w:val="00C1231E"/>
    <w:rsid w:val="00C138D9"/>
    <w:rsid w:val="00C13BE7"/>
    <w:rsid w:val="00C14887"/>
    <w:rsid w:val="00C15088"/>
    <w:rsid w:val="00C156BF"/>
    <w:rsid w:val="00C15867"/>
    <w:rsid w:val="00C15C81"/>
    <w:rsid w:val="00C15D4B"/>
    <w:rsid w:val="00C16331"/>
    <w:rsid w:val="00C16D10"/>
    <w:rsid w:val="00C1745B"/>
    <w:rsid w:val="00C174B9"/>
    <w:rsid w:val="00C20082"/>
    <w:rsid w:val="00C21936"/>
    <w:rsid w:val="00C21B39"/>
    <w:rsid w:val="00C21CAF"/>
    <w:rsid w:val="00C21D34"/>
    <w:rsid w:val="00C22195"/>
    <w:rsid w:val="00C22B3C"/>
    <w:rsid w:val="00C22CD9"/>
    <w:rsid w:val="00C23A3F"/>
    <w:rsid w:val="00C240DB"/>
    <w:rsid w:val="00C24741"/>
    <w:rsid w:val="00C24E12"/>
    <w:rsid w:val="00C24EB3"/>
    <w:rsid w:val="00C24FA3"/>
    <w:rsid w:val="00C258EB"/>
    <w:rsid w:val="00C25B3D"/>
    <w:rsid w:val="00C2647D"/>
    <w:rsid w:val="00C264F3"/>
    <w:rsid w:val="00C2770F"/>
    <w:rsid w:val="00C27E25"/>
    <w:rsid w:val="00C3031E"/>
    <w:rsid w:val="00C30842"/>
    <w:rsid w:val="00C3111A"/>
    <w:rsid w:val="00C3127E"/>
    <w:rsid w:val="00C31869"/>
    <w:rsid w:val="00C31B84"/>
    <w:rsid w:val="00C32210"/>
    <w:rsid w:val="00C329E3"/>
    <w:rsid w:val="00C33047"/>
    <w:rsid w:val="00C3433A"/>
    <w:rsid w:val="00C3475B"/>
    <w:rsid w:val="00C34A94"/>
    <w:rsid w:val="00C34C01"/>
    <w:rsid w:val="00C3503D"/>
    <w:rsid w:val="00C35058"/>
    <w:rsid w:val="00C35B54"/>
    <w:rsid w:val="00C35FE2"/>
    <w:rsid w:val="00C36942"/>
    <w:rsid w:val="00C36CA5"/>
    <w:rsid w:val="00C36DA4"/>
    <w:rsid w:val="00C3787F"/>
    <w:rsid w:val="00C4020C"/>
    <w:rsid w:val="00C41054"/>
    <w:rsid w:val="00C410D0"/>
    <w:rsid w:val="00C41AFE"/>
    <w:rsid w:val="00C41B0C"/>
    <w:rsid w:val="00C41D57"/>
    <w:rsid w:val="00C4215E"/>
    <w:rsid w:val="00C4228E"/>
    <w:rsid w:val="00C42B92"/>
    <w:rsid w:val="00C42C0B"/>
    <w:rsid w:val="00C42DF8"/>
    <w:rsid w:val="00C43287"/>
    <w:rsid w:val="00C4389D"/>
    <w:rsid w:val="00C43D96"/>
    <w:rsid w:val="00C444A1"/>
    <w:rsid w:val="00C44804"/>
    <w:rsid w:val="00C44870"/>
    <w:rsid w:val="00C44DD5"/>
    <w:rsid w:val="00C45089"/>
    <w:rsid w:val="00C45141"/>
    <w:rsid w:val="00C46548"/>
    <w:rsid w:val="00C47168"/>
    <w:rsid w:val="00C4760F"/>
    <w:rsid w:val="00C47E43"/>
    <w:rsid w:val="00C501EA"/>
    <w:rsid w:val="00C5050E"/>
    <w:rsid w:val="00C5053F"/>
    <w:rsid w:val="00C50710"/>
    <w:rsid w:val="00C51039"/>
    <w:rsid w:val="00C51688"/>
    <w:rsid w:val="00C5227D"/>
    <w:rsid w:val="00C524C3"/>
    <w:rsid w:val="00C52B1B"/>
    <w:rsid w:val="00C53C86"/>
    <w:rsid w:val="00C53F61"/>
    <w:rsid w:val="00C542D9"/>
    <w:rsid w:val="00C544DA"/>
    <w:rsid w:val="00C5465D"/>
    <w:rsid w:val="00C54CAF"/>
    <w:rsid w:val="00C55541"/>
    <w:rsid w:val="00C557BF"/>
    <w:rsid w:val="00C5588E"/>
    <w:rsid w:val="00C55A0D"/>
    <w:rsid w:val="00C55AA3"/>
    <w:rsid w:val="00C56118"/>
    <w:rsid w:val="00C5660A"/>
    <w:rsid w:val="00C56EA3"/>
    <w:rsid w:val="00C57021"/>
    <w:rsid w:val="00C570AE"/>
    <w:rsid w:val="00C57743"/>
    <w:rsid w:val="00C60BFE"/>
    <w:rsid w:val="00C60CE2"/>
    <w:rsid w:val="00C60E4A"/>
    <w:rsid w:val="00C61120"/>
    <w:rsid w:val="00C61C87"/>
    <w:rsid w:val="00C620E8"/>
    <w:rsid w:val="00C6354A"/>
    <w:rsid w:val="00C63831"/>
    <w:rsid w:val="00C64D06"/>
    <w:rsid w:val="00C6556C"/>
    <w:rsid w:val="00C65677"/>
    <w:rsid w:val="00C659B6"/>
    <w:rsid w:val="00C66297"/>
    <w:rsid w:val="00C6634E"/>
    <w:rsid w:val="00C66C76"/>
    <w:rsid w:val="00C6754C"/>
    <w:rsid w:val="00C67811"/>
    <w:rsid w:val="00C67908"/>
    <w:rsid w:val="00C67A06"/>
    <w:rsid w:val="00C67CFC"/>
    <w:rsid w:val="00C67E25"/>
    <w:rsid w:val="00C705D2"/>
    <w:rsid w:val="00C70E4A"/>
    <w:rsid w:val="00C714F6"/>
    <w:rsid w:val="00C716CC"/>
    <w:rsid w:val="00C7219A"/>
    <w:rsid w:val="00C724CE"/>
    <w:rsid w:val="00C72A46"/>
    <w:rsid w:val="00C74123"/>
    <w:rsid w:val="00C7466E"/>
    <w:rsid w:val="00C753C3"/>
    <w:rsid w:val="00C758EC"/>
    <w:rsid w:val="00C75B1C"/>
    <w:rsid w:val="00C75C70"/>
    <w:rsid w:val="00C761F0"/>
    <w:rsid w:val="00C76BC7"/>
    <w:rsid w:val="00C77926"/>
    <w:rsid w:val="00C8048D"/>
    <w:rsid w:val="00C8054F"/>
    <w:rsid w:val="00C81BEB"/>
    <w:rsid w:val="00C81D9A"/>
    <w:rsid w:val="00C81EF6"/>
    <w:rsid w:val="00C81F77"/>
    <w:rsid w:val="00C822F6"/>
    <w:rsid w:val="00C82479"/>
    <w:rsid w:val="00C8261B"/>
    <w:rsid w:val="00C83140"/>
    <w:rsid w:val="00C835D8"/>
    <w:rsid w:val="00C836F3"/>
    <w:rsid w:val="00C83873"/>
    <w:rsid w:val="00C83E8B"/>
    <w:rsid w:val="00C84BC0"/>
    <w:rsid w:val="00C84E04"/>
    <w:rsid w:val="00C85093"/>
    <w:rsid w:val="00C85362"/>
    <w:rsid w:val="00C855D2"/>
    <w:rsid w:val="00C86345"/>
    <w:rsid w:val="00C86428"/>
    <w:rsid w:val="00C8728E"/>
    <w:rsid w:val="00C872B6"/>
    <w:rsid w:val="00C87D63"/>
    <w:rsid w:val="00C901C5"/>
    <w:rsid w:val="00C9074D"/>
    <w:rsid w:val="00C90C25"/>
    <w:rsid w:val="00C9147E"/>
    <w:rsid w:val="00C914AE"/>
    <w:rsid w:val="00C9202A"/>
    <w:rsid w:val="00C92663"/>
    <w:rsid w:val="00C9275F"/>
    <w:rsid w:val="00C9287F"/>
    <w:rsid w:val="00C92AC0"/>
    <w:rsid w:val="00C93141"/>
    <w:rsid w:val="00C937D2"/>
    <w:rsid w:val="00C94549"/>
    <w:rsid w:val="00C94611"/>
    <w:rsid w:val="00C94896"/>
    <w:rsid w:val="00C95F27"/>
    <w:rsid w:val="00C96271"/>
    <w:rsid w:val="00C963B9"/>
    <w:rsid w:val="00C96AD4"/>
    <w:rsid w:val="00C96C47"/>
    <w:rsid w:val="00C973A8"/>
    <w:rsid w:val="00C97463"/>
    <w:rsid w:val="00C978DD"/>
    <w:rsid w:val="00CA0014"/>
    <w:rsid w:val="00CA07B7"/>
    <w:rsid w:val="00CA15B7"/>
    <w:rsid w:val="00CA20F9"/>
    <w:rsid w:val="00CA2647"/>
    <w:rsid w:val="00CA2773"/>
    <w:rsid w:val="00CA2AFC"/>
    <w:rsid w:val="00CA2F28"/>
    <w:rsid w:val="00CA370A"/>
    <w:rsid w:val="00CA3BF2"/>
    <w:rsid w:val="00CA3FB8"/>
    <w:rsid w:val="00CA40B8"/>
    <w:rsid w:val="00CA4137"/>
    <w:rsid w:val="00CA46CF"/>
    <w:rsid w:val="00CA48E9"/>
    <w:rsid w:val="00CA4E57"/>
    <w:rsid w:val="00CA52BA"/>
    <w:rsid w:val="00CA5C8F"/>
    <w:rsid w:val="00CA5DFA"/>
    <w:rsid w:val="00CA62DC"/>
    <w:rsid w:val="00CA6F1D"/>
    <w:rsid w:val="00CA780B"/>
    <w:rsid w:val="00CB05BD"/>
    <w:rsid w:val="00CB074C"/>
    <w:rsid w:val="00CB0805"/>
    <w:rsid w:val="00CB0BC6"/>
    <w:rsid w:val="00CB10E3"/>
    <w:rsid w:val="00CB1524"/>
    <w:rsid w:val="00CB199A"/>
    <w:rsid w:val="00CB247F"/>
    <w:rsid w:val="00CB275C"/>
    <w:rsid w:val="00CB3236"/>
    <w:rsid w:val="00CB324B"/>
    <w:rsid w:val="00CB32B8"/>
    <w:rsid w:val="00CB35F2"/>
    <w:rsid w:val="00CB3A2D"/>
    <w:rsid w:val="00CB3EE3"/>
    <w:rsid w:val="00CB4189"/>
    <w:rsid w:val="00CB41D9"/>
    <w:rsid w:val="00CB5084"/>
    <w:rsid w:val="00CB575B"/>
    <w:rsid w:val="00CB58E6"/>
    <w:rsid w:val="00CB641D"/>
    <w:rsid w:val="00CB6A10"/>
    <w:rsid w:val="00CB71D5"/>
    <w:rsid w:val="00CB73C9"/>
    <w:rsid w:val="00CB77AD"/>
    <w:rsid w:val="00CC00D7"/>
    <w:rsid w:val="00CC03D6"/>
    <w:rsid w:val="00CC0644"/>
    <w:rsid w:val="00CC07B7"/>
    <w:rsid w:val="00CC0D4A"/>
    <w:rsid w:val="00CC2E28"/>
    <w:rsid w:val="00CC3142"/>
    <w:rsid w:val="00CC32E8"/>
    <w:rsid w:val="00CC3531"/>
    <w:rsid w:val="00CC3809"/>
    <w:rsid w:val="00CC3D4B"/>
    <w:rsid w:val="00CC3DBC"/>
    <w:rsid w:val="00CC4355"/>
    <w:rsid w:val="00CC4C6D"/>
    <w:rsid w:val="00CC4D36"/>
    <w:rsid w:val="00CC4E16"/>
    <w:rsid w:val="00CC4E47"/>
    <w:rsid w:val="00CC5F22"/>
    <w:rsid w:val="00CC6548"/>
    <w:rsid w:val="00CC6637"/>
    <w:rsid w:val="00CC6A5A"/>
    <w:rsid w:val="00CC768C"/>
    <w:rsid w:val="00CC79C8"/>
    <w:rsid w:val="00CD0415"/>
    <w:rsid w:val="00CD0A9D"/>
    <w:rsid w:val="00CD1573"/>
    <w:rsid w:val="00CD27AB"/>
    <w:rsid w:val="00CD2B7A"/>
    <w:rsid w:val="00CD2FE1"/>
    <w:rsid w:val="00CD2FE3"/>
    <w:rsid w:val="00CD335C"/>
    <w:rsid w:val="00CD41DA"/>
    <w:rsid w:val="00CD432C"/>
    <w:rsid w:val="00CD47D5"/>
    <w:rsid w:val="00CD4979"/>
    <w:rsid w:val="00CD4F03"/>
    <w:rsid w:val="00CD5577"/>
    <w:rsid w:val="00CD574B"/>
    <w:rsid w:val="00CD60CD"/>
    <w:rsid w:val="00CD645A"/>
    <w:rsid w:val="00CD66CB"/>
    <w:rsid w:val="00CD6AD2"/>
    <w:rsid w:val="00CD6C44"/>
    <w:rsid w:val="00CD7494"/>
    <w:rsid w:val="00CD759D"/>
    <w:rsid w:val="00CD7C98"/>
    <w:rsid w:val="00CE0443"/>
    <w:rsid w:val="00CE04AD"/>
    <w:rsid w:val="00CE0525"/>
    <w:rsid w:val="00CE0600"/>
    <w:rsid w:val="00CE149A"/>
    <w:rsid w:val="00CE1B7A"/>
    <w:rsid w:val="00CE24D9"/>
    <w:rsid w:val="00CE28ED"/>
    <w:rsid w:val="00CE3D71"/>
    <w:rsid w:val="00CE4293"/>
    <w:rsid w:val="00CE496B"/>
    <w:rsid w:val="00CE49D1"/>
    <w:rsid w:val="00CE5C97"/>
    <w:rsid w:val="00CE62D6"/>
    <w:rsid w:val="00CE6DCB"/>
    <w:rsid w:val="00CE71F9"/>
    <w:rsid w:val="00CF0234"/>
    <w:rsid w:val="00CF03BF"/>
    <w:rsid w:val="00CF06E4"/>
    <w:rsid w:val="00CF09CB"/>
    <w:rsid w:val="00CF0B47"/>
    <w:rsid w:val="00CF1597"/>
    <w:rsid w:val="00CF22A2"/>
    <w:rsid w:val="00CF2871"/>
    <w:rsid w:val="00CF2AFA"/>
    <w:rsid w:val="00CF35F6"/>
    <w:rsid w:val="00CF3B62"/>
    <w:rsid w:val="00CF3C7C"/>
    <w:rsid w:val="00CF4D7F"/>
    <w:rsid w:val="00CF4F7A"/>
    <w:rsid w:val="00CF5BB7"/>
    <w:rsid w:val="00CF7325"/>
    <w:rsid w:val="00CF7912"/>
    <w:rsid w:val="00CF7B30"/>
    <w:rsid w:val="00D001E0"/>
    <w:rsid w:val="00D0057A"/>
    <w:rsid w:val="00D00642"/>
    <w:rsid w:val="00D0091C"/>
    <w:rsid w:val="00D01505"/>
    <w:rsid w:val="00D01B24"/>
    <w:rsid w:val="00D01D7E"/>
    <w:rsid w:val="00D02766"/>
    <w:rsid w:val="00D02B08"/>
    <w:rsid w:val="00D02EE3"/>
    <w:rsid w:val="00D037AC"/>
    <w:rsid w:val="00D05BE9"/>
    <w:rsid w:val="00D061B0"/>
    <w:rsid w:val="00D0630D"/>
    <w:rsid w:val="00D07040"/>
    <w:rsid w:val="00D071F3"/>
    <w:rsid w:val="00D075AE"/>
    <w:rsid w:val="00D0765C"/>
    <w:rsid w:val="00D07C14"/>
    <w:rsid w:val="00D103DE"/>
    <w:rsid w:val="00D1044C"/>
    <w:rsid w:val="00D1108E"/>
    <w:rsid w:val="00D11DDA"/>
    <w:rsid w:val="00D12675"/>
    <w:rsid w:val="00D12969"/>
    <w:rsid w:val="00D12E65"/>
    <w:rsid w:val="00D12F1D"/>
    <w:rsid w:val="00D139AC"/>
    <w:rsid w:val="00D139B2"/>
    <w:rsid w:val="00D13BD0"/>
    <w:rsid w:val="00D1463A"/>
    <w:rsid w:val="00D14802"/>
    <w:rsid w:val="00D14F6A"/>
    <w:rsid w:val="00D1525D"/>
    <w:rsid w:val="00D1531B"/>
    <w:rsid w:val="00D15D92"/>
    <w:rsid w:val="00D160CC"/>
    <w:rsid w:val="00D16251"/>
    <w:rsid w:val="00D162CA"/>
    <w:rsid w:val="00D16317"/>
    <w:rsid w:val="00D16CBE"/>
    <w:rsid w:val="00D17131"/>
    <w:rsid w:val="00D2084F"/>
    <w:rsid w:val="00D20E16"/>
    <w:rsid w:val="00D22C46"/>
    <w:rsid w:val="00D241E4"/>
    <w:rsid w:val="00D302EF"/>
    <w:rsid w:val="00D31191"/>
    <w:rsid w:val="00D311F3"/>
    <w:rsid w:val="00D31408"/>
    <w:rsid w:val="00D31728"/>
    <w:rsid w:val="00D32949"/>
    <w:rsid w:val="00D33FC9"/>
    <w:rsid w:val="00D3415E"/>
    <w:rsid w:val="00D34C11"/>
    <w:rsid w:val="00D35880"/>
    <w:rsid w:val="00D35971"/>
    <w:rsid w:val="00D35C47"/>
    <w:rsid w:val="00D35CDB"/>
    <w:rsid w:val="00D378CE"/>
    <w:rsid w:val="00D4004B"/>
    <w:rsid w:val="00D4047D"/>
    <w:rsid w:val="00D40AF9"/>
    <w:rsid w:val="00D40B9A"/>
    <w:rsid w:val="00D40DA8"/>
    <w:rsid w:val="00D40E79"/>
    <w:rsid w:val="00D416F7"/>
    <w:rsid w:val="00D416FA"/>
    <w:rsid w:val="00D42A9A"/>
    <w:rsid w:val="00D42F7B"/>
    <w:rsid w:val="00D4376C"/>
    <w:rsid w:val="00D43DC5"/>
    <w:rsid w:val="00D44354"/>
    <w:rsid w:val="00D4435E"/>
    <w:rsid w:val="00D445FE"/>
    <w:rsid w:val="00D44647"/>
    <w:rsid w:val="00D4481B"/>
    <w:rsid w:val="00D44C37"/>
    <w:rsid w:val="00D458D1"/>
    <w:rsid w:val="00D46739"/>
    <w:rsid w:val="00D4696B"/>
    <w:rsid w:val="00D46BBC"/>
    <w:rsid w:val="00D46E52"/>
    <w:rsid w:val="00D472B7"/>
    <w:rsid w:val="00D4779F"/>
    <w:rsid w:val="00D4799D"/>
    <w:rsid w:val="00D47ECD"/>
    <w:rsid w:val="00D50719"/>
    <w:rsid w:val="00D50F2C"/>
    <w:rsid w:val="00D51E5B"/>
    <w:rsid w:val="00D5205D"/>
    <w:rsid w:val="00D521C8"/>
    <w:rsid w:val="00D5243A"/>
    <w:rsid w:val="00D52713"/>
    <w:rsid w:val="00D527C6"/>
    <w:rsid w:val="00D53025"/>
    <w:rsid w:val="00D5328F"/>
    <w:rsid w:val="00D53621"/>
    <w:rsid w:val="00D538A9"/>
    <w:rsid w:val="00D53AAA"/>
    <w:rsid w:val="00D53B0F"/>
    <w:rsid w:val="00D5486E"/>
    <w:rsid w:val="00D548E8"/>
    <w:rsid w:val="00D549B8"/>
    <w:rsid w:val="00D54D09"/>
    <w:rsid w:val="00D54E1C"/>
    <w:rsid w:val="00D550E9"/>
    <w:rsid w:val="00D555CB"/>
    <w:rsid w:val="00D55F06"/>
    <w:rsid w:val="00D56F91"/>
    <w:rsid w:val="00D57004"/>
    <w:rsid w:val="00D5745B"/>
    <w:rsid w:val="00D57516"/>
    <w:rsid w:val="00D578D7"/>
    <w:rsid w:val="00D60057"/>
    <w:rsid w:val="00D602E5"/>
    <w:rsid w:val="00D60D89"/>
    <w:rsid w:val="00D61E31"/>
    <w:rsid w:val="00D62695"/>
    <w:rsid w:val="00D62CE9"/>
    <w:rsid w:val="00D63028"/>
    <w:rsid w:val="00D63F47"/>
    <w:rsid w:val="00D65D13"/>
    <w:rsid w:val="00D6663D"/>
    <w:rsid w:val="00D704ED"/>
    <w:rsid w:val="00D70853"/>
    <w:rsid w:val="00D70BC9"/>
    <w:rsid w:val="00D71482"/>
    <w:rsid w:val="00D717EC"/>
    <w:rsid w:val="00D71941"/>
    <w:rsid w:val="00D71B8C"/>
    <w:rsid w:val="00D71DB3"/>
    <w:rsid w:val="00D72659"/>
    <w:rsid w:val="00D729AB"/>
    <w:rsid w:val="00D72A50"/>
    <w:rsid w:val="00D72FA4"/>
    <w:rsid w:val="00D73576"/>
    <w:rsid w:val="00D73B26"/>
    <w:rsid w:val="00D74EFF"/>
    <w:rsid w:val="00D75282"/>
    <w:rsid w:val="00D753E1"/>
    <w:rsid w:val="00D7638F"/>
    <w:rsid w:val="00D7656A"/>
    <w:rsid w:val="00D766EB"/>
    <w:rsid w:val="00D76A30"/>
    <w:rsid w:val="00D76D78"/>
    <w:rsid w:val="00D7749B"/>
    <w:rsid w:val="00D77B0B"/>
    <w:rsid w:val="00D77D57"/>
    <w:rsid w:val="00D77F8D"/>
    <w:rsid w:val="00D80DC5"/>
    <w:rsid w:val="00D81A46"/>
    <w:rsid w:val="00D820C9"/>
    <w:rsid w:val="00D82644"/>
    <w:rsid w:val="00D82A57"/>
    <w:rsid w:val="00D8336A"/>
    <w:rsid w:val="00D833DE"/>
    <w:rsid w:val="00D83D38"/>
    <w:rsid w:val="00D83FB2"/>
    <w:rsid w:val="00D84DEE"/>
    <w:rsid w:val="00D8514B"/>
    <w:rsid w:val="00D851BD"/>
    <w:rsid w:val="00D8565C"/>
    <w:rsid w:val="00D858CA"/>
    <w:rsid w:val="00D86F06"/>
    <w:rsid w:val="00D870CC"/>
    <w:rsid w:val="00D87418"/>
    <w:rsid w:val="00D87500"/>
    <w:rsid w:val="00D875A0"/>
    <w:rsid w:val="00D87FE5"/>
    <w:rsid w:val="00D90BF4"/>
    <w:rsid w:val="00D90E9F"/>
    <w:rsid w:val="00D9134E"/>
    <w:rsid w:val="00D9212C"/>
    <w:rsid w:val="00D922F2"/>
    <w:rsid w:val="00D92398"/>
    <w:rsid w:val="00D92551"/>
    <w:rsid w:val="00D92C35"/>
    <w:rsid w:val="00D93364"/>
    <w:rsid w:val="00D93C0E"/>
    <w:rsid w:val="00D93F9C"/>
    <w:rsid w:val="00D945C5"/>
    <w:rsid w:val="00D948BB"/>
    <w:rsid w:val="00D95593"/>
    <w:rsid w:val="00D95631"/>
    <w:rsid w:val="00D95C66"/>
    <w:rsid w:val="00D96091"/>
    <w:rsid w:val="00D96106"/>
    <w:rsid w:val="00D9614F"/>
    <w:rsid w:val="00D964F1"/>
    <w:rsid w:val="00D97077"/>
    <w:rsid w:val="00D9719F"/>
    <w:rsid w:val="00D977AE"/>
    <w:rsid w:val="00D97A80"/>
    <w:rsid w:val="00D97C87"/>
    <w:rsid w:val="00D97D85"/>
    <w:rsid w:val="00D97DEB"/>
    <w:rsid w:val="00DA265A"/>
    <w:rsid w:val="00DA268A"/>
    <w:rsid w:val="00DA2FA4"/>
    <w:rsid w:val="00DA347D"/>
    <w:rsid w:val="00DA3AE6"/>
    <w:rsid w:val="00DA3D5D"/>
    <w:rsid w:val="00DA40CF"/>
    <w:rsid w:val="00DA4193"/>
    <w:rsid w:val="00DA4483"/>
    <w:rsid w:val="00DA5217"/>
    <w:rsid w:val="00DA554E"/>
    <w:rsid w:val="00DA65B3"/>
    <w:rsid w:val="00DA708A"/>
    <w:rsid w:val="00DB0441"/>
    <w:rsid w:val="00DB0635"/>
    <w:rsid w:val="00DB20B7"/>
    <w:rsid w:val="00DB26A6"/>
    <w:rsid w:val="00DB3F97"/>
    <w:rsid w:val="00DB47E0"/>
    <w:rsid w:val="00DB4845"/>
    <w:rsid w:val="00DB4855"/>
    <w:rsid w:val="00DB4934"/>
    <w:rsid w:val="00DB51F9"/>
    <w:rsid w:val="00DB5255"/>
    <w:rsid w:val="00DB60D3"/>
    <w:rsid w:val="00DB6230"/>
    <w:rsid w:val="00DB638A"/>
    <w:rsid w:val="00DB64D5"/>
    <w:rsid w:val="00DB6977"/>
    <w:rsid w:val="00DB701F"/>
    <w:rsid w:val="00DB76E3"/>
    <w:rsid w:val="00DB78A2"/>
    <w:rsid w:val="00DB7A4F"/>
    <w:rsid w:val="00DC0994"/>
    <w:rsid w:val="00DC0CA1"/>
    <w:rsid w:val="00DC189C"/>
    <w:rsid w:val="00DC1D1A"/>
    <w:rsid w:val="00DC1DDF"/>
    <w:rsid w:val="00DC1F05"/>
    <w:rsid w:val="00DC2011"/>
    <w:rsid w:val="00DC2A27"/>
    <w:rsid w:val="00DC2DF9"/>
    <w:rsid w:val="00DC3072"/>
    <w:rsid w:val="00DC3E65"/>
    <w:rsid w:val="00DC57CD"/>
    <w:rsid w:val="00DC5B33"/>
    <w:rsid w:val="00DC69CF"/>
    <w:rsid w:val="00DC6FC4"/>
    <w:rsid w:val="00DC79C1"/>
    <w:rsid w:val="00DC7FBB"/>
    <w:rsid w:val="00DD0CBA"/>
    <w:rsid w:val="00DD1A6E"/>
    <w:rsid w:val="00DD1A84"/>
    <w:rsid w:val="00DD1F63"/>
    <w:rsid w:val="00DD1FBB"/>
    <w:rsid w:val="00DD1FD2"/>
    <w:rsid w:val="00DD2176"/>
    <w:rsid w:val="00DD22AA"/>
    <w:rsid w:val="00DD29A9"/>
    <w:rsid w:val="00DD2AE4"/>
    <w:rsid w:val="00DD2BB5"/>
    <w:rsid w:val="00DD2F80"/>
    <w:rsid w:val="00DD338F"/>
    <w:rsid w:val="00DD33D3"/>
    <w:rsid w:val="00DD3A89"/>
    <w:rsid w:val="00DD3B12"/>
    <w:rsid w:val="00DD42D3"/>
    <w:rsid w:val="00DD4E64"/>
    <w:rsid w:val="00DD5B77"/>
    <w:rsid w:val="00DD61B2"/>
    <w:rsid w:val="00DD6360"/>
    <w:rsid w:val="00DD6CB0"/>
    <w:rsid w:val="00DD6F9C"/>
    <w:rsid w:val="00DD7578"/>
    <w:rsid w:val="00DD7763"/>
    <w:rsid w:val="00DD79E2"/>
    <w:rsid w:val="00DE05A1"/>
    <w:rsid w:val="00DE0825"/>
    <w:rsid w:val="00DE0929"/>
    <w:rsid w:val="00DE1520"/>
    <w:rsid w:val="00DE1740"/>
    <w:rsid w:val="00DE1F71"/>
    <w:rsid w:val="00DE2697"/>
    <w:rsid w:val="00DE2719"/>
    <w:rsid w:val="00DE29D4"/>
    <w:rsid w:val="00DE2FB4"/>
    <w:rsid w:val="00DE3699"/>
    <w:rsid w:val="00DE3B83"/>
    <w:rsid w:val="00DE4912"/>
    <w:rsid w:val="00DE4EB5"/>
    <w:rsid w:val="00DE5BE4"/>
    <w:rsid w:val="00DE71B4"/>
    <w:rsid w:val="00DE77C4"/>
    <w:rsid w:val="00DF0462"/>
    <w:rsid w:val="00DF07DF"/>
    <w:rsid w:val="00DF07F7"/>
    <w:rsid w:val="00DF09EB"/>
    <w:rsid w:val="00DF09FB"/>
    <w:rsid w:val="00DF0F95"/>
    <w:rsid w:val="00DF2A8E"/>
    <w:rsid w:val="00DF3202"/>
    <w:rsid w:val="00DF3F6D"/>
    <w:rsid w:val="00DF3F9A"/>
    <w:rsid w:val="00DF44A9"/>
    <w:rsid w:val="00DF4B03"/>
    <w:rsid w:val="00DF4B7A"/>
    <w:rsid w:val="00DF5199"/>
    <w:rsid w:val="00DF51CB"/>
    <w:rsid w:val="00DF57F1"/>
    <w:rsid w:val="00DF59C9"/>
    <w:rsid w:val="00DF5A4E"/>
    <w:rsid w:val="00DF5BCF"/>
    <w:rsid w:val="00DF6975"/>
    <w:rsid w:val="00DF6A28"/>
    <w:rsid w:val="00DF7679"/>
    <w:rsid w:val="00DF7847"/>
    <w:rsid w:val="00DF788D"/>
    <w:rsid w:val="00E01950"/>
    <w:rsid w:val="00E026AF"/>
    <w:rsid w:val="00E02F28"/>
    <w:rsid w:val="00E03268"/>
    <w:rsid w:val="00E047D7"/>
    <w:rsid w:val="00E04D6E"/>
    <w:rsid w:val="00E0568D"/>
    <w:rsid w:val="00E0584F"/>
    <w:rsid w:val="00E0598A"/>
    <w:rsid w:val="00E05BEE"/>
    <w:rsid w:val="00E05E66"/>
    <w:rsid w:val="00E06370"/>
    <w:rsid w:val="00E07387"/>
    <w:rsid w:val="00E073B5"/>
    <w:rsid w:val="00E07BF0"/>
    <w:rsid w:val="00E10486"/>
    <w:rsid w:val="00E10B44"/>
    <w:rsid w:val="00E10CAE"/>
    <w:rsid w:val="00E112CB"/>
    <w:rsid w:val="00E11C66"/>
    <w:rsid w:val="00E11C69"/>
    <w:rsid w:val="00E1265C"/>
    <w:rsid w:val="00E12C30"/>
    <w:rsid w:val="00E14296"/>
    <w:rsid w:val="00E151DE"/>
    <w:rsid w:val="00E15D8E"/>
    <w:rsid w:val="00E15F35"/>
    <w:rsid w:val="00E16805"/>
    <w:rsid w:val="00E16A91"/>
    <w:rsid w:val="00E16E34"/>
    <w:rsid w:val="00E171B8"/>
    <w:rsid w:val="00E17321"/>
    <w:rsid w:val="00E1739A"/>
    <w:rsid w:val="00E17627"/>
    <w:rsid w:val="00E17872"/>
    <w:rsid w:val="00E20561"/>
    <w:rsid w:val="00E20609"/>
    <w:rsid w:val="00E20653"/>
    <w:rsid w:val="00E206CC"/>
    <w:rsid w:val="00E206EA"/>
    <w:rsid w:val="00E207FA"/>
    <w:rsid w:val="00E21E0D"/>
    <w:rsid w:val="00E223B2"/>
    <w:rsid w:val="00E22934"/>
    <w:rsid w:val="00E22C55"/>
    <w:rsid w:val="00E23041"/>
    <w:rsid w:val="00E23BEC"/>
    <w:rsid w:val="00E2405A"/>
    <w:rsid w:val="00E240CA"/>
    <w:rsid w:val="00E24A07"/>
    <w:rsid w:val="00E24B30"/>
    <w:rsid w:val="00E24E62"/>
    <w:rsid w:val="00E253E8"/>
    <w:rsid w:val="00E25B71"/>
    <w:rsid w:val="00E26318"/>
    <w:rsid w:val="00E2684D"/>
    <w:rsid w:val="00E268E6"/>
    <w:rsid w:val="00E26CFF"/>
    <w:rsid w:val="00E270F6"/>
    <w:rsid w:val="00E274A9"/>
    <w:rsid w:val="00E27AEF"/>
    <w:rsid w:val="00E27DC6"/>
    <w:rsid w:val="00E300FC"/>
    <w:rsid w:val="00E307EF"/>
    <w:rsid w:val="00E3096B"/>
    <w:rsid w:val="00E30B68"/>
    <w:rsid w:val="00E315FE"/>
    <w:rsid w:val="00E31C18"/>
    <w:rsid w:val="00E32202"/>
    <w:rsid w:val="00E32559"/>
    <w:rsid w:val="00E327B5"/>
    <w:rsid w:val="00E32EBE"/>
    <w:rsid w:val="00E3346A"/>
    <w:rsid w:val="00E33611"/>
    <w:rsid w:val="00E33843"/>
    <w:rsid w:val="00E3388C"/>
    <w:rsid w:val="00E343B6"/>
    <w:rsid w:val="00E35613"/>
    <w:rsid w:val="00E35B2E"/>
    <w:rsid w:val="00E36B5B"/>
    <w:rsid w:val="00E36BB6"/>
    <w:rsid w:val="00E36D81"/>
    <w:rsid w:val="00E373E0"/>
    <w:rsid w:val="00E37489"/>
    <w:rsid w:val="00E37CF9"/>
    <w:rsid w:val="00E37F1C"/>
    <w:rsid w:val="00E40384"/>
    <w:rsid w:val="00E40C21"/>
    <w:rsid w:val="00E41427"/>
    <w:rsid w:val="00E4150B"/>
    <w:rsid w:val="00E423D8"/>
    <w:rsid w:val="00E42582"/>
    <w:rsid w:val="00E4312B"/>
    <w:rsid w:val="00E4367F"/>
    <w:rsid w:val="00E43BA8"/>
    <w:rsid w:val="00E445C1"/>
    <w:rsid w:val="00E4490B"/>
    <w:rsid w:val="00E44B61"/>
    <w:rsid w:val="00E44C05"/>
    <w:rsid w:val="00E4522A"/>
    <w:rsid w:val="00E4594C"/>
    <w:rsid w:val="00E47721"/>
    <w:rsid w:val="00E478F8"/>
    <w:rsid w:val="00E47B32"/>
    <w:rsid w:val="00E47E15"/>
    <w:rsid w:val="00E47FF7"/>
    <w:rsid w:val="00E512E4"/>
    <w:rsid w:val="00E51E7A"/>
    <w:rsid w:val="00E52C75"/>
    <w:rsid w:val="00E536DE"/>
    <w:rsid w:val="00E53C1F"/>
    <w:rsid w:val="00E53F00"/>
    <w:rsid w:val="00E5436D"/>
    <w:rsid w:val="00E54AF2"/>
    <w:rsid w:val="00E55476"/>
    <w:rsid w:val="00E5626D"/>
    <w:rsid w:val="00E564B9"/>
    <w:rsid w:val="00E569A7"/>
    <w:rsid w:val="00E57513"/>
    <w:rsid w:val="00E57D34"/>
    <w:rsid w:val="00E614DC"/>
    <w:rsid w:val="00E61E91"/>
    <w:rsid w:val="00E620E3"/>
    <w:rsid w:val="00E622A0"/>
    <w:rsid w:val="00E62417"/>
    <w:rsid w:val="00E626B8"/>
    <w:rsid w:val="00E6275F"/>
    <w:rsid w:val="00E62DDF"/>
    <w:rsid w:val="00E62F11"/>
    <w:rsid w:val="00E63F64"/>
    <w:rsid w:val="00E6484D"/>
    <w:rsid w:val="00E64A8A"/>
    <w:rsid w:val="00E64FF4"/>
    <w:rsid w:val="00E64FFE"/>
    <w:rsid w:val="00E6520E"/>
    <w:rsid w:val="00E65AD4"/>
    <w:rsid w:val="00E65AF8"/>
    <w:rsid w:val="00E66470"/>
    <w:rsid w:val="00E66B47"/>
    <w:rsid w:val="00E66CCF"/>
    <w:rsid w:val="00E66E53"/>
    <w:rsid w:val="00E67DF4"/>
    <w:rsid w:val="00E67F62"/>
    <w:rsid w:val="00E70144"/>
    <w:rsid w:val="00E702AC"/>
    <w:rsid w:val="00E70440"/>
    <w:rsid w:val="00E705B1"/>
    <w:rsid w:val="00E70871"/>
    <w:rsid w:val="00E70997"/>
    <w:rsid w:val="00E70BF5"/>
    <w:rsid w:val="00E70E7E"/>
    <w:rsid w:val="00E71574"/>
    <w:rsid w:val="00E71DC0"/>
    <w:rsid w:val="00E71EAE"/>
    <w:rsid w:val="00E73466"/>
    <w:rsid w:val="00E73648"/>
    <w:rsid w:val="00E73F71"/>
    <w:rsid w:val="00E74695"/>
    <w:rsid w:val="00E7571E"/>
    <w:rsid w:val="00E76DDE"/>
    <w:rsid w:val="00E77084"/>
    <w:rsid w:val="00E7765B"/>
    <w:rsid w:val="00E776BF"/>
    <w:rsid w:val="00E776F0"/>
    <w:rsid w:val="00E80061"/>
    <w:rsid w:val="00E800C5"/>
    <w:rsid w:val="00E8083A"/>
    <w:rsid w:val="00E8089F"/>
    <w:rsid w:val="00E8107A"/>
    <w:rsid w:val="00E813F3"/>
    <w:rsid w:val="00E819E2"/>
    <w:rsid w:val="00E81C63"/>
    <w:rsid w:val="00E81DC8"/>
    <w:rsid w:val="00E81DD4"/>
    <w:rsid w:val="00E82846"/>
    <w:rsid w:val="00E8309D"/>
    <w:rsid w:val="00E83364"/>
    <w:rsid w:val="00E835E9"/>
    <w:rsid w:val="00E8383D"/>
    <w:rsid w:val="00E83FE3"/>
    <w:rsid w:val="00E8439F"/>
    <w:rsid w:val="00E848A5"/>
    <w:rsid w:val="00E8512E"/>
    <w:rsid w:val="00E854ED"/>
    <w:rsid w:val="00E85E92"/>
    <w:rsid w:val="00E863F3"/>
    <w:rsid w:val="00E86FA7"/>
    <w:rsid w:val="00E87C75"/>
    <w:rsid w:val="00E9067A"/>
    <w:rsid w:val="00E90E07"/>
    <w:rsid w:val="00E914EA"/>
    <w:rsid w:val="00E91A82"/>
    <w:rsid w:val="00E91F11"/>
    <w:rsid w:val="00E92359"/>
    <w:rsid w:val="00E930E0"/>
    <w:rsid w:val="00E935E2"/>
    <w:rsid w:val="00E93C85"/>
    <w:rsid w:val="00E93FBF"/>
    <w:rsid w:val="00E94062"/>
    <w:rsid w:val="00E941EA"/>
    <w:rsid w:val="00E9427B"/>
    <w:rsid w:val="00E94DFE"/>
    <w:rsid w:val="00E95B2D"/>
    <w:rsid w:val="00E9637D"/>
    <w:rsid w:val="00E96E8E"/>
    <w:rsid w:val="00E972EA"/>
    <w:rsid w:val="00EA10C8"/>
    <w:rsid w:val="00EA18AF"/>
    <w:rsid w:val="00EA1D1C"/>
    <w:rsid w:val="00EA4441"/>
    <w:rsid w:val="00EA4766"/>
    <w:rsid w:val="00EA4BB2"/>
    <w:rsid w:val="00EA4DCD"/>
    <w:rsid w:val="00EA4E24"/>
    <w:rsid w:val="00EA4FC4"/>
    <w:rsid w:val="00EA53D7"/>
    <w:rsid w:val="00EA61D2"/>
    <w:rsid w:val="00EA687C"/>
    <w:rsid w:val="00EA695C"/>
    <w:rsid w:val="00EA6BBF"/>
    <w:rsid w:val="00EA76D1"/>
    <w:rsid w:val="00EB06C9"/>
    <w:rsid w:val="00EB0F72"/>
    <w:rsid w:val="00EB10BD"/>
    <w:rsid w:val="00EB2479"/>
    <w:rsid w:val="00EB2991"/>
    <w:rsid w:val="00EB2BF5"/>
    <w:rsid w:val="00EB3C1C"/>
    <w:rsid w:val="00EB3C7D"/>
    <w:rsid w:val="00EB4186"/>
    <w:rsid w:val="00EB4460"/>
    <w:rsid w:val="00EB4598"/>
    <w:rsid w:val="00EB4964"/>
    <w:rsid w:val="00EB5BF8"/>
    <w:rsid w:val="00EB7292"/>
    <w:rsid w:val="00EB73FD"/>
    <w:rsid w:val="00EC0366"/>
    <w:rsid w:val="00EC09CA"/>
    <w:rsid w:val="00EC13C9"/>
    <w:rsid w:val="00EC1FB4"/>
    <w:rsid w:val="00EC24C2"/>
    <w:rsid w:val="00EC2762"/>
    <w:rsid w:val="00EC2AA1"/>
    <w:rsid w:val="00EC3093"/>
    <w:rsid w:val="00EC38D7"/>
    <w:rsid w:val="00EC3CA5"/>
    <w:rsid w:val="00EC5088"/>
    <w:rsid w:val="00EC58AF"/>
    <w:rsid w:val="00EC6192"/>
    <w:rsid w:val="00EC61BC"/>
    <w:rsid w:val="00EC6A5B"/>
    <w:rsid w:val="00EC6C32"/>
    <w:rsid w:val="00EC6D2A"/>
    <w:rsid w:val="00EC6F00"/>
    <w:rsid w:val="00EC7681"/>
    <w:rsid w:val="00EC76FB"/>
    <w:rsid w:val="00EC795E"/>
    <w:rsid w:val="00EC7B96"/>
    <w:rsid w:val="00EC7F1E"/>
    <w:rsid w:val="00ED0587"/>
    <w:rsid w:val="00ED05A3"/>
    <w:rsid w:val="00ED0D78"/>
    <w:rsid w:val="00ED2438"/>
    <w:rsid w:val="00ED2F3C"/>
    <w:rsid w:val="00ED2F99"/>
    <w:rsid w:val="00ED2FF5"/>
    <w:rsid w:val="00ED32E6"/>
    <w:rsid w:val="00ED3E30"/>
    <w:rsid w:val="00ED4CBE"/>
    <w:rsid w:val="00ED4F33"/>
    <w:rsid w:val="00ED5C0C"/>
    <w:rsid w:val="00ED6453"/>
    <w:rsid w:val="00ED6837"/>
    <w:rsid w:val="00EE0C81"/>
    <w:rsid w:val="00EE0FDE"/>
    <w:rsid w:val="00EE16D9"/>
    <w:rsid w:val="00EE26D4"/>
    <w:rsid w:val="00EE2F3E"/>
    <w:rsid w:val="00EE34E3"/>
    <w:rsid w:val="00EE3D38"/>
    <w:rsid w:val="00EE43F0"/>
    <w:rsid w:val="00EE4F7A"/>
    <w:rsid w:val="00EE5B52"/>
    <w:rsid w:val="00EE5B9D"/>
    <w:rsid w:val="00EE6CF4"/>
    <w:rsid w:val="00EF0A5B"/>
    <w:rsid w:val="00EF1D04"/>
    <w:rsid w:val="00EF220B"/>
    <w:rsid w:val="00EF24DE"/>
    <w:rsid w:val="00EF2E20"/>
    <w:rsid w:val="00EF3036"/>
    <w:rsid w:val="00EF3C6C"/>
    <w:rsid w:val="00EF3EC0"/>
    <w:rsid w:val="00EF47D9"/>
    <w:rsid w:val="00EF4A5D"/>
    <w:rsid w:val="00EF4D02"/>
    <w:rsid w:val="00EF5428"/>
    <w:rsid w:val="00EF608D"/>
    <w:rsid w:val="00EF644F"/>
    <w:rsid w:val="00EF645A"/>
    <w:rsid w:val="00EF6B1E"/>
    <w:rsid w:val="00EF778D"/>
    <w:rsid w:val="00EF7ABB"/>
    <w:rsid w:val="00EF7B22"/>
    <w:rsid w:val="00EF7FF8"/>
    <w:rsid w:val="00F003FE"/>
    <w:rsid w:val="00F00B34"/>
    <w:rsid w:val="00F00DF2"/>
    <w:rsid w:val="00F010D3"/>
    <w:rsid w:val="00F01AB6"/>
    <w:rsid w:val="00F01B7C"/>
    <w:rsid w:val="00F01D7A"/>
    <w:rsid w:val="00F0214B"/>
    <w:rsid w:val="00F021F2"/>
    <w:rsid w:val="00F02C2D"/>
    <w:rsid w:val="00F03330"/>
    <w:rsid w:val="00F034A5"/>
    <w:rsid w:val="00F03E86"/>
    <w:rsid w:val="00F04718"/>
    <w:rsid w:val="00F04BD9"/>
    <w:rsid w:val="00F05327"/>
    <w:rsid w:val="00F07CEB"/>
    <w:rsid w:val="00F07DFB"/>
    <w:rsid w:val="00F10243"/>
    <w:rsid w:val="00F10338"/>
    <w:rsid w:val="00F10390"/>
    <w:rsid w:val="00F10B10"/>
    <w:rsid w:val="00F1105F"/>
    <w:rsid w:val="00F116E5"/>
    <w:rsid w:val="00F118EA"/>
    <w:rsid w:val="00F119CD"/>
    <w:rsid w:val="00F11A2F"/>
    <w:rsid w:val="00F11F0A"/>
    <w:rsid w:val="00F126A8"/>
    <w:rsid w:val="00F13397"/>
    <w:rsid w:val="00F13889"/>
    <w:rsid w:val="00F13A76"/>
    <w:rsid w:val="00F14949"/>
    <w:rsid w:val="00F1512C"/>
    <w:rsid w:val="00F15583"/>
    <w:rsid w:val="00F159B3"/>
    <w:rsid w:val="00F15EE2"/>
    <w:rsid w:val="00F15F48"/>
    <w:rsid w:val="00F16218"/>
    <w:rsid w:val="00F162CB"/>
    <w:rsid w:val="00F16400"/>
    <w:rsid w:val="00F16738"/>
    <w:rsid w:val="00F16C29"/>
    <w:rsid w:val="00F1731D"/>
    <w:rsid w:val="00F173AF"/>
    <w:rsid w:val="00F17610"/>
    <w:rsid w:val="00F17727"/>
    <w:rsid w:val="00F200C2"/>
    <w:rsid w:val="00F20432"/>
    <w:rsid w:val="00F2047D"/>
    <w:rsid w:val="00F2105F"/>
    <w:rsid w:val="00F227EF"/>
    <w:rsid w:val="00F22B5A"/>
    <w:rsid w:val="00F22B9A"/>
    <w:rsid w:val="00F22EE2"/>
    <w:rsid w:val="00F23158"/>
    <w:rsid w:val="00F239AC"/>
    <w:rsid w:val="00F23D25"/>
    <w:rsid w:val="00F2455E"/>
    <w:rsid w:val="00F25234"/>
    <w:rsid w:val="00F259B2"/>
    <w:rsid w:val="00F25C23"/>
    <w:rsid w:val="00F25F32"/>
    <w:rsid w:val="00F26502"/>
    <w:rsid w:val="00F267A1"/>
    <w:rsid w:val="00F26C71"/>
    <w:rsid w:val="00F26EDC"/>
    <w:rsid w:val="00F26F75"/>
    <w:rsid w:val="00F27650"/>
    <w:rsid w:val="00F27CB8"/>
    <w:rsid w:val="00F27EF1"/>
    <w:rsid w:val="00F30077"/>
    <w:rsid w:val="00F306B2"/>
    <w:rsid w:val="00F3077E"/>
    <w:rsid w:val="00F30AD8"/>
    <w:rsid w:val="00F315D7"/>
    <w:rsid w:val="00F3240E"/>
    <w:rsid w:val="00F32420"/>
    <w:rsid w:val="00F32A77"/>
    <w:rsid w:val="00F32FBD"/>
    <w:rsid w:val="00F3346F"/>
    <w:rsid w:val="00F33687"/>
    <w:rsid w:val="00F34032"/>
    <w:rsid w:val="00F3451E"/>
    <w:rsid w:val="00F34DA2"/>
    <w:rsid w:val="00F35B0C"/>
    <w:rsid w:val="00F35C43"/>
    <w:rsid w:val="00F35D0E"/>
    <w:rsid w:val="00F35ECC"/>
    <w:rsid w:val="00F360F5"/>
    <w:rsid w:val="00F363A1"/>
    <w:rsid w:val="00F36AA9"/>
    <w:rsid w:val="00F37F8B"/>
    <w:rsid w:val="00F40013"/>
    <w:rsid w:val="00F4011B"/>
    <w:rsid w:val="00F418A0"/>
    <w:rsid w:val="00F4221A"/>
    <w:rsid w:val="00F42298"/>
    <w:rsid w:val="00F423CD"/>
    <w:rsid w:val="00F423EB"/>
    <w:rsid w:val="00F42EC9"/>
    <w:rsid w:val="00F436A6"/>
    <w:rsid w:val="00F43A45"/>
    <w:rsid w:val="00F43EBE"/>
    <w:rsid w:val="00F44088"/>
    <w:rsid w:val="00F4444C"/>
    <w:rsid w:val="00F44B73"/>
    <w:rsid w:val="00F4509E"/>
    <w:rsid w:val="00F455A8"/>
    <w:rsid w:val="00F4596C"/>
    <w:rsid w:val="00F45C1C"/>
    <w:rsid w:val="00F45C7D"/>
    <w:rsid w:val="00F46FC9"/>
    <w:rsid w:val="00F4776C"/>
    <w:rsid w:val="00F47851"/>
    <w:rsid w:val="00F4792E"/>
    <w:rsid w:val="00F47CF2"/>
    <w:rsid w:val="00F50062"/>
    <w:rsid w:val="00F50311"/>
    <w:rsid w:val="00F5096C"/>
    <w:rsid w:val="00F50C15"/>
    <w:rsid w:val="00F51297"/>
    <w:rsid w:val="00F518D6"/>
    <w:rsid w:val="00F51A8F"/>
    <w:rsid w:val="00F51C4B"/>
    <w:rsid w:val="00F52039"/>
    <w:rsid w:val="00F526A2"/>
    <w:rsid w:val="00F52923"/>
    <w:rsid w:val="00F52997"/>
    <w:rsid w:val="00F53385"/>
    <w:rsid w:val="00F538AD"/>
    <w:rsid w:val="00F54393"/>
    <w:rsid w:val="00F54C7F"/>
    <w:rsid w:val="00F5532E"/>
    <w:rsid w:val="00F55368"/>
    <w:rsid w:val="00F5595C"/>
    <w:rsid w:val="00F5659D"/>
    <w:rsid w:val="00F566D6"/>
    <w:rsid w:val="00F5761C"/>
    <w:rsid w:val="00F601AE"/>
    <w:rsid w:val="00F6038F"/>
    <w:rsid w:val="00F603F8"/>
    <w:rsid w:val="00F604AE"/>
    <w:rsid w:val="00F6092E"/>
    <w:rsid w:val="00F60D24"/>
    <w:rsid w:val="00F60D9E"/>
    <w:rsid w:val="00F61ADC"/>
    <w:rsid w:val="00F61CEF"/>
    <w:rsid w:val="00F621DB"/>
    <w:rsid w:val="00F62351"/>
    <w:rsid w:val="00F623D0"/>
    <w:rsid w:val="00F6280F"/>
    <w:rsid w:val="00F62DE2"/>
    <w:rsid w:val="00F62DEF"/>
    <w:rsid w:val="00F63980"/>
    <w:rsid w:val="00F63BB4"/>
    <w:rsid w:val="00F63DD8"/>
    <w:rsid w:val="00F63DF8"/>
    <w:rsid w:val="00F6511F"/>
    <w:rsid w:val="00F6545B"/>
    <w:rsid w:val="00F6552B"/>
    <w:rsid w:val="00F6576E"/>
    <w:rsid w:val="00F66536"/>
    <w:rsid w:val="00F66833"/>
    <w:rsid w:val="00F679F8"/>
    <w:rsid w:val="00F67CCC"/>
    <w:rsid w:val="00F67E31"/>
    <w:rsid w:val="00F67F8C"/>
    <w:rsid w:val="00F7012D"/>
    <w:rsid w:val="00F705E5"/>
    <w:rsid w:val="00F71133"/>
    <w:rsid w:val="00F711B9"/>
    <w:rsid w:val="00F716CA"/>
    <w:rsid w:val="00F716CE"/>
    <w:rsid w:val="00F72ACD"/>
    <w:rsid w:val="00F72B78"/>
    <w:rsid w:val="00F72DB3"/>
    <w:rsid w:val="00F73829"/>
    <w:rsid w:val="00F73A98"/>
    <w:rsid w:val="00F7463C"/>
    <w:rsid w:val="00F74DB0"/>
    <w:rsid w:val="00F75DC7"/>
    <w:rsid w:val="00F763D5"/>
    <w:rsid w:val="00F768D1"/>
    <w:rsid w:val="00F76DE6"/>
    <w:rsid w:val="00F77309"/>
    <w:rsid w:val="00F80341"/>
    <w:rsid w:val="00F80AAE"/>
    <w:rsid w:val="00F81586"/>
    <w:rsid w:val="00F81E6B"/>
    <w:rsid w:val="00F82BBC"/>
    <w:rsid w:val="00F82CF3"/>
    <w:rsid w:val="00F844BA"/>
    <w:rsid w:val="00F84B2E"/>
    <w:rsid w:val="00F84B46"/>
    <w:rsid w:val="00F84F9E"/>
    <w:rsid w:val="00F85642"/>
    <w:rsid w:val="00F876B9"/>
    <w:rsid w:val="00F90587"/>
    <w:rsid w:val="00F905B8"/>
    <w:rsid w:val="00F910F1"/>
    <w:rsid w:val="00F91F6A"/>
    <w:rsid w:val="00F930D0"/>
    <w:rsid w:val="00F9348E"/>
    <w:rsid w:val="00F9447E"/>
    <w:rsid w:val="00F94BB7"/>
    <w:rsid w:val="00F94D8B"/>
    <w:rsid w:val="00F94D95"/>
    <w:rsid w:val="00F950BF"/>
    <w:rsid w:val="00F9563C"/>
    <w:rsid w:val="00F9610C"/>
    <w:rsid w:val="00F9656F"/>
    <w:rsid w:val="00F96620"/>
    <w:rsid w:val="00F96A4B"/>
    <w:rsid w:val="00F971A2"/>
    <w:rsid w:val="00F97335"/>
    <w:rsid w:val="00F974B7"/>
    <w:rsid w:val="00F9787B"/>
    <w:rsid w:val="00F979B4"/>
    <w:rsid w:val="00FA0085"/>
    <w:rsid w:val="00FA0DA0"/>
    <w:rsid w:val="00FA0E5E"/>
    <w:rsid w:val="00FA10D7"/>
    <w:rsid w:val="00FA19D6"/>
    <w:rsid w:val="00FA1EC6"/>
    <w:rsid w:val="00FA2001"/>
    <w:rsid w:val="00FA2643"/>
    <w:rsid w:val="00FA2B52"/>
    <w:rsid w:val="00FA3814"/>
    <w:rsid w:val="00FA4403"/>
    <w:rsid w:val="00FA46CC"/>
    <w:rsid w:val="00FA5197"/>
    <w:rsid w:val="00FA56B0"/>
    <w:rsid w:val="00FA56ED"/>
    <w:rsid w:val="00FA57D6"/>
    <w:rsid w:val="00FA6398"/>
    <w:rsid w:val="00FA6890"/>
    <w:rsid w:val="00FA727E"/>
    <w:rsid w:val="00FA74A7"/>
    <w:rsid w:val="00FB002B"/>
    <w:rsid w:val="00FB0082"/>
    <w:rsid w:val="00FB07A1"/>
    <w:rsid w:val="00FB0813"/>
    <w:rsid w:val="00FB0AC2"/>
    <w:rsid w:val="00FB0DA3"/>
    <w:rsid w:val="00FB158E"/>
    <w:rsid w:val="00FB1AF9"/>
    <w:rsid w:val="00FB1DC0"/>
    <w:rsid w:val="00FB2AD0"/>
    <w:rsid w:val="00FB2DDE"/>
    <w:rsid w:val="00FB37C5"/>
    <w:rsid w:val="00FB3887"/>
    <w:rsid w:val="00FB3AFC"/>
    <w:rsid w:val="00FB4C0E"/>
    <w:rsid w:val="00FB4E59"/>
    <w:rsid w:val="00FB500D"/>
    <w:rsid w:val="00FB54BF"/>
    <w:rsid w:val="00FB6ECB"/>
    <w:rsid w:val="00FB7256"/>
    <w:rsid w:val="00FB7619"/>
    <w:rsid w:val="00FB7B6D"/>
    <w:rsid w:val="00FC00A3"/>
    <w:rsid w:val="00FC0472"/>
    <w:rsid w:val="00FC060E"/>
    <w:rsid w:val="00FC069B"/>
    <w:rsid w:val="00FC185C"/>
    <w:rsid w:val="00FC3263"/>
    <w:rsid w:val="00FC3A8F"/>
    <w:rsid w:val="00FC43BB"/>
    <w:rsid w:val="00FC5301"/>
    <w:rsid w:val="00FC5334"/>
    <w:rsid w:val="00FC585E"/>
    <w:rsid w:val="00FC5933"/>
    <w:rsid w:val="00FC5A1A"/>
    <w:rsid w:val="00FC5A2F"/>
    <w:rsid w:val="00FC5A45"/>
    <w:rsid w:val="00FC68B7"/>
    <w:rsid w:val="00FC6C0A"/>
    <w:rsid w:val="00FC6C35"/>
    <w:rsid w:val="00FC6E37"/>
    <w:rsid w:val="00FC7D4A"/>
    <w:rsid w:val="00FD0247"/>
    <w:rsid w:val="00FD027D"/>
    <w:rsid w:val="00FD071A"/>
    <w:rsid w:val="00FD0B7C"/>
    <w:rsid w:val="00FD0F87"/>
    <w:rsid w:val="00FD11DD"/>
    <w:rsid w:val="00FD1673"/>
    <w:rsid w:val="00FD1D1C"/>
    <w:rsid w:val="00FD1E6B"/>
    <w:rsid w:val="00FD1EB7"/>
    <w:rsid w:val="00FD2329"/>
    <w:rsid w:val="00FD25C5"/>
    <w:rsid w:val="00FD32D4"/>
    <w:rsid w:val="00FD3713"/>
    <w:rsid w:val="00FD3A5D"/>
    <w:rsid w:val="00FD3EFB"/>
    <w:rsid w:val="00FD4305"/>
    <w:rsid w:val="00FD4687"/>
    <w:rsid w:val="00FD4E9A"/>
    <w:rsid w:val="00FD629E"/>
    <w:rsid w:val="00FD6FDA"/>
    <w:rsid w:val="00FD7665"/>
    <w:rsid w:val="00FD7CD9"/>
    <w:rsid w:val="00FE0208"/>
    <w:rsid w:val="00FE0679"/>
    <w:rsid w:val="00FE0DA4"/>
    <w:rsid w:val="00FE1125"/>
    <w:rsid w:val="00FE13EF"/>
    <w:rsid w:val="00FE14F8"/>
    <w:rsid w:val="00FE1527"/>
    <w:rsid w:val="00FE1929"/>
    <w:rsid w:val="00FE20C0"/>
    <w:rsid w:val="00FE2305"/>
    <w:rsid w:val="00FE295D"/>
    <w:rsid w:val="00FE2C80"/>
    <w:rsid w:val="00FE2CF0"/>
    <w:rsid w:val="00FE3173"/>
    <w:rsid w:val="00FE342C"/>
    <w:rsid w:val="00FE3E9F"/>
    <w:rsid w:val="00FE3FAF"/>
    <w:rsid w:val="00FE4333"/>
    <w:rsid w:val="00FE43B9"/>
    <w:rsid w:val="00FE4619"/>
    <w:rsid w:val="00FE47D3"/>
    <w:rsid w:val="00FE47FD"/>
    <w:rsid w:val="00FE4A00"/>
    <w:rsid w:val="00FE4C0E"/>
    <w:rsid w:val="00FE5366"/>
    <w:rsid w:val="00FE53BB"/>
    <w:rsid w:val="00FE5720"/>
    <w:rsid w:val="00FE5A89"/>
    <w:rsid w:val="00FE5C8E"/>
    <w:rsid w:val="00FE5CEA"/>
    <w:rsid w:val="00FE62FE"/>
    <w:rsid w:val="00FE6328"/>
    <w:rsid w:val="00FE7CB2"/>
    <w:rsid w:val="00FE7FE6"/>
    <w:rsid w:val="00FF018D"/>
    <w:rsid w:val="00FF02A4"/>
    <w:rsid w:val="00FF0F53"/>
    <w:rsid w:val="00FF113F"/>
    <w:rsid w:val="00FF1B94"/>
    <w:rsid w:val="00FF2953"/>
    <w:rsid w:val="00FF2B2F"/>
    <w:rsid w:val="00FF343D"/>
    <w:rsid w:val="00FF4752"/>
    <w:rsid w:val="00FF5C00"/>
    <w:rsid w:val="00FF5F35"/>
    <w:rsid w:val="00FF61FA"/>
    <w:rsid w:val="00FF75D2"/>
    <w:rsid w:val="00FF7E33"/>
    <w:rsid w:val="0170F866"/>
    <w:rsid w:val="0A948FC5"/>
    <w:rsid w:val="0AD460BE"/>
    <w:rsid w:val="0B3729BA"/>
    <w:rsid w:val="0E5A0FC4"/>
    <w:rsid w:val="0ED1F47D"/>
    <w:rsid w:val="12187EBF"/>
    <w:rsid w:val="135308BA"/>
    <w:rsid w:val="1685D33C"/>
    <w:rsid w:val="1C2E5BA3"/>
    <w:rsid w:val="1CCD00D2"/>
    <w:rsid w:val="1D0806E5"/>
    <w:rsid w:val="1D1A853C"/>
    <w:rsid w:val="23ED540F"/>
    <w:rsid w:val="242EF549"/>
    <w:rsid w:val="25A3F308"/>
    <w:rsid w:val="29C1CCD8"/>
    <w:rsid w:val="2C50D080"/>
    <w:rsid w:val="2DC7E8BE"/>
    <w:rsid w:val="2E8B9FFD"/>
    <w:rsid w:val="31130611"/>
    <w:rsid w:val="314B98B3"/>
    <w:rsid w:val="380A5E9A"/>
    <w:rsid w:val="39A92FE6"/>
    <w:rsid w:val="3A97D8F7"/>
    <w:rsid w:val="3D2D9BA4"/>
    <w:rsid w:val="3E6AB20B"/>
    <w:rsid w:val="3F15EB33"/>
    <w:rsid w:val="40D10A3F"/>
    <w:rsid w:val="40FD365E"/>
    <w:rsid w:val="42499D03"/>
    <w:rsid w:val="448A8514"/>
    <w:rsid w:val="46B91BA2"/>
    <w:rsid w:val="495B32CF"/>
    <w:rsid w:val="4C4E1B22"/>
    <w:rsid w:val="4E0EBAFB"/>
    <w:rsid w:val="50F91B05"/>
    <w:rsid w:val="54184E02"/>
    <w:rsid w:val="57E416D3"/>
    <w:rsid w:val="5BD89E84"/>
    <w:rsid w:val="61E3BDF2"/>
    <w:rsid w:val="63ECBF9C"/>
    <w:rsid w:val="657AA534"/>
    <w:rsid w:val="685288AB"/>
    <w:rsid w:val="6899A6A4"/>
    <w:rsid w:val="6F9CF6AF"/>
    <w:rsid w:val="7331D734"/>
    <w:rsid w:val="75CC944A"/>
    <w:rsid w:val="771F9B23"/>
    <w:rsid w:val="7842F5C2"/>
    <w:rsid w:val="79F58951"/>
    <w:rsid w:val="7B7DC629"/>
    <w:rsid w:val="7E8F5099"/>
    <w:rsid w:val="7F88D67F"/>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52B3A"/>
  <w15:chartTrackingRefBased/>
  <w15:docId w15:val="{65BD7592-EB69-45C4-AFA1-CF1BF5D9D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849"/>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qFormat/>
    <w:rsid w:val="00804D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autoRedefine/>
    <w:uiPriority w:val="9"/>
    <w:unhideWhenUsed/>
    <w:qFormat/>
    <w:rsid w:val="002424B0"/>
    <w:pPr>
      <w:keepNext/>
      <w:keepLines/>
      <w:spacing w:before="40" w:line="360" w:lineRule="auto"/>
      <w:jc w:val="both"/>
      <w:outlineLvl w:val="1"/>
    </w:pPr>
    <w:rPr>
      <w:rFonts w:asciiTheme="majorHAnsi" w:eastAsiaTheme="majorEastAsia" w:hAnsiTheme="majorHAnsi" w:cstheme="majorBidi"/>
      <w:b/>
      <w:bCs/>
      <w:color w:val="2F5496" w:themeColor="accent1" w:themeShade="BF"/>
      <w:sz w:val="32"/>
      <w:szCs w:val="26"/>
    </w:rPr>
  </w:style>
  <w:style w:type="paragraph" w:styleId="Ttulo3">
    <w:name w:val="heading 3"/>
    <w:basedOn w:val="Normal"/>
    <w:next w:val="Normal"/>
    <w:link w:val="Ttulo3Char"/>
    <w:uiPriority w:val="9"/>
    <w:semiHidden/>
    <w:unhideWhenUsed/>
    <w:qFormat/>
    <w:rsid w:val="00AD4339"/>
    <w:pPr>
      <w:keepNext/>
      <w:keepLines/>
      <w:spacing w:before="4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CabealhoChar">
    <w:name w:val="Cabeçalho Char"/>
    <w:basedOn w:val="Fontepargpadro"/>
    <w:link w:val="Cabealho"/>
    <w:uiPriority w:val="99"/>
    <w:rsid w:val="00E1739A"/>
  </w:style>
  <w:style w:type="paragraph" w:styleId="Rodap">
    <w:name w:val="footer"/>
    <w:basedOn w:val="Normal"/>
    <w:link w:val="RodapChar"/>
    <w:uiPriority w:val="99"/>
    <w:unhideWhenUsed/>
    <w:rsid w:val="00E1739A"/>
    <w:pPr>
      <w:tabs>
        <w:tab w:val="center" w:pos="4252"/>
        <w:tab w:val="right" w:pos="8504"/>
      </w:tabs>
    </w:pPr>
    <w:rPr>
      <w:rFonts w:asciiTheme="minorHAnsi" w:eastAsiaTheme="minorHAnsi" w:hAnsiTheme="minorHAnsi" w:cstheme="minorBidi"/>
      <w:sz w:val="22"/>
      <w:szCs w:val="22"/>
      <w:lang w:eastAsia="en-US"/>
    </w:rPr>
  </w:style>
  <w:style w:type="character" w:customStyle="1" w:styleId="RodapChar">
    <w:name w:val="Rodapé Char"/>
    <w:basedOn w:val="Fontepargpadro"/>
    <w:link w:val="Rodap"/>
    <w:uiPriority w:val="99"/>
    <w:rsid w:val="00E1739A"/>
  </w:style>
  <w:style w:type="paragraph" w:styleId="Ttulo">
    <w:name w:val="Title"/>
    <w:basedOn w:val="Normal"/>
    <w:link w:val="TtuloChar"/>
    <w:uiPriority w:val="10"/>
    <w:qFormat/>
    <w:rsid w:val="00E1739A"/>
    <w:pPr>
      <w:widowControl w:val="0"/>
      <w:autoSpaceDE w:val="0"/>
      <w:autoSpaceDN w:val="0"/>
      <w:spacing w:before="83"/>
      <w:ind w:left="277" w:right="310"/>
      <w:jc w:val="center"/>
    </w:pPr>
    <w:rPr>
      <w:rFonts w:ascii="Arial" w:eastAsia="Arial" w:hAnsi="Arial" w:cs="Arial"/>
      <w:b/>
      <w:bCs/>
      <w:sz w:val="23"/>
      <w:szCs w:val="23"/>
      <w:lang w:val="pt-PT" w:eastAsia="en-US"/>
    </w:rPr>
  </w:style>
  <w:style w:type="character" w:customStyle="1" w:styleId="TtuloChar">
    <w:name w:val="Título Char"/>
    <w:basedOn w:val="Fontepargpadro"/>
    <w:link w:val="Ttulo"/>
    <w:uiPriority w:val="10"/>
    <w:rsid w:val="00E1739A"/>
    <w:rPr>
      <w:rFonts w:ascii="Arial" w:eastAsia="Arial" w:hAnsi="Arial" w:cs="Arial"/>
      <w:b/>
      <w:bCs/>
      <w:sz w:val="23"/>
      <w:szCs w:val="23"/>
      <w:lang w:val="pt-PT"/>
    </w:rPr>
  </w:style>
  <w:style w:type="paragraph" w:customStyle="1" w:styleId="Default">
    <w:name w:val="Default"/>
    <w:rsid w:val="00E1739A"/>
    <w:pPr>
      <w:autoSpaceDE w:val="0"/>
      <w:autoSpaceDN w:val="0"/>
      <w:adjustRightInd w:val="0"/>
      <w:spacing w:after="0" w:line="240" w:lineRule="auto"/>
    </w:pPr>
    <w:rPr>
      <w:rFonts w:ascii="Arial" w:eastAsia="Times New Roman" w:hAnsi="Arial" w:cs="Arial"/>
      <w:color w:val="000000"/>
      <w:sz w:val="24"/>
      <w:szCs w:val="24"/>
      <w:lang w:eastAsia="pt-BR"/>
    </w:rPr>
  </w:style>
  <w:style w:type="table" w:styleId="Tabelacomgrade">
    <w:name w:val="Table Grid"/>
    <w:basedOn w:val="Tabelanormal"/>
    <w:uiPriority w:val="39"/>
    <w:rsid w:val="00E1739A"/>
    <w:pPr>
      <w:spacing w:after="0" w:line="240" w:lineRule="auto"/>
    </w:pPr>
    <w:tblPr/>
  </w:style>
  <w:style w:type="paragraph" w:styleId="PargrafodaLista">
    <w:name w:val="List Paragraph"/>
    <w:basedOn w:val="Normal"/>
    <w:uiPriority w:val="34"/>
    <w:qFormat/>
    <w:rsid w:val="00E1739A"/>
    <w:pPr>
      <w:ind w:left="720"/>
      <w:contextualSpacing/>
    </w:pPr>
  </w:style>
  <w:style w:type="character" w:styleId="Refdecomentrio">
    <w:name w:val="annotation reference"/>
    <w:basedOn w:val="Fontepargpadro"/>
    <w:uiPriority w:val="99"/>
    <w:semiHidden/>
    <w:unhideWhenUsed/>
    <w:rsid w:val="008D319D"/>
    <w:rPr>
      <w:sz w:val="16"/>
      <w:szCs w:val="16"/>
    </w:rPr>
  </w:style>
  <w:style w:type="paragraph" w:styleId="Textodecomentrio">
    <w:name w:val="annotation text"/>
    <w:basedOn w:val="Normal"/>
    <w:link w:val="TextodecomentrioChar"/>
    <w:uiPriority w:val="99"/>
    <w:unhideWhenUsed/>
    <w:rsid w:val="008D319D"/>
    <w:rPr>
      <w:sz w:val="20"/>
      <w:szCs w:val="20"/>
    </w:rPr>
  </w:style>
  <w:style w:type="character" w:customStyle="1" w:styleId="TextodecomentrioChar">
    <w:name w:val="Texto de comentário Char"/>
    <w:basedOn w:val="Fontepargpadro"/>
    <w:link w:val="Textodecomentrio"/>
    <w:uiPriority w:val="99"/>
    <w:rsid w:val="008D319D"/>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8D319D"/>
    <w:rPr>
      <w:b/>
      <w:bCs/>
    </w:rPr>
  </w:style>
  <w:style w:type="character" w:customStyle="1" w:styleId="AssuntodocomentrioChar">
    <w:name w:val="Assunto do comentário Char"/>
    <w:basedOn w:val="TextodecomentrioChar"/>
    <w:link w:val="Assuntodocomentrio"/>
    <w:uiPriority w:val="99"/>
    <w:semiHidden/>
    <w:rsid w:val="008D319D"/>
    <w:rPr>
      <w:rFonts w:ascii="Times New Roman" w:eastAsia="Times New Roman" w:hAnsi="Times New Roman" w:cs="Times New Roman"/>
      <w:b/>
      <w:bCs/>
      <w:sz w:val="20"/>
      <w:szCs w:val="20"/>
      <w:lang w:eastAsia="pt-BR"/>
    </w:rPr>
  </w:style>
  <w:style w:type="paragraph" w:styleId="Textodenotaderodap">
    <w:name w:val="footnote text"/>
    <w:basedOn w:val="Normal"/>
    <w:link w:val="TextodenotaderodapChar"/>
    <w:uiPriority w:val="99"/>
    <w:semiHidden/>
    <w:unhideWhenUsed/>
    <w:rsid w:val="004F1658"/>
    <w:rPr>
      <w:sz w:val="20"/>
      <w:szCs w:val="20"/>
    </w:rPr>
  </w:style>
  <w:style w:type="character" w:customStyle="1" w:styleId="TextodenotaderodapChar">
    <w:name w:val="Texto de nota de rodapé Char"/>
    <w:basedOn w:val="Fontepargpadro"/>
    <w:link w:val="Textodenotaderodap"/>
    <w:uiPriority w:val="99"/>
    <w:semiHidden/>
    <w:rsid w:val="004F1658"/>
    <w:rPr>
      <w:rFonts w:ascii="Times New Roman" w:eastAsia="Times New Roman" w:hAnsi="Times New Roman" w:cs="Times New Roman"/>
      <w:sz w:val="20"/>
      <w:szCs w:val="20"/>
      <w:lang w:eastAsia="pt-BR"/>
    </w:rPr>
  </w:style>
  <w:style w:type="character" w:styleId="Refdenotaderodap">
    <w:name w:val="footnote reference"/>
    <w:basedOn w:val="Fontepargpadro"/>
    <w:uiPriority w:val="99"/>
    <w:semiHidden/>
    <w:unhideWhenUsed/>
    <w:rsid w:val="004F1658"/>
    <w:rPr>
      <w:vertAlign w:val="superscript"/>
    </w:rPr>
  </w:style>
  <w:style w:type="character" w:styleId="Hyperlink">
    <w:name w:val="Hyperlink"/>
    <w:basedOn w:val="Fontepargpadro"/>
    <w:uiPriority w:val="99"/>
    <w:unhideWhenUsed/>
    <w:rsid w:val="00337F4F"/>
    <w:rPr>
      <w:color w:val="0563C1" w:themeColor="hyperlink"/>
      <w:u w:val="single"/>
    </w:rPr>
  </w:style>
  <w:style w:type="character" w:styleId="MenoPendente">
    <w:name w:val="Unresolved Mention"/>
    <w:basedOn w:val="Fontepargpadro"/>
    <w:uiPriority w:val="99"/>
    <w:semiHidden/>
    <w:unhideWhenUsed/>
    <w:rsid w:val="00337F4F"/>
    <w:rPr>
      <w:color w:val="605E5C"/>
      <w:shd w:val="clear" w:color="auto" w:fill="E1DFDD"/>
    </w:rPr>
  </w:style>
  <w:style w:type="character" w:styleId="HiperlinkVisitado">
    <w:name w:val="FollowedHyperlink"/>
    <w:basedOn w:val="Fontepargpadro"/>
    <w:uiPriority w:val="99"/>
    <w:semiHidden/>
    <w:unhideWhenUsed/>
    <w:rsid w:val="0053087B"/>
    <w:rPr>
      <w:color w:val="954F72" w:themeColor="followedHyperlink"/>
      <w:u w:val="single"/>
    </w:rPr>
  </w:style>
  <w:style w:type="paragraph" w:styleId="Textodebalo">
    <w:name w:val="Balloon Text"/>
    <w:basedOn w:val="Normal"/>
    <w:link w:val="TextodebaloChar"/>
    <w:uiPriority w:val="99"/>
    <w:semiHidden/>
    <w:unhideWhenUsed/>
    <w:rsid w:val="00F94BB7"/>
    <w:rPr>
      <w:rFonts w:ascii="Segoe UI" w:hAnsi="Segoe UI" w:cs="Segoe UI"/>
      <w:sz w:val="18"/>
      <w:szCs w:val="18"/>
    </w:rPr>
  </w:style>
  <w:style w:type="character" w:customStyle="1" w:styleId="TextodebaloChar">
    <w:name w:val="Texto de balão Char"/>
    <w:basedOn w:val="Fontepargpadro"/>
    <w:link w:val="Textodebalo"/>
    <w:uiPriority w:val="99"/>
    <w:semiHidden/>
    <w:rsid w:val="00F94BB7"/>
    <w:rPr>
      <w:rFonts w:ascii="Segoe UI" w:eastAsia="Times New Roman" w:hAnsi="Segoe UI" w:cs="Segoe UI"/>
      <w:sz w:val="18"/>
      <w:szCs w:val="18"/>
      <w:lang w:eastAsia="pt-BR"/>
    </w:rPr>
  </w:style>
  <w:style w:type="paragraph" w:styleId="Reviso">
    <w:name w:val="Revision"/>
    <w:hidden/>
    <w:uiPriority w:val="99"/>
    <w:semiHidden/>
    <w:rsid w:val="00D549B8"/>
    <w:pPr>
      <w:spacing w:after="0" w:line="240" w:lineRule="auto"/>
    </w:pPr>
    <w:rPr>
      <w:rFonts w:ascii="Times New Roman" w:eastAsia="Times New Roman" w:hAnsi="Times New Roman" w:cs="Times New Roman"/>
      <w:sz w:val="24"/>
      <w:szCs w:val="24"/>
      <w:lang w:eastAsia="pt-BR"/>
    </w:rPr>
  </w:style>
  <w:style w:type="paragraph" w:styleId="Corpodetexto">
    <w:name w:val="Body Text"/>
    <w:basedOn w:val="Normal"/>
    <w:link w:val="CorpodetextoChar"/>
    <w:rsid w:val="00FD11DD"/>
    <w:pPr>
      <w:autoSpaceDE w:val="0"/>
      <w:autoSpaceDN w:val="0"/>
      <w:adjustRightInd w:val="0"/>
      <w:jc w:val="both"/>
    </w:pPr>
    <w:rPr>
      <w:rFonts w:ascii="TimesNewRoman" w:hAnsi="TimesNewRoman"/>
      <w:sz w:val="19"/>
      <w:szCs w:val="19"/>
    </w:rPr>
  </w:style>
  <w:style w:type="character" w:customStyle="1" w:styleId="CorpodetextoChar">
    <w:name w:val="Corpo de texto Char"/>
    <w:basedOn w:val="Fontepargpadro"/>
    <w:link w:val="Corpodetexto"/>
    <w:rsid w:val="00FD11DD"/>
    <w:rPr>
      <w:rFonts w:ascii="TimesNewRoman" w:eastAsia="Times New Roman" w:hAnsi="TimesNewRoman" w:cs="Times New Roman"/>
      <w:sz w:val="19"/>
      <w:szCs w:val="19"/>
      <w:lang w:eastAsia="pt-BR"/>
    </w:rPr>
  </w:style>
  <w:style w:type="character" w:customStyle="1" w:styleId="Ttulo1Char">
    <w:name w:val="Título 1 Char"/>
    <w:basedOn w:val="Fontepargpadro"/>
    <w:link w:val="Ttulo1"/>
    <w:rsid w:val="00804D29"/>
    <w:rPr>
      <w:rFonts w:asciiTheme="majorHAnsi" w:eastAsiaTheme="majorEastAsia" w:hAnsiTheme="majorHAnsi" w:cstheme="majorBidi"/>
      <w:color w:val="2F5496" w:themeColor="accent1" w:themeShade="BF"/>
      <w:sz w:val="32"/>
      <w:szCs w:val="32"/>
      <w:lang w:eastAsia="pt-BR"/>
    </w:rPr>
  </w:style>
  <w:style w:type="character" w:customStyle="1" w:styleId="citation-25">
    <w:name w:val="citation-25"/>
    <w:basedOn w:val="Fontepargpadro"/>
    <w:rsid w:val="00804D29"/>
  </w:style>
  <w:style w:type="character" w:customStyle="1" w:styleId="Ttulo2Char">
    <w:name w:val="Título 2 Char"/>
    <w:basedOn w:val="Fontepargpadro"/>
    <w:link w:val="Ttulo2"/>
    <w:uiPriority w:val="9"/>
    <w:rsid w:val="002424B0"/>
    <w:rPr>
      <w:rFonts w:asciiTheme="majorHAnsi" w:eastAsiaTheme="majorEastAsia" w:hAnsiTheme="majorHAnsi" w:cstheme="majorBidi"/>
      <w:b/>
      <w:bCs/>
      <w:color w:val="2F5496" w:themeColor="accent1" w:themeShade="BF"/>
      <w:sz w:val="32"/>
      <w:szCs w:val="26"/>
      <w:lang w:eastAsia="pt-BR"/>
    </w:rPr>
  </w:style>
  <w:style w:type="table" w:styleId="TabeladeGrade4-nfase1">
    <w:name w:val="Grid Table 4 Accent 1"/>
    <w:basedOn w:val="Tabelanormal"/>
    <w:uiPriority w:val="49"/>
    <w:rsid w:val="00EF645A"/>
    <w:pPr>
      <w:spacing w:after="0" w:line="240" w:lineRule="auto"/>
    </w:pPr>
    <w:tblPr>
      <w:tblStyleRowBandSize w:val="1"/>
      <w:tblStyleColBandSize w:val="1"/>
    </w:tblPr>
    <w:tcPr>
      <w:shd w:val="clear" w:color="auto" w:fill="D9E2F3" w:themeFill="accent1" w:themeFillTint="33"/>
    </w:tc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style>
  <w:style w:type="character" w:customStyle="1" w:styleId="citation-116">
    <w:name w:val="citation-116"/>
    <w:basedOn w:val="Fontepargpadro"/>
    <w:rsid w:val="00C53C86"/>
  </w:style>
  <w:style w:type="character" w:customStyle="1" w:styleId="citation-115">
    <w:name w:val="citation-115"/>
    <w:basedOn w:val="Fontepargpadro"/>
    <w:rsid w:val="00C53C86"/>
  </w:style>
  <w:style w:type="character" w:customStyle="1" w:styleId="citation-114">
    <w:name w:val="citation-114"/>
    <w:basedOn w:val="Fontepargpadro"/>
    <w:rsid w:val="00C53C86"/>
  </w:style>
  <w:style w:type="character" w:customStyle="1" w:styleId="citation-113">
    <w:name w:val="citation-113"/>
    <w:basedOn w:val="Fontepargpadro"/>
    <w:rsid w:val="00C53C86"/>
  </w:style>
  <w:style w:type="character" w:customStyle="1" w:styleId="citation-111">
    <w:name w:val="citation-111"/>
    <w:basedOn w:val="Fontepargpadro"/>
    <w:rsid w:val="00C53C86"/>
  </w:style>
  <w:style w:type="character" w:customStyle="1" w:styleId="citation-109">
    <w:name w:val="citation-109"/>
    <w:basedOn w:val="Fontepargpadro"/>
    <w:rsid w:val="00C53C86"/>
  </w:style>
  <w:style w:type="paragraph" w:styleId="NormalWeb">
    <w:name w:val="Normal (Web)"/>
    <w:basedOn w:val="Normal"/>
    <w:uiPriority w:val="99"/>
    <w:unhideWhenUsed/>
    <w:rsid w:val="004C3099"/>
    <w:pPr>
      <w:spacing w:before="100" w:beforeAutospacing="1" w:after="100" w:afterAutospacing="1"/>
    </w:pPr>
  </w:style>
  <w:style w:type="character" w:customStyle="1" w:styleId="citation-257">
    <w:name w:val="citation-257"/>
    <w:basedOn w:val="Fontepargpadro"/>
    <w:rsid w:val="004C3099"/>
  </w:style>
  <w:style w:type="character" w:customStyle="1" w:styleId="citation-256">
    <w:name w:val="citation-256"/>
    <w:basedOn w:val="Fontepargpadro"/>
    <w:rsid w:val="006B7374"/>
  </w:style>
  <w:style w:type="character" w:customStyle="1" w:styleId="citation-255">
    <w:name w:val="citation-255"/>
    <w:basedOn w:val="Fontepargpadro"/>
    <w:rsid w:val="006B7374"/>
  </w:style>
  <w:style w:type="character" w:customStyle="1" w:styleId="citation-254">
    <w:name w:val="citation-254"/>
    <w:basedOn w:val="Fontepargpadro"/>
    <w:rsid w:val="006B7374"/>
  </w:style>
  <w:style w:type="character" w:customStyle="1" w:styleId="citation-253">
    <w:name w:val="citation-253"/>
    <w:basedOn w:val="Fontepargpadro"/>
    <w:rsid w:val="006B7374"/>
  </w:style>
  <w:style w:type="character" w:customStyle="1" w:styleId="citation-27">
    <w:name w:val="citation-27"/>
    <w:basedOn w:val="Fontepargpadro"/>
    <w:rsid w:val="00940138"/>
  </w:style>
  <w:style w:type="character" w:customStyle="1" w:styleId="citation-26">
    <w:name w:val="citation-26"/>
    <w:basedOn w:val="Fontepargpadro"/>
    <w:rsid w:val="00940138"/>
  </w:style>
  <w:style w:type="character" w:customStyle="1" w:styleId="citation-24">
    <w:name w:val="citation-24"/>
    <w:basedOn w:val="Fontepargpadro"/>
    <w:rsid w:val="00940138"/>
  </w:style>
  <w:style w:type="character" w:customStyle="1" w:styleId="citation-23">
    <w:name w:val="citation-23"/>
    <w:basedOn w:val="Fontepargpadro"/>
    <w:rsid w:val="00940138"/>
  </w:style>
  <w:style w:type="character" w:customStyle="1" w:styleId="citation-22">
    <w:name w:val="citation-22"/>
    <w:basedOn w:val="Fontepargpadro"/>
    <w:rsid w:val="00940138"/>
  </w:style>
  <w:style w:type="character" w:customStyle="1" w:styleId="citation-21">
    <w:name w:val="citation-21"/>
    <w:basedOn w:val="Fontepargpadro"/>
    <w:rsid w:val="00940138"/>
  </w:style>
  <w:style w:type="character" w:customStyle="1" w:styleId="citation-20">
    <w:name w:val="citation-20"/>
    <w:basedOn w:val="Fontepargpadro"/>
    <w:rsid w:val="00940138"/>
  </w:style>
  <w:style w:type="character" w:customStyle="1" w:styleId="citation-19">
    <w:name w:val="citation-19"/>
    <w:basedOn w:val="Fontepargpadro"/>
    <w:rsid w:val="00940138"/>
  </w:style>
  <w:style w:type="character" w:customStyle="1" w:styleId="citation-18">
    <w:name w:val="citation-18"/>
    <w:basedOn w:val="Fontepargpadro"/>
    <w:rsid w:val="00940138"/>
  </w:style>
  <w:style w:type="character" w:customStyle="1" w:styleId="citation-17">
    <w:name w:val="citation-17"/>
    <w:basedOn w:val="Fontepargpadro"/>
    <w:rsid w:val="00940138"/>
  </w:style>
  <w:style w:type="character" w:customStyle="1" w:styleId="citation-16">
    <w:name w:val="citation-16"/>
    <w:basedOn w:val="Fontepargpadro"/>
    <w:rsid w:val="00940138"/>
  </w:style>
  <w:style w:type="character" w:customStyle="1" w:styleId="citation-15">
    <w:name w:val="citation-15"/>
    <w:basedOn w:val="Fontepargpadro"/>
    <w:rsid w:val="00940138"/>
  </w:style>
  <w:style w:type="character" w:customStyle="1" w:styleId="citation-14">
    <w:name w:val="citation-14"/>
    <w:basedOn w:val="Fontepargpadro"/>
    <w:rsid w:val="00940138"/>
  </w:style>
  <w:style w:type="character" w:customStyle="1" w:styleId="citation-13">
    <w:name w:val="citation-13"/>
    <w:basedOn w:val="Fontepargpadro"/>
    <w:rsid w:val="00940138"/>
  </w:style>
  <w:style w:type="character" w:customStyle="1" w:styleId="citation-12">
    <w:name w:val="citation-12"/>
    <w:basedOn w:val="Fontepargpadro"/>
    <w:rsid w:val="00940138"/>
  </w:style>
  <w:style w:type="character" w:customStyle="1" w:styleId="citation-11">
    <w:name w:val="citation-11"/>
    <w:basedOn w:val="Fontepargpadro"/>
    <w:rsid w:val="00940138"/>
  </w:style>
  <w:style w:type="character" w:customStyle="1" w:styleId="citation-10">
    <w:name w:val="citation-10"/>
    <w:basedOn w:val="Fontepargpadro"/>
    <w:rsid w:val="00B854EB"/>
  </w:style>
  <w:style w:type="character" w:customStyle="1" w:styleId="citation-9">
    <w:name w:val="citation-9"/>
    <w:basedOn w:val="Fontepargpadro"/>
    <w:rsid w:val="00B854EB"/>
  </w:style>
  <w:style w:type="character" w:customStyle="1" w:styleId="citation-8">
    <w:name w:val="citation-8"/>
    <w:basedOn w:val="Fontepargpadro"/>
    <w:rsid w:val="00B854EB"/>
  </w:style>
  <w:style w:type="character" w:customStyle="1" w:styleId="citation-7">
    <w:name w:val="citation-7"/>
    <w:basedOn w:val="Fontepargpadro"/>
    <w:rsid w:val="00B854EB"/>
  </w:style>
  <w:style w:type="character" w:customStyle="1" w:styleId="citation-102">
    <w:name w:val="citation-102"/>
    <w:basedOn w:val="Fontepargpadro"/>
    <w:rsid w:val="00F32A77"/>
  </w:style>
  <w:style w:type="character" w:customStyle="1" w:styleId="citation-101">
    <w:name w:val="citation-101"/>
    <w:basedOn w:val="Fontepargpadro"/>
    <w:rsid w:val="00F32A77"/>
  </w:style>
  <w:style w:type="character" w:customStyle="1" w:styleId="citation-98">
    <w:name w:val="citation-98"/>
    <w:basedOn w:val="Fontepargpadro"/>
    <w:rsid w:val="00F32A77"/>
  </w:style>
  <w:style w:type="character" w:customStyle="1" w:styleId="citation-147">
    <w:name w:val="citation-147"/>
    <w:basedOn w:val="Fontepargpadro"/>
    <w:rsid w:val="003B75D2"/>
  </w:style>
  <w:style w:type="character" w:customStyle="1" w:styleId="citation-146">
    <w:name w:val="citation-146"/>
    <w:basedOn w:val="Fontepargpadro"/>
    <w:rsid w:val="003B75D2"/>
  </w:style>
  <w:style w:type="character" w:customStyle="1" w:styleId="citation-145">
    <w:name w:val="citation-145"/>
    <w:basedOn w:val="Fontepargpadro"/>
    <w:rsid w:val="003B75D2"/>
  </w:style>
  <w:style w:type="character" w:customStyle="1" w:styleId="citation-144">
    <w:name w:val="citation-144"/>
    <w:basedOn w:val="Fontepargpadro"/>
    <w:rsid w:val="003B75D2"/>
  </w:style>
  <w:style w:type="character" w:customStyle="1" w:styleId="citation-142">
    <w:name w:val="citation-142"/>
    <w:basedOn w:val="Fontepargpadro"/>
    <w:rsid w:val="0094668A"/>
  </w:style>
  <w:style w:type="character" w:customStyle="1" w:styleId="citation-141">
    <w:name w:val="citation-141"/>
    <w:basedOn w:val="Fontepargpadro"/>
    <w:rsid w:val="0094668A"/>
  </w:style>
  <w:style w:type="character" w:customStyle="1" w:styleId="Ttulo3Char">
    <w:name w:val="Título 3 Char"/>
    <w:basedOn w:val="Fontepargpadro"/>
    <w:link w:val="Ttulo3"/>
    <w:uiPriority w:val="9"/>
    <w:semiHidden/>
    <w:rsid w:val="00AD4339"/>
    <w:rPr>
      <w:rFonts w:asciiTheme="majorHAnsi" w:eastAsiaTheme="majorEastAsia" w:hAnsiTheme="majorHAnsi" w:cstheme="majorBidi"/>
      <w:color w:val="1F3763" w:themeColor="accent1" w:themeShade="7F"/>
      <w:sz w:val="24"/>
      <w:szCs w:val="24"/>
      <w:lang w:eastAsia="pt-BR"/>
    </w:rPr>
  </w:style>
  <w:style w:type="character" w:customStyle="1" w:styleId="citation-105">
    <w:name w:val="citation-105"/>
    <w:basedOn w:val="Fontepargpadro"/>
    <w:rsid w:val="00352FBD"/>
  </w:style>
  <w:style w:type="character" w:customStyle="1" w:styleId="normaltextrun">
    <w:name w:val="normaltextrun"/>
    <w:basedOn w:val="Fontepargpadro"/>
    <w:rsid w:val="00557E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8592">
      <w:bodyDiv w:val="1"/>
      <w:marLeft w:val="0"/>
      <w:marRight w:val="0"/>
      <w:marTop w:val="0"/>
      <w:marBottom w:val="0"/>
      <w:divBdr>
        <w:top w:val="none" w:sz="0" w:space="0" w:color="auto"/>
        <w:left w:val="none" w:sz="0" w:space="0" w:color="auto"/>
        <w:bottom w:val="none" w:sz="0" w:space="0" w:color="auto"/>
        <w:right w:val="none" w:sz="0" w:space="0" w:color="auto"/>
      </w:divBdr>
      <w:divsChild>
        <w:div w:id="1021933840">
          <w:marLeft w:val="0"/>
          <w:marRight w:val="0"/>
          <w:marTop w:val="0"/>
          <w:marBottom w:val="0"/>
          <w:divBdr>
            <w:top w:val="none" w:sz="0" w:space="0" w:color="auto"/>
            <w:left w:val="none" w:sz="0" w:space="0" w:color="auto"/>
            <w:bottom w:val="none" w:sz="0" w:space="0" w:color="auto"/>
            <w:right w:val="none" w:sz="0" w:space="0" w:color="auto"/>
          </w:divBdr>
          <w:divsChild>
            <w:div w:id="283853350">
              <w:marLeft w:val="0"/>
              <w:marRight w:val="0"/>
              <w:marTop w:val="0"/>
              <w:marBottom w:val="0"/>
              <w:divBdr>
                <w:top w:val="none" w:sz="0" w:space="0" w:color="auto"/>
                <w:left w:val="none" w:sz="0" w:space="0" w:color="auto"/>
                <w:bottom w:val="none" w:sz="0" w:space="0" w:color="auto"/>
                <w:right w:val="none" w:sz="0" w:space="0" w:color="auto"/>
              </w:divBdr>
              <w:divsChild>
                <w:div w:id="1662461605">
                  <w:marLeft w:val="0"/>
                  <w:marRight w:val="0"/>
                  <w:marTop w:val="0"/>
                  <w:marBottom w:val="0"/>
                  <w:divBdr>
                    <w:top w:val="none" w:sz="0" w:space="0" w:color="auto"/>
                    <w:left w:val="none" w:sz="0" w:space="0" w:color="auto"/>
                    <w:bottom w:val="none" w:sz="0" w:space="0" w:color="auto"/>
                    <w:right w:val="none" w:sz="0" w:space="0" w:color="auto"/>
                  </w:divBdr>
                  <w:divsChild>
                    <w:div w:id="1381662351">
                      <w:marLeft w:val="0"/>
                      <w:marRight w:val="0"/>
                      <w:marTop w:val="0"/>
                      <w:marBottom w:val="0"/>
                      <w:divBdr>
                        <w:top w:val="none" w:sz="0" w:space="0" w:color="auto"/>
                        <w:left w:val="none" w:sz="0" w:space="0" w:color="auto"/>
                        <w:bottom w:val="none" w:sz="0" w:space="0" w:color="auto"/>
                        <w:right w:val="none" w:sz="0" w:space="0" w:color="auto"/>
                      </w:divBdr>
                      <w:divsChild>
                        <w:div w:id="1083724341">
                          <w:marLeft w:val="0"/>
                          <w:marRight w:val="0"/>
                          <w:marTop w:val="0"/>
                          <w:marBottom w:val="0"/>
                          <w:divBdr>
                            <w:top w:val="none" w:sz="0" w:space="0" w:color="auto"/>
                            <w:left w:val="none" w:sz="0" w:space="0" w:color="auto"/>
                            <w:bottom w:val="none" w:sz="0" w:space="0" w:color="auto"/>
                            <w:right w:val="none" w:sz="0" w:space="0" w:color="auto"/>
                          </w:divBdr>
                          <w:divsChild>
                            <w:div w:id="1210994515">
                              <w:marLeft w:val="0"/>
                              <w:marRight w:val="0"/>
                              <w:marTop w:val="0"/>
                              <w:marBottom w:val="0"/>
                              <w:divBdr>
                                <w:top w:val="none" w:sz="0" w:space="0" w:color="auto"/>
                                <w:left w:val="none" w:sz="0" w:space="0" w:color="auto"/>
                                <w:bottom w:val="none" w:sz="0" w:space="0" w:color="auto"/>
                                <w:right w:val="none" w:sz="0" w:space="0" w:color="auto"/>
                              </w:divBdr>
                              <w:divsChild>
                                <w:div w:id="2036616533">
                                  <w:marLeft w:val="0"/>
                                  <w:marRight w:val="0"/>
                                  <w:marTop w:val="0"/>
                                  <w:marBottom w:val="0"/>
                                  <w:divBdr>
                                    <w:top w:val="none" w:sz="0" w:space="0" w:color="auto"/>
                                    <w:left w:val="none" w:sz="0" w:space="0" w:color="auto"/>
                                    <w:bottom w:val="none" w:sz="0" w:space="0" w:color="auto"/>
                                    <w:right w:val="none" w:sz="0" w:space="0" w:color="auto"/>
                                  </w:divBdr>
                                  <w:divsChild>
                                    <w:div w:id="461850085">
                                      <w:marLeft w:val="0"/>
                                      <w:marRight w:val="0"/>
                                      <w:marTop w:val="0"/>
                                      <w:marBottom w:val="0"/>
                                      <w:divBdr>
                                        <w:top w:val="none" w:sz="0" w:space="0" w:color="auto"/>
                                        <w:left w:val="none" w:sz="0" w:space="0" w:color="auto"/>
                                        <w:bottom w:val="none" w:sz="0" w:space="0" w:color="auto"/>
                                        <w:right w:val="none" w:sz="0" w:space="0" w:color="auto"/>
                                      </w:divBdr>
                                      <w:divsChild>
                                        <w:div w:id="1769538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090528">
      <w:bodyDiv w:val="1"/>
      <w:marLeft w:val="0"/>
      <w:marRight w:val="0"/>
      <w:marTop w:val="0"/>
      <w:marBottom w:val="0"/>
      <w:divBdr>
        <w:top w:val="none" w:sz="0" w:space="0" w:color="auto"/>
        <w:left w:val="none" w:sz="0" w:space="0" w:color="auto"/>
        <w:bottom w:val="none" w:sz="0" w:space="0" w:color="auto"/>
        <w:right w:val="none" w:sz="0" w:space="0" w:color="auto"/>
      </w:divBdr>
    </w:div>
    <w:div w:id="88813105">
      <w:bodyDiv w:val="1"/>
      <w:marLeft w:val="0"/>
      <w:marRight w:val="0"/>
      <w:marTop w:val="0"/>
      <w:marBottom w:val="0"/>
      <w:divBdr>
        <w:top w:val="none" w:sz="0" w:space="0" w:color="auto"/>
        <w:left w:val="none" w:sz="0" w:space="0" w:color="auto"/>
        <w:bottom w:val="none" w:sz="0" w:space="0" w:color="auto"/>
        <w:right w:val="none" w:sz="0" w:space="0" w:color="auto"/>
      </w:divBdr>
      <w:divsChild>
        <w:div w:id="1834955302">
          <w:marLeft w:val="0"/>
          <w:marRight w:val="0"/>
          <w:marTop w:val="0"/>
          <w:marBottom w:val="0"/>
          <w:divBdr>
            <w:top w:val="none" w:sz="0" w:space="0" w:color="auto"/>
            <w:left w:val="none" w:sz="0" w:space="0" w:color="auto"/>
            <w:bottom w:val="none" w:sz="0" w:space="0" w:color="auto"/>
            <w:right w:val="none" w:sz="0" w:space="0" w:color="auto"/>
          </w:divBdr>
          <w:divsChild>
            <w:div w:id="382411768">
              <w:marLeft w:val="0"/>
              <w:marRight w:val="0"/>
              <w:marTop w:val="0"/>
              <w:marBottom w:val="0"/>
              <w:divBdr>
                <w:top w:val="none" w:sz="0" w:space="0" w:color="auto"/>
                <w:left w:val="none" w:sz="0" w:space="0" w:color="auto"/>
                <w:bottom w:val="none" w:sz="0" w:space="0" w:color="auto"/>
                <w:right w:val="none" w:sz="0" w:space="0" w:color="auto"/>
              </w:divBdr>
              <w:divsChild>
                <w:div w:id="1077283337">
                  <w:marLeft w:val="0"/>
                  <w:marRight w:val="0"/>
                  <w:marTop w:val="0"/>
                  <w:marBottom w:val="0"/>
                  <w:divBdr>
                    <w:top w:val="none" w:sz="0" w:space="0" w:color="auto"/>
                    <w:left w:val="none" w:sz="0" w:space="0" w:color="auto"/>
                    <w:bottom w:val="none" w:sz="0" w:space="0" w:color="auto"/>
                    <w:right w:val="none" w:sz="0" w:space="0" w:color="auto"/>
                  </w:divBdr>
                  <w:divsChild>
                    <w:div w:id="1981114183">
                      <w:marLeft w:val="0"/>
                      <w:marRight w:val="0"/>
                      <w:marTop w:val="0"/>
                      <w:marBottom w:val="0"/>
                      <w:divBdr>
                        <w:top w:val="none" w:sz="0" w:space="0" w:color="auto"/>
                        <w:left w:val="none" w:sz="0" w:space="0" w:color="auto"/>
                        <w:bottom w:val="none" w:sz="0" w:space="0" w:color="auto"/>
                        <w:right w:val="none" w:sz="0" w:space="0" w:color="auto"/>
                      </w:divBdr>
                      <w:divsChild>
                        <w:div w:id="422992915">
                          <w:marLeft w:val="0"/>
                          <w:marRight w:val="0"/>
                          <w:marTop w:val="0"/>
                          <w:marBottom w:val="0"/>
                          <w:divBdr>
                            <w:top w:val="none" w:sz="0" w:space="0" w:color="auto"/>
                            <w:left w:val="none" w:sz="0" w:space="0" w:color="auto"/>
                            <w:bottom w:val="none" w:sz="0" w:space="0" w:color="auto"/>
                            <w:right w:val="none" w:sz="0" w:space="0" w:color="auto"/>
                          </w:divBdr>
                          <w:divsChild>
                            <w:div w:id="1740981100">
                              <w:marLeft w:val="0"/>
                              <w:marRight w:val="0"/>
                              <w:marTop w:val="0"/>
                              <w:marBottom w:val="0"/>
                              <w:divBdr>
                                <w:top w:val="none" w:sz="0" w:space="0" w:color="auto"/>
                                <w:left w:val="none" w:sz="0" w:space="0" w:color="auto"/>
                                <w:bottom w:val="none" w:sz="0" w:space="0" w:color="auto"/>
                                <w:right w:val="none" w:sz="0" w:space="0" w:color="auto"/>
                              </w:divBdr>
                              <w:divsChild>
                                <w:div w:id="1328292305">
                                  <w:marLeft w:val="0"/>
                                  <w:marRight w:val="0"/>
                                  <w:marTop w:val="0"/>
                                  <w:marBottom w:val="0"/>
                                  <w:divBdr>
                                    <w:top w:val="none" w:sz="0" w:space="0" w:color="auto"/>
                                    <w:left w:val="none" w:sz="0" w:space="0" w:color="auto"/>
                                    <w:bottom w:val="none" w:sz="0" w:space="0" w:color="auto"/>
                                    <w:right w:val="none" w:sz="0" w:space="0" w:color="auto"/>
                                  </w:divBdr>
                                  <w:divsChild>
                                    <w:div w:id="670110743">
                                      <w:marLeft w:val="0"/>
                                      <w:marRight w:val="0"/>
                                      <w:marTop w:val="0"/>
                                      <w:marBottom w:val="0"/>
                                      <w:divBdr>
                                        <w:top w:val="none" w:sz="0" w:space="0" w:color="auto"/>
                                        <w:left w:val="none" w:sz="0" w:space="0" w:color="auto"/>
                                        <w:bottom w:val="none" w:sz="0" w:space="0" w:color="auto"/>
                                        <w:right w:val="none" w:sz="0" w:space="0" w:color="auto"/>
                                      </w:divBdr>
                                      <w:divsChild>
                                        <w:div w:id="2089575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309723">
      <w:bodyDiv w:val="1"/>
      <w:marLeft w:val="0"/>
      <w:marRight w:val="0"/>
      <w:marTop w:val="0"/>
      <w:marBottom w:val="0"/>
      <w:divBdr>
        <w:top w:val="none" w:sz="0" w:space="0" w:color="auto"/>
        <w:left w:val="none" w:sz="0" w:space="0" w:color="auto"/>
        <w:bottom w:val="none" w:sz="0" w:space="0" w:color="auto"/>
        <w:right w:val="none" w:sz="0" w:space="0" w:color="auto"/>
      </w:divBdr>
      <w:divsChild>
        <w:div w:id="162625456">
          <w:marLeft w:val="0"/>
          <w:marRight w:val="0"/>
          <w:marTop w:val="0"/>
          <w:marBottom w:val="0"/>
          <w:divBdr>
            <w:top w:val="none" w:sz="0" w:space="0" w:color="auto"/>
            <w:left w:val="none" w:sz="0" w:space="0" w:color="auto"/>
            <w:bottom w:val="none" w:sz="0" w:space="0" w:color="auto"/>
            <w:right w:val="none" w:sz="0" w:space="0" w:color="auto"/>
          </w:divBdr>
          <w:divsChild>
            <w:div w:id="687412996">
              <w:marLeft w:val="0"/>
              <w:marRight w:val="0"/>
              <w:marTop w:val="0"/>
              <w:marBottom w:val="0"/>
              <w:divBdr>
                <w:top w:val="none" w:sz="0" w:space="0" w:color="auto"/>
                <w:left w:val="none" w:sz="0" w:space="0" w:color="auto"/>
                <w:bottom w:val="none" w:sz="0" w:space="0" w:color="auto"/>
                <w:right w:val="none" w:sz="0" w:space="0" w:color="auto"/>
              </w:divBdr>
              <w:divsChild>
                <w:div w:id="446434259">
                  <w:marLeft w:val="0"/>
                  <w:marRight w:val="0"/>
                  <w:marTop w:val="0"/>
                  <w:marBottom w:val="0"/>
                  <w:divBdr>
                    <w:top w:val="none" w:sz="0" w:space="0" w:color="auto"/>
                    <w:left w:val="none" w:sz="0" w:space="0" w:color="auto"/>
                    <w:bottom w:val="none" w:sz="0" w:space="0" w:color="auto"/>
                    <w:right w:val="none" w:sz="0" w:space="0" w:color="auto"/>
                  </w:divBdr>
                  <w:divsChild>
                    <w:div w:id="1991325287">
                      <w:marLeft w:val="0"/>
                      <w:marRight w:val="0"/>
                      <w:marTop w:val="0"/>
                      <w:marBottom w:val="0"/>
                      <w:divBdr>
                        <w:top w:val="none" w:sz="0" w:space="0" w:color="auto"/>
                        <w:left w:val="none" w:sz="0" w:space="0" w:color="auto"/>
                        <w:bottom w:val="none" w:sz="0" w:space="0" w:color="auto"/>
                        <w:right w:val="none" w:sz="0" w:space="0" w:color="auto"/>
                      </w:divBdr>
                      <w:divsChild>
                        <w:div w:id="288752750">
                          <w:marLeft w:val="0"/>
                          <w:marRight w:val="0"/>
                          <w:marTop w:val="0"/>
                          <w:marBottom w:val="0"/>
                          <w:divBdr>
                            <w:top w:val="none" w:sz="0" w:space="0" w:color="auto"/>
                            <w:left w:val="none" w:sz="0" w:space="0" w:color="auto"/>
                            <w:bottom w:val="none" w:sz="0" w:space="0" w:color="auto"/>
                            <w:right w:val="none" w:sz="0" w:space="0" w:color="auto"/>
                          </w:divBdr>
                          <w:divsChild>
                            <w:div w:id="1510099583">
                              <w:marLeft w:val="0"/>
                              <w:marRight w:val="0"/>
                              <w:marTop w:val="0"/>
                              <w:marBottom w:val="0"/>
                              <w:divBdr>
                                <w:top w:val="none" w:sz="0" w:space="0" w:color="auto"/>
                                <w:left w:val="none" w:sz="0" w:space="0" w:color="auto"/>
                                <w:bottom w:val="none" w:sz="0" w:space="0" w:color="auto"/>
                                <w:right w:val="none" w:sz="0" w:space="0" w:color="auto"/>
                              </w:divBdr>
                              <w:divsChild>
                                <w:div w:id="1004825813">
                                  <w:marLeft w:val="0"/>
                                  <w:marRight w:val="0"/>
                                  <w:marTop w:val="0"/>
                                  <w:marBottom w:val="0"/>
                                  <w:divBdr>
                                    <w:top w:val="none" w:sz="0" w:space="0" w:color="auto"/>
                                    <w:left w:val="none" w:sz="0" w:space="0" w:color="auto"/>
                                    <w:bottom w:val="none" w:sz="0" w:space="0" w:color="auto"/>
                                    <w:right w:val="none" w:sz="0" w:space="0" w:color="auto"/>
                                  </w:divBdr>
                                  <w:divsChild>
                                    <w:div w:id="193331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9073359">
          <w:marLeft w:val="0"/>
          <w:marRight w:val="0"/>
          <w:marTop w:val="0"/>
          <w:marBottom w:val="0"/>
          <w:divBdr>
            <w:top w:val="none" w:sz="0" w:space="0" w:color="auto"/>
            <w:left w:val="none" w:sz="0" w:space="0" w:color="auto"/>
            <w:bottom w:val="none" w:sz="0" w:space="0" w:color="auto"/>
            <w:right w:val="none" w:sz="0" w:space="0" w:color="auto"/>
          </w:divBdr>
        </w:div>
      </w:divsChild>
    </w:div>
    <w:div w:id="144443940">
      <w:bodyDiv w:val="1"/>
      <w:marLeft w:val="0"/>
      <w:marRight w:val="0"/>
      <w:marTop w:val="0"/>
      <w:marBottom w:val="0"/>
      <w:divBdr>
        <w:top w:val="none" w:sz="0" w:space="0" w:color="auto"/>
        <w:left w:val="none" w:sz="0" w:space="0" w:color="auto"/>
        <w:bottom w:val="none" w:sz="0" w:space="0" w:color="auto"/>
        <w:right w:val="none" w:sz="0" w:space="0" w:color="auto"/>
      </w:divBdr>
    </w:div>
    <w:div w:id="209534294">
      <w:bodyDiv w:val="1"/>
      <w:marLeft w:val="0"/>
      <w:marRight w:val="0"/>
      <w:marTop w:val="0"/>
      <w:marBottom w:val="0"/>
      <w:divBdr>
        <w:top w:val="none" w:sz="0" w:space="0" w:color="auto"/>
        <w:left w:val="none" w:sz="0" w:space="0" w:color="auto"/>
        <w:bottom w:val="none" w:sz="0" w:space="0" w:color="auto"/>
        <w:right w:val="none" w:sz="0" w:space="0" w:color="auto"/>
      </w:divBdr>
      <w:divsChild>
        <w:div w:id="2087026133">
          <w:marLeft w:val="0"/>
          <w:marRight w:val="0"/>
          <w:marTop w:val="0"/>
          <w:marBottom w:val="0"/>
          <w:divBdr>
            <w:top w:val="none" w:sz="0" w:space="0" w:color="auto"/>
            <w:left w:val="none" w:sz="0" w:space="0" w:color="auto"/>
            <w:bottom w:val="none" w:sz="0" w:space="0" w:color="auto"/>
            <w:right w:val="none" w:sz="0" w:space="0" w:color="auto"/>
          </w:divBdr>
        </w:div>
      </w:divsChild>
    </w:div>
    <w:div w:id="250703770">
      <w:bodyDiv w:val="1"/>
      <w:marLeft w:val="0"/>
      <w:marRight w:val="0"/>
      <w:marTop w:val="0"/>
      <w:marBottom w:val="0"/>
      <w:divBdr>
        <w:top w:val="none" w:sz="0" w:space="0" w:color="auto"/>
        <w:left w:val="none" w:sz="0" w:space="0" w:color="auto"/>
        <w:bottom w:val="none" w:sz="0" w:space="0" w:color="auto"/>
        <w:right w:val="none" w:sz="0" w:space="0" w:color="auto"/>
      </w:divBdr>
    </w:div>
    <w:div w:id="337663655">
      <w:bodyDiv w:val="1"/>
      <w:marLeft w:val="0"/>
      <w:marRight w:val="0"/>
      <w:marTop w:val="0"/>
      <w:marBottom w:val="0"/>
      <w:divBdr>
        <w:top w:val="none" w:sz="0" w:space="0" w:color="auto"/>
        <w:left w:val="none" w:sz="0" w:space="0" w:color="auto"/>
        <w:bottom w:val="none" w:sz="0" w:space="0" w:color="auto"/>
        <w:right w:val="none" w:sz="0" w:space="0" w:color="auto"/>
      </w:divBdr>
    </w:div>
    <w:div w:id="377508523">
      <w:bodyDiv w:val="1"/>
      <w:marLeft w:val="0"/>
      <w:marRight w:val="0"/>
      <w:marTop w:val="0"/>
      <w:marBottom w:val="0"/>
      <w:divBdr>
        <w:top w:val="none" w:sz="0" w:space="0" w:color="auto"/>
        <w:left w:val="none" w:sz="0" w:space="0" w:color="auto"/>
        <w:bottom w:val="none" w:sz="0" w:space="0" w:color="auto"/>
        <w:right w:val="none" w:sz="0" w:space="0" w:color="auto"/>
      </w:divBdr>
    </w:div>
    <w:div w:id="387195513">
      <w:bodyDiv w:val="1"/>
      <w:marLeft w:val="0"/>
      <w:marRight w:val="0"/>
      <w:marTop w:val="0"/>
      <w:marBottom w:val="0"/>
      <w:divBdr>
        <w:top w:val="none" w:sz="0" w:space="0" w:color="auto"/>
        <w:left w:val="none" w:sz="0" w:space="0" w:color="auto"/>
        <w:bottom w:val="none" w:sz="0" w:space="0" w:color="auto"/>
        <w:right w:val="none" w:sz="0" w:space="0" w:color="auto"/>
      </w:divBdr>
    </w:div>
    <w:div w:id="432358608">
      <w:bodyDiv w:val="1"/>
      <w:marLeft w:val="0"/>
      <w:marRight w:val="0"/>
      <w:marTop w:val="0"/>
      <w:marBottom w:val="0"/>
      <w:divBdr>
        <w:top w:val="none" w:sz="0" w:space="0" w:color="auto"/>
        <w:left w:val="none" w:sz="0" w:space="0" w:color="auto"/>
        <w:bottom w:val="none" w:sz="0" w:space="0" w:color="auto"/>
        <w:right w:val="none" w:sz="0" w:space="0" w:color="auto"/>
      </w:divBdr>
    </w:div>
    <w:div w:id="448549133">
      <w:bodyDiv w:val="1"/>
      <w:marLeft w:val="0"/>
      <w:marRight w:val="0"/>
      <w:marTop w:val="0"/>
      <w:marBottom w:val="0"/>
      <w:divBdr>
        <w:top w:val="none" w:sz="0" w:space="0" w:color="auto"/>
        <w:left w:val="none" w:sz="0" w:space="0" w:color="auto"/>
        <w:bottom w:val="none" w:sz="0" w:space="0" w:color="auto"/>
        <w:right w:val="none" w:sz="0" w:space="0" w:color="auto"/>
      </w:divBdr>
    </w:div>
    <w:div w:id="489947680">
      <w:bodyDiv w:val="1"/>
      <w:marLeft w:val="0"/>
      <w:marRight w:val="0"/>
      <w:marTop w:val="0"/>
      <w:marBottom w:val="0"/>
      <w:divBdr>
        <w:top w:val="none" w:sz="0" w:space="0" w:color="auto"/>
        <w:left w:val="none" w:sz="0" w:space="0" w:color="auto"/>
        <w:bottom w:val="none" w:sz="0" w:space="0" w:color="auto"/>
        <w:right w:val="none" w:sz="0" w:space="0" w:color="auto"/>
      </w:divBdr>
    </w:div>
    <w:div w:id="541867320">
      <w:bodyDiv w:val="1"/>
      <w:marLeft w:val="0"/>
      <w:marRight w:val="0"/>
      <w:marTop w:val="0"/>
      <w:marBottom w:val="0"/>
      <w:divBdr>
        <w:top w:val="none" w:sz="0" w:space="0" w:color="auto"/>
        <w:left w:val="none" w:sz="0" w:space="0" w:color="auto"/>
        <w:bottom w:val="none" w:sz="0" w:space="0" w:color="auto"/>
        <w:right w:val="none" w:sz="0" w:space="0" w:color="auto"/>
      </w:divBdr>
    </w:div>
    <w:div w:id="674502087">
      <w:bodyDiv w:val="1"/>
      <w:marLeft w:val="0"/>
      <w:marRight w:val="0"/>
      <w:marTop w:val="0"/>
      <w:marBottom w:val="0"/>
      <w:divBdr>
        <w:top w:val="none" w:sz="0" w:space="0" w:color="auto"/>
        <w:left w:val="none" w:sz="0" w:space="0" w:color="auto"/>
        <w:bottom w:val="none" w:sz="0" w:space="0" w:color="auto"/>
        <w:right w:val="none" w:sz="0" w:space="0" w:color="auto"/>
      </w:divBdr>
    </w:div>
    <w:div w:id="695236211">
      <w:bodyDiv w:val="1"/>
      <w:marLeft w:val="0"/>
      <w:marRight w:val="0"/>
      <w:marTop w:val="0"/>
      <w:marBottom w:val="0"/>
      <w:divBdr>
        <w:top w:val="none" w:sz="0" w:space="0" w:color="auto"/>
        <w:left w:val="none" w:sz="0" w:space="0" w:color="auto"/>
        <w:bottom w:val="none" w:sz="0" w:space="0" w:color="auto"/>
        <w:right w:val="none" w:sz="0" w:space="0" w:color="auto"/>
      </w:divBdr>
    </w:div>
    <w:div w:id="729577972">
      <w:bodyDiv w:val="1"/>
      <w:marLeft w:val="0"/>
      <w:marRight w:val="0"/>
      <w:marTop w:val="0"/>
      <w:marBottom w:val="0"/>
      <w:divBdr>
        <w:top w:val="none" w:sz="0" w:space="0" w:color="auto"/>
        <w:left w:val="none" w:sz="0" w:space="0" w:color="auto"/>
        <w:bottom w:val="none" w:sz="0" w:space="0" w:color="auto"/>
        <w:right w:val="none" w:sz="0" w:space="0" w:color="auto"/>
      </w:divBdr>
    </w:div>
    <w:div w:id="778990886">
      <w:bodyDiv w:val="1"/>
      <w:marLeft w:val="0"/>
      <w:marRight w:val="0"/>
      <w:marTop w:val="0"/>
      <w:marBottom w:val="0"/>
      <w:divBdr>
        <w:top w:val="none" w:sz="0" w:space="0" w:color="auto"/>
        <w:left w:val="none" w:sz="0" w:space="0" w:color="auto"/>
        <w:bottom w:val="none" w:sz="0" w:space="0" w:color="auto"/>
        <w:right w:val="none" w:sz="0" w:space="0" w:color="auto"/>
      </w:divBdr>
    </w:div>
    <w:div w:id="779494731">
      <w:bodyDiv w:val="1"/>
      <w:marLeft w:val="0"/>
      <w:marRight w:val="0"/>
      <w:marTop w:val="0"/>
      <w:marBottom w:val="0"/>
      <w:divBdr>
        <w:top w:val="none" w:sz="0" w:space="0" w:color="auto"/>
        <w:left w:val="none" w:sz="0" w:space="0" w:color="auto"/>
        <w:bottom w:val="none" w:sz="0" w:space="0" w:color="auto"/>
        <w:right w:val="none" w:sz="0" w:space="0" w:color="auto"/>
      </w:divBdr>
    </w:div>
    <w:div w:id="800735794">
      <w:bodyDiv w:val="1"/>
      <w:marLeft w:val="0"/>
      <w:marRight w:val="0"/>
      <w:marTop w:val="0"/>
      <w:marBottom w:val="0"/>
      <w:divBdr>
        <w:top w:val="none" w:sz="0" w:space="0" w:color="auto"/>
        <w:left w:val="none" w:sz="0" w:space="0" w:color="auto"/>
        <w:bottom w:val="none" w:sz="0" w:space="0" w:color="auto"/>
        <w:right w:val="none" w:sz="0" w:space="0" w:color="auto"/>
      </w:divBdr>
    </w:div>
    <w:div w:id="802238979">
      <w:bodyDiv w:val="1"/>
      <w:marLeft w:val="0"/>
      <w:marRight w:val="0"/>
      <w:marTop w:val="0"/>
      <w:marBottom w:val="0"/>
      <w:divBdr>
        <w:top w:val="none" w:sz="0" w:space="0" w:color="auto"/>
        <w:left w:val="none" w:sz="0" w:space="0" w:color="auto"/>
        <w:bottom w:val="none" w:sz="0" w:space="0" w:color="auto"/>
        <w:right w:val="none" w:sz="0" w:space="0" w:color="auto"/>
      </w:divBdr>
    </w:div>
    <w:div w:id="804087266">
      <w:bodyDiv w:val="1"/>
      <w:marLeft w:val="0"/>
      <w:marRight w:val="0"/>
      <w:marTop w:val="0"/>
      <w:marBottom w:val="0"/>
      <w:divBdr>
        <w:top w:val="none" w:sz="0" w:space="0" w:color="auto"/>
        <w:left w:val="none" w:sz="0" w:space="0" w:color="auto"/>
        <w:bottom w:val="none" w:sz="0" w:space="0" w:color="auto"/>
        <w:right w:val="none" w:sz="0" w:space="0" w:color="auto"/>
      </w:divBdr>
    </w:div>
    <w:div w:id="922959041">
      <w:bodyDiv w:val="1"/>
      <w:marLeft w:val="0"/>
      <w:marRight w:val="0"/>
      <w:marTop w:val="0"/>
      <w:marBottom w:val="0"/>
      <w:divBdr>
        <w:top w:val="none" w:sz="0" w:space="0" w:color="auto"/>
        <w:left w:val="none" w:sz="0" w:space="0" w:color="auto"/>
        <w:bottom w:val="none" w:sz="0" w:space="0" w:color="auto"/>
        <w:right w:val="none" w:sz="0" w:space="0" w:color="auto"/>
      </w:divBdr>
    </w:div>
    <w:div w:id="955406197">
      <w:bodyDiv w:val="1"/>
      <w:marLeft w:val="0"/>
      <w:marRight w:val="0"/>
      <w:marTop w:val="0"/>
      <w:marBottom w:val="0"/>
      <w:divBdr>
        <w:top w:val="none" w:sz="0" w:space="0" w:color="auto"/>
        <w:left w:val="none" w:sz="0" w:space="0" w:color="auto"/>
        <w:bottom w:val="none" w:sz="0" w:space="0" w:color="auto"/>
        <w:right w:val="none" w:sz="0" w:space="0" w:color="auto"/>
      </w:divBdr>
    </w:div>
    <w:div w:id="1002968631">
      <w:bodyDiv w:val="1"/>
      <w:marLeft w:val="0"/>
      <w:marRight w:val="0"/>
      <w:marTop w:val="0"/>
      <w:marBottom w:val="0"/>
      <w:divBdr>
        <w:top w:val="none" w:sz="0" w:space="0" w:color="auto"/>
        <w:left w:val="none" w:sz="0" w:space="0" w:color="auto"/>
        <w:bottom w:val="none" w:sz="0" w:space="0" w:color="auto"/>
        <w:right w:val="none" w:sz="0" w:space="0" w:color="auto"/>
      </w:divBdr>
    </w:div>
    <w:div w:id="1021777776">
      <w:bodyDiv w:val="1"/>
      <w:marLeft w:val="0"/>
      <w:marRight w:val="0"/>
      <w:marTop w:val="0"/>
      <w:marBottom w:val="0"/>
      <w:divBdr>
        <w:top w:val="none" w:sz="0" w:space="0" w:color="auto"/>
        <w:left w:val="none" w:sz="0" w:space="0" w:color="auto"/>
        <w:bottom w:val="none" w:sz="0" w:space="0" w:color="auto"/>
        <w:right w:val="none" w:sz="0" w:space="0" w:color="auto"/>
      </w:divBdr>
    </w:div>
    <w:div w:id="1036543804">
      <w:bodyDiv w:val="1"/>
      <w:marLeft w:val="0"/>
      <w:marRight w:val="0"/>
      <w:marTop w:val="0"/>
      <w:marBottom w:val="0"/>
      <w:divBdr>
        <w:top w:val="none" w:sz="0" w:space="0" w:color="auto"/>
        <w:left w:val="none" w:sz="0" w:space="0" w:color="auto"/>
        <w:bottom w:val="none" w:sz="0" w:space="0" w:color="auto"/>
        <w:right w:val="none" w:sz="0" w:space="0" w:color="auto"/>
      </w:divBdr>
    </w:div>
    <w:div w:id="1064793577">
      <w:bodyDiv w:val="1"/>
      <w:marLeft w:val="0"/>
      <w:marRight w:val="0"/>
      <w:marTop w:val="0"/>
      <w:marBottom w:val="0"/>
      <w:divBdr>
        <w:top w:val="none" w:sz="0" w:space="0" w:color="auto"/>
        <w:left w:val="none" w:sz="0" w:space="0" w:color="auto"/>
        <w:bottom w:val="none" w:sz="0" w:space="0" w:color="auto"/>
        <w:right w:val="none" w:sz="0" w:space="0" w:color="auto"/>
      </w:divBdr>
      <w:divsChild>
        <w:div w:id="1506553214">
          <w:marLeft w:val="0"/>
          <w:marRight w:val="0"/>
          <w:marTop w:val="0"/>
          <w:marBottom w:val="0"/>
          <w:divBdr>
            <w:top w:val="none" w:sz="0" w:space="0" w:color="auto"/>
            <w:left w:val="none" w:sz="0" w:space="0" w:color="auto"/>
            <w:bottom w:val="none" w:sz="0" w:space="0" w:color="auto"/>
            <w:right w:val="none" w:sz="0" w:space="0" w:color="auto"/>
          </w:divBdr>
        </w:div>
      </w:divsChild>
    </w:div>
    <w:div w:id="1120339435">
      <w:bodyDiv w:val="1"/>
      <w:marLeft w:val="0"/>
      <w:marRight w:val="0"/>
      <w:marTop w:val="0"/>
      <w:marBottom w:val="0"/>
      <w:divBdr>
        <w:top w:val="none" w:sz="0" w:space="0" w:color="auto"/>
        <w:left w:val="none" w:sz="0" w:space="0" w:color="auto"/>
        <w:bottom w:val="none" w:sz="0" w:space="0" w:color="auto"/>
        <w:right w:val="none" w:sz="0" w:space="0" w:color="auto"/>
      </w:divBdr>
    </w:div>
    <w:div w:id="1245801905">
      <w:bodyDiv w:val="1"/>
      <w:marLeft w:val="0"/>
      <w:marRight w:val="0"/>
      <w:marTop w:val="0"/>
      <w:marBottom w:val="0"/>
      <w:divBdr>
        <w:top w:val="none" w:sz="0" w:space="0" w:color="auto"/>
        <w:left w:val="none" w:sz="0" w:space="0" w:color="auto"/>
        <w:bottom w:val="none" w:sz="0" w:space="0" w:color="auto"/>
        <w:right w:val="none" w:sz="0" w:space="0" w:color="auto"/>
      </w:divBdr>
    </w:div>
    <w:div w:id="1278368052">
      <w:bodyDiv w:val="1"/>
      <w:marLeft w:val="0"/>
      <w:marRight w:val="0"/>
      <w:marTop w:val="0"/>
      <w:marBottom w:val="0"/>
      <w:divBdr>
        <w:top w:val="none" w:sz="0" w:space="0" w:color="auto"/>
        <w:left w:val="none" w:sz="0" w:space="0" w:color="auto"/>
        <w:bottom w:val="none" w:sz="0" w:space="0" w:color="auto"/>
        <w:right w:val="none" w:sz="0" w:space="0" w:color="auto"/>
      </w:divBdr>
    </w:div>
    <w:div w:id="1330985381">
      <w:bodyDiv w:val="1"/>
      <w:marLeft w:val="0"/>
      <w:marRight w:val="0"/>
      <w:marTop w:val="0"/>
      <w:marBottom w:val="0"/>
      <w:divBdr>
        <w:top w:val="none" w:sz="0" w:space="0" w:color="auto"/>
        <w:left w:val="none" w:sz="0" w:space="0" w:color="auto"/>
        <w:bottom w:val="none" w:sz="0" w:space="0" w:color="auto"/>
        <w:right w:val="none" w:sz="0" w:space="0" w:color="auto"/>
      </w:divBdr>
    </w:div>
    <w:div w:id="1332181186">
      <w:bodyDiv w:val="1"/>
      <w:marLeft w:val="0"/>
      <w:marRight w:val="0"/>
      <w:marTop w:val="0"/>
      <w:marBottom w:val="0"/>
      <w:divBdr>
        <w:top w:val="none" w:sz="0" w:space="0" w:color="auto"/>
        <w:left w:val="none" w:sz="0" w:space="0" w:color="auto"/>
        <w:bottom w:val="none" w:sz="0" w:space="0" w:color="auto"/>
        <w:right w:val="none" w:sz="0" w:space="0" w:color="auto"/>
      </w:divBdr>
      <w:divsChild>
        <w:div w:id="517156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649438">
      <w:bodyDiv w:val="1"/>
      <w:marLeft w:val="0"/>
      <w:marRight w:val="0"/>
      <w:marTop w:val="0"/>
      <w:marBottom w:val="0"/>
      <w:divBdr>
        <w:top w:val="none" w:sz="0" w:space="0" w:color="auto"/>
        <w:left w:val="none" w:sz="0" w:space="0" w:color="auto"/>
        <w:bottom w:val="none" w:sz="0" w:space="0" w:color="auto"/>
        <w:right w:val="none" w:sz="0" w:space="0" w:color="auto"/>
      </w:divBdr>
    </w:div>
    <w:div w:id="1471902537">
      <w:bodyDiv w:val="1"/>
      <w:marLeft w:val="0"/>
      <w:marRight w:val="0"/>
      <w:marTop w:val="0"/>
      <w:marBottom w:val="0"/>
      <w:divBdr>
        <w:top w:val="none" w:sz="0" w:space="0" w:color="auto"/>
        <w:left w:val="none" w:sz="0" w:space="0" w:color="auto"/>
        <w:bottom w:val="none" w:sz="0" w:space="0" w:color="auto"/>
        <w:right w:val="none" w:sz="0" w:space="0" w:color="auto"/>
      </w:divBdr>
    </w:div>
    <w:div w:id="1483155434">
      <w:bodyDiv w:val="1"/>
      <w:marLeft w:val="0"/>
      <w:marRight w:val="0"/>
      <w:marTop w:val="0"/>
      <w:marBottom w:val="0"/>
      <w:divBdr>
        <w:top w:val="none" w:sz="0" w:space="0" w:color="auto"/>
        <w:left w:val="none" w:sz="0" w:space="0" w:color="auto"/>
        <w:bottom w:val="none" w:sz="0" w:space="0" w:color="auto"/>
        <w:right w:val="none" w:sz="0" w:space="0" w:color="auto"/>
      </w:divBdr>
    </w:div>
    <w:div w:id="1484352442">
      <w:bodyDiv w:val="1"/>
      <w:marLeft w:val="0"/>
      <w:marRight w:val="0"/>
      <w:marTop w:val="0"/>
      <w:marBottom w:val="0"/>
      <w:divBdr>
        <w:top w:val="none" w:sz="0" w:space="0" w:color="auto"/>
        <w:left w:val="none" w:sz="0" w:space="0" w:color="auto"/>
        <w:bottom w:val="none" w:sz="0" w:space="0" w:color="auto"/>
        <w:right w:val="none" w:sz="0" w:space="0" w:color="auto"/>
      </w:divBdr>
    </w:div>
    <w:div w:id="1514341282">
      <w:bodyDiv w:val="1"/>
      <w:marLeft w:val="0"/>
      <w:marRight w:val="0"/>
      <w:marTop w:val="0"/>
      <w:marBottom w:val="0"/>
      <w:divBdr>
        <w:top w:val="none" w:sz="0" w:space="0" w:color="auto"/>
        <w:left w:val="none" w:sz="0" w:space="0" w:color="auto"/>
        <w:bottom w:val="none" w:sz="0" w:space="0" w:color="auto"/>
        <w:right w:val="none" w:sz="0" w:space="0" w:color="auto"/>
      </w:divBdr>
      <w:divsChild>
        <w:div w:id="1340812387">
          <w:marLeft w:val="0"/>
          <w:marRight w:val="0"/>
          <w:marTop w:val="0"/>
          <w:marBottom w:val="0"/>
          <w:divBdr>
            <w:top w:val="none" w:sz="0" w:space="0" w:color="auto"/>
            <w:left w:val="none" w:sz="0" w:space="0" w:color="auto"/>
            <w:bottom w:val="none" w:sz="0" w:space="0" w:color="auto"/>
            <w:right w:val="none" w:sz="0" w:space="0" w:color="auto"/>
          </w:divBdr>
          <w:divsChild>
            <w:div w:id="130175708">
              <w:marLeft w:val="0"/>
              <w:marRight w:val="0"/>
              <w:marTop w:val="0"/>
              <w:marBottom w:val="0"/>
              <w:divBdr>
                <w:top w:val="none" w:sz="0" w:space="0" w:color="auto"/>
                <w:left w:val="none" w:sz="0" w:space="0" w:color="auto"/>
                <w:bottom w:val="none" w:sz="0" w:space="0" w:color="auto"/>
                <w:right w:val="none" w:sz="0" w:space="0" w:color="auto"/>
              </w:divBdr>
              <w:divsChild>
                <w:div w:id="93477517">
                  <w:marLeft w:val="0"/>
                  <w:marRight w:val="0"/>
                  <w:marTop w:val="0"/>
                  <w:marBottom w:val="0"/>
                  <w:divBdr>
                    <w:top w:val="none" w:sz="0" w:space="0" w:color="auto"/>
                    <w:left w:val="none" w:sz="0" w:space="0" w:color="auto"/>
                    <w:bottom w:val="none" w:sz="0" w:space="0" w:color="auto"/>
                    <w:right w:val="none" w:sz="0" w:space="0" w:color="auto"/>
                  </w:divBdr>
                  <w:divsChild>
                    <w:div w:id="1269659286">
                      <w:marLeft w:val="0"/>
                      <w:marRight w:val="0"/>
                      <w:marTop w:val="0"/>
                      <w:marBottom w:val="0"/>
                      <w:divBdr>
                        <w:top w:val="none" w:sz="0" w:space="0" w:color="auto"/>
                        <w:left w:val="none" w:sz="0" w:space="0" w:color="auto"/>
                        <w:bottom w:val="none" w:sz="0" w:space="0" w:color="auto"/>
                        <w:right w:val="none" w:sz="0" w:space="0" w:color="auto"/>
                      </w:divBdr>
                      <w:divsChild>
                        <w:div w:id="427047188">
                          <w:marLeft w:val="0"/>
                          <w:marRight w:val="0"/>
                          <w:marTop w:val="0"/>
                          <w:marBottom w:val="0"/>
                          <w:divBdr>
                            <w:top w:val="none" w:sz="0" w:space="0" w:color="auto"/>
                            <w:left w:val="none" w:sz="0" w:space="0" w:color="auto"/>
                            <w:bottom w:val="none" w:sz="0" w:space="0" w:color="auto"/>
                            <w:right w:val="none" w:sz="0" w:space="0" w:color="auto"/>
                          </w:divBdr>
                          <w:divsChild>
                            <w:div w:id="1680694139">
                              <w:marLeft w:val="0"/>
                              <w:marRight w:val="0"/>
                              <w:marTop w:val="0"/>
                              <w:marBottom w:val="0"/>
                              <w:divBdr>
                                <w:top w:val="none" w:sz="0" w:space="0" w:color="auto"/>
                                <w:left w:val="none" w:sz="0" w:space="0" w:color="auto"/>
                                <w:bottom w:val="none" w:sz="0" w:space="0" w:color="auto"/>
                                <w:right w:val="none" w:sz="0" w:space="0" w:color="auto"/>
                              </w:divBdr>
                              <w:divsChild>
                                <w:div w:id="161501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729886">
      <w:bodyDiv w:val="1"/>
      <w:marLeft w:val="0"/>
      <w:marRight w:val="0"/>
      <w:marTop w:val="0"/>
      <w:marBottom w:val="0"/>
      <w:divBdr>
        <w:top w:val="none" w:sz="0" w:space="0" w:color="auto"/>
        <w:left w:val="none" w:sz="0" w:space="0" w:color="auto"/>
        <w:bottom w:val="none" w:sz="0" w:space="0" w:color="auto"/>
        <w:right w:val="none" w:sz="0" w:space="0" w:color="auto"/>
      </w:divBdr>
      <w:divsChild>
        <w:div w:id="986323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941538">
      <w:bodyDiv w:val="1"/>
      <w:marLeft w:val="0"/>
      <w:marRight w:val="0"/>
      <w:marTop w:val="0"/>
      <w:marBottom w:val="0"/>
      <w:divBdr>
        <w:top w:val="none" w:sz="0" w:space="0" w:color="auto"/>
        <w:left w:val="none" w:sz="0" w:space="0" w:color="auto"/>
        <w:bottom w:val="none" w:sz="0" w:space="0" w:color="auto"/>
        <w:right w:val="none" w:sz="0" w:space="0" w:color="auto"/>
      </w:divBdr>
      <w:divsChild>
        <w:div w:id="29651585">
          <w:marLeft w:val="0"/>
          <w:marRight w:val="0"/>
          <w:marTop w:val="0"/>
          <w:marBottom w:val="0"/>
          <w:divBdr>
            <w:top w:val="none" w:sz="0" w:space="0" w:color="auto"/>
            <w:left w:val="none" w:sz="0" w:space="0" w:color="auto"/>
            <w:bottom w:val="none" w:sz="0" w:space="0" w:color="auto"/>
            <w:right w:val="none" w:sz="0" w:space="0" w:color="auto"/>
          </w:divBdr>
        </w:div>
      </w:divsChild>
    </w:div>
    <w:div w:id="1705864378">
      <w:bodyDiv w:val="1"/>
      <w:marLeft w:val="0"/>
      <w:marRight w:val="0"/>
      <w:marTop w:val="0"/>
      <w:marBottom w:val="0"/>
      <w:divBdr>
        <w:top w:val="none" w:sz="0" w:space="0" w:color="auto"/>
        <w:left w:val="none" w:sz="0" w:space="0" w:color="auto"/>
        <w:bottom w:val="none" w:sz="0" w:space="0" w:color="auto"/>
        <w:right w:val="none" w:sz="0" w:space="0" w:color="auto"/>
      </w:divBdr>
    </w:div>
    <w:div w:id="1733499894">
      <w:bodyDiv w:val="1"/>
      <w:marLeft w:val="0"/>
      <w:marRight w:val="0"/>
      <w:marTop w:val="0"/>
      <w:marBottom w:val="0"/>
      <w:divBdr>
        <w:top w:val="none" w:sz="0" w:space="0" w:color="auto"/>
        <w:left w:val="none" w:sz="0" w:space="0" w:color="auto"/>
        <w:bottom w:val="none" w:sz="0" w:space="0" w:color="auto"/>
        <w:right w:val="none" w:sz="0" w:space="0" w:color="auto"/>
      </w:divBdr>
    </w:div>
    <w:div w:id="1755541409">
      <w:bodyDiv w:val="1"/>
      <w:marLeft w:val="0"/>
      <w:marRight w:val="0"/>
      <w:marTop w:val="0"/>
      <w:marBottom w:val="0"/>
      <w:divBdr>
        <w:top w:val="none" w:sz="0" w:space="0" w:color="auto"/>
        <w:left w:val="none" w:sz="0" w:space="0" w:color="auto"/>
        <w:bottom w:val="none" w:sz="0" w:space="0" w:color="auto"/>
        <w:right w:val="none" w:sz="0" w:space="0" w:color="auto"/>
      </w:divBdr>
    </w:div>
    <w:div w:id="1805541037">
      <w:bodyDiv w:val="1"/>
      <w:marLeft w:val="0"/>
      <w:marRight w:val="0"/>
      <w:marTop w:val="0"/>
      <w:marBottom w:val="0"/>
      <w:divBdr>
        <w:top w:val="none" w:sz="0" w:space="0" w:color="auto"/>
        <w:left w:val="none" w:sz="0" w:space="0" w:color="auto"/>
        <w:bottom w:val="none" w:sz="0" w:space="0" w:color="auto"/>
        <w:right w:val="none" w:sz="0" w:space="0" w:color="auto"/>
      </w:divBdr>
    </w:div>
    <w:div w:id="1815949068">
      <w:bodyDiv w:val="1"/>
      <w:marLeft w:val="0"/>
      <w:marRight w:val="0"/>
      <w:marTop w:val="0"/>
      <w:marBottom w:val="0"/>
      <w:divBdr>
        <w:top w:val="none" w:sz="0" w:space="0" w:color="auto"/>
        <w:left w:val="none" w:sz="0" w:space="0" w:color="auto"/>
        <w:bottom w:val="none" w:sz="0" w:space="0" w:color="auto"/>
        <w:right w:val="none" w:sz="0" w:space="0" w:color="auto"/>
      </w:divBdr>
    </w:div>
    <w:div w:id="1857231558">
      <w:bodyDiv w:val="1"/>
      <w:marLeft w:val="0"/>
      <w:marRight w:val="0"/>
      <w:marTop w:val="0"/>
      <w:marBottom w:val="0"/>
      <w:divBdr>
        <w:top w:val="none" w:sz="0" w:space="0" w:color="auto"/>
        <w:left w:val="none" w:sz="0" w:space="0" w:color="auto"/>
        <w:bottom w:val="none" w:sz="0" w:space="0" w:color="auto"/>
        <w:right w:val="none" w:sz="0" w:space="0" w:color="auto"/>
      </w:divBdr>
    </w:div>
    <w:div w:id="1922716250">
      <w:bodyDiv w:val="1"/>
      <w:marLeft w:val="0"/>
      <w:marRight w:val="0"/>
      <w:marTop w:val="0"/>
      <w:marBottom w:val="0"/>
      <w:divBdr>
        <w:top w:val="none" w:sz="0" w:space="0" w:color="auto"/>
        <w:left w:val="none" w:sz="0" w:space="0" w:color="auto"/>
        <w:bottom w:val="none" w:sz="0" w:space="0" w:color="auto"/>
        <w:right w:val="none" w:sz="0" w:space="0" w:color="auto"/>
      </w:divBdr>
    </w:div>
    <w:div w:id="1930036469">
      <w:bodyDiv w:val="1"/>
      <w:marLeft w:val="0"/>
      <w:marRight w:val="0"/>
      <w:marTop w:val="0"/>
      <w:marBottom w:val="0"/>
      <w:divBdr>
        <w:top w:val="none" w:sz="0" w:space="0" w:color="auto"/>
        <w:left w:val="none" w:sz="0" w:space="0" w:color="auto"/>
        <w:bottom w:val="none" w:sz="0" w:space="0" w:color="auto"/>
        <w:right w:val="none" w:sz="0" w:space="0" w:color="auto"/>
      </w:divBdr>
      <w:divsChild>
        <w:div w:id="1424300977">
          <w:marLeft w:val="0"/>
          <w:marRight w:val="0"/>
          <w:marTop w:val="0"/>
          <w:marBottom w:val="0"/>
          <w:divBdr>
            <w:top w:val="none" w:sz="0" w:space="0" w:color="auto"/>
            <w:left w:val="none" w:sz="0" w:space="0" w:color="auto"/>
            <w:bottom w:val="none" w:sz="0" w:space="0" w:color="auto"/>
            <w:right w:val="none" w:sz="0" w:space="0" w:color="auto"/>
          </w:divBdr>
          <w:divsChild>
            <w:div w:id="1960185722">
              <w:marLeft w:val="0"/>
              <w:marRight w:val="0"/>
              <w:marTop w:val="0"/>
              <w:marBottom w:val="0"/>
              <w:divBdr>
                <w:top w:val="none" w:sz="0" w:space="0" w:color="auto"/>
                <w:left w:val="none" w:sz="0" w:space="0" w:color="auto"/>
                <w:bottom w:val="none" w:sz="0" w:space="0" w:color="auto"/>
                <w:right w:val="none" w:sz="0" w:space="0" w:color="auto"/>
              </w:divBdr>
              <w:divsChild>
                <w:div w:id="415832082">
                  <w:marLeft w:val="0"/>
                  <w:marRight w:val="0"/>
                  <w:marTop w:val="0"/>
                  <w:marBottom w:val="0"/>
                  <w:divBdr>
                    <w:top w:val="none" w:sz="0" w:space="0" w:color="auto"/>
                    <w:left w:val="none" w:sz="0" w:space="0" w:color="auto"/>
                    <w:bottom w:val="none" w:sz="0" w:space="0" w:color="auto"/>
                    <w:right w:val="none" w:sz="0" w:space="0" w:color="auto"/>
                  </w:divBdr>
                  <w:divsChild>
                    <w:div w:id="140386854">
                      <w:marLeft w:val="0"/>
                      <w:marRight w:val="0"/>
                      <w:marTop w:val="0"/>
                      <w:marBottom w:val="0"/>
                      <w:divBdr>
                        <w:top w:val="none" w:sz="0" w:space="0" w:color="auto"/>
                        <w:left w:val="none" w:sz="0" w:space="0" w:color="auto"/>
                        <w:bottom w:val="none" w:sz="0" w:space="0" w:color="auto"/>
                        <w:right w:val="none" w:sz="0" w:space="0" w:color="auto"/>
                      </w:divBdr>
                      <w:divsChild>
                        <w:div w:id="332420396">
                          <w:marLeft w:val="0"/>
                          <w:marRight w:val="0"/>
                          <w:marTop w:val="0"/>
                          <w:marBottom w:val="0"/>
                          <w:divBdr>
                            <w:top w:val="none" w:sz="0" w:space="0" w:color="auto"/>
                            <w:left w:val="none" w:sz="0" w:space="0" w:color="auto"/>
                            <w:bottom w:val="none" w:sz="0" w:space="0" w:color="auto"/>
                            <w:right w:val="none" w:sz="0" w:space="0" w:color="auto"/>
                          </w:divBdr>
                          <w:divsChild>
                            <w:div w:id="1095513456">
                              <w:marLeft w:val="0"/>
                              <w:marRight w:val="0"/>
                              <w:marTop w:val="0"/>
                              <w:marBottom w:val="0"/>
                              <w:divBdr>
                                <w:top w:val="none" w:sz="0" w:space="0" w:color="auto"/>
                                <w:left w:val="none" w:sz="0" w:space="0" w:color="auto"/>
                                <w:bottom w:val="none" w:sz="0" w:space="0" w:color="auto"/>
                                <w:right w:val="none" w:sz="0" w:space="0" w:color="auto"/>
                              </w:divBdr>
                              <w:divsChild>
                                <w:div w:id="112556903">
                                  <w:marLeft w:val="0"/>
                                  <w:marRight w:val="0"/>
                                  <w:marTop w:val="0"/>
                                  <w:marBottom w:val="0"/>
                                  <w:divBdr>
                                    <w:top w:val="none" w:sz="0" w:space="0" w:color="auto"/>
                                    <w:left w:val="none" w:sz="0" w:space="0" w:color="auto"/>
                                    <w:bottom w:val="none" w:sz="0" w:space="0" w:color="auto"/>
                                    <w:right w:val="none" w:sz="0" w:space="0" w:color="auto"/>
                                  </w:divBdr>
                                  <w:divsChild>
                                    <w:div w:id="36636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9101351">
          <w:marLeft w:val="0"/>
          <w:marRight w:val="0"/>
          <w:marTop w:val="0"/>
          <w:marBottom w:val="0"/>
          <w:divBdr>
            <w:top w:val="none" w:sz="0" w:space="0" w:color="auto"/>
            <w:left w:val="none" w:sz="0" w:space="0" w:color="auto"/>
            <w:bottom w:val="none" w:sz="0" w:space="0" w:color="auto"/>
            <w:right w:val="none" w:sz="0" w:space="0" w:color="auto"/>
          </w:divBdr>
        </w:div>
      </w:divsChild>
    </w:div>
    <w:div w:id="2019770672">
      <w:bodyDiv w:val="1"/>
      <w:marLeft w:val="0"/>
      <w:marRight w:val="0"/>
      <w:marTop w:val="0"/>
      <w:marBottom w:val="0"/>
      <w:divBdr>
        <w:top w:val="none" w:sz="0" w:space="0" w:color="auto"/>
        <w:left w:val="none" w:sz="0" w:space="0" w:color="auto"/>
        <w:bottom w:val="none" w:sz="0" w:space="0" w:color="auto"/>
        <w:right w:val="none" w:sz="0" w:space="0" w:color="auto"/>
      </w:divBdr>
    </w:div>
    <w:div w:id="2029090734">
      <w:bodyDiv w:val="1"/>
      <w:marLeft w:val="0"/>
      <w:marRight w:val="0"/>
      <w:marTop w:val="0"/>
      <w:marBottom w:val="0"/>
      <w:divBdr>
        <w:top w:val="none" w:sz="0" w:space="0" w:color="auto"/>
        <w:left w:val="none" w:sz="0" w:space="0" w:color="auto"/>
        <w:bottom w:val="none" w:sz="0" w:space="0" w:color="auto"/>
        <w:right w:val="none" w:sz="0" w:space="0" w:color="auto"/>
      </w:divBdr>
    </w:div>
    <w:div w:id="2073696974">
      <w:bodyDiv w:val="1"/>
      <w:marLeft w:val="0"/>
      <w:marRight w:val="0"/>
      <w:marTop w:val="0"/>
      <w:marBottom w:val="0"/>
      <w:divBdr>
        <w:top w:val="none" w:sz="0" w:space="0" w:color="auto"/>
        <w:left w:val="none" w:sz="0" w:space="0" w:color="auto"/>
        <w:bottom w:val="none" w:sz="0" w:space="0" w:color="auto"/>
        <w:right w:val="none" w:sz="0" w:space="0" w:color="auto"/>
      </w:divBdr>
    </w:div>
    <w:div w:id="2091542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FDBC2031823944CAE7A47B474980AF9" ma:contentTypeVersion="11" ma:contentTypeDescription="Crie um novo documento." ma:contentTypeScope="" ma:versionID="855b8a9cb39ccb1a7b580d7bd67e6c38">
  <xsd:schema xmlns:xsd="http://www.w3.org/2001/XMLSchema" xmlns:xs="http://www.w3.org/2001/XMLSchema" xmlns:p="http://schemas.microsoft.com/office/2006/metadata/properties" xmlns:ns2="725921e2-8998-4eb1-9fb8-0a15db1010ad" xmlns:ns3="92c5a728-2296-426d-baf2-0ff787f497e1" targetNamespace="http://schemas.microsoft.com/office/2006/metadata/properties" ma:root="true" ma:fieldsID="1d1296c8fba1412a6f6c28c7bf1b5c6f" ns2:_="" ns3:_="">
    <xsd:import namespace="725921e2-8998-4eb1-9fb8-0a15db1010ad"/>
    <xsd:import namespace="92c5a728-2296-426d-baf2-0ff787f497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5921e2-8998-4eb1-9fb8-0a15db1010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2c5a728-2296-426d-baf2-0ff787f497e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5f72d34-8b74-44f7-91a5-e89f3854a116}" ma:internalName="TaxCatchAll" ma:showField="CatchAllData" ma:web="92c5a728-2296-426d-baf2-0ff787f497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92c5a728-2296-426d-baf2-0ff787f497e1" xsi:nil="true"/>
    <lcf76f155ced4ddcb4097134ff3c332f xmlns="725921e2-8998-4eb1-9fb8-0a15db1010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B3B699C-58A5-4E30-B28D-A0EBD2730770}">
  <ds:schemaRefs>
    <ds:schemaRef ds:uri="http://schemas.openxmlformats.org/officeDocument/2006/bibliography"/>
  </ds:schemaRefs>
</ds:datastoreItem>
</file>

<file path=customXml/itemProps2.xml><?xml version="1.0" encoding="utf-8"?>
<ds:datastoreItem xmlns:ds="http://schemas.openxmlformats.org/officeDocument/2006/customXml" ds:itemID="{7A7A7FD6-6C0C-4048-ACD6-4408BAE703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5921e2-8998-4eb1-9fb8-0a15db1010ad"/>
    <ds:schemaRef ds:uri="92c5a728-2296-426d-baf2-0ff787f497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CE5C4D-344E-4B9A-BACC-B692E5F42C94}">
  <ds:schemaRefs>
    <ds:schemaRef ds:uri="http://schemas.microsoft.com/sharepoint/v3/contenttype/forms"/>
  </ds:schemaRefs>
</ds:datastoreItem>
</file>

<file path=customXml/itemProps4.xml><?xml version="1.0" encoding="utf-8"?>
<ds:datastoreItem xmlns:ds="http://schemas.openxmlformats.org/officeDocument/2006/customXml" ds:itemID="{FBFA4F3B-2708-4731-A0D3-85F4C0631F4E}">
  <ds:schemaRefs>
    <ds:schemaRef ds:uri="http://schemas.microsoft.com/office/2006/metadata/properties"/>
    <ds:schemaRef ds:uri="http://schemas.microsoft.com/office/infopath/2007/PartnerControls"/>
    <ds:schemaRef ds:uri="92c5a728-2296-426d-baf2-0ff787f497e1"/>
    <ds:schemaRef ds:uri="725921e2-8998-4eb1-9fb8-0a15db1010ad"/>
  </ds:schemaRefs>
</ds:datastoreItem>
</file>

<file path=docProps/app.xml><?xml version="1.0" encoding="utf-8"?>
<Properties xmlns="http://schemas.openxmlformats.org/officeDocument/2006/extended-properties" xmlns:vt="http://schemas.openxmlformats.org/officeDocument/2006/docPropsVTypes">
  <Template>Normal.dotm</Template>
  <TotalTime>5897</TotalTime>
  <Pages>9</Pages>
  <Words>3801</Words>
  <Characters>24389</Characters>
  <Application>Microsoft Office Word</Application>
  <DocSecurity>0</DocSecurity>
  <Lines>903</Lines>
  <Paragraphs>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27992</CharactersWithSpaces>
  <SharedDoc>false</SharedDoc>
  <HLinks>
    <vt:vector size="372" baseType="variant">
      <vt:variant>
        <vt:i4>3801138</vt:i4>
      </vt:variant>
      <vt:variant>
        <vt:i4>183</vt:i4>
      </vt:variant>
      <vt:variant>
        <vt:i4>0</vt:i4>
      </vt:variant>
      <vt:variant>
        <vt:i4>5</vt:i4>
      </vt:variant>
      <vt:variant>
        <vt:lpwstr>https://www.cisecurity.org/controls</vt:lpwstr>
      </vt:variant>
      <vt:variant>
        <vt:lpwstr/>
      </vt:variant>
      <vt:variant>
        <vt:i4>7077994</vt:i4>
      </vt:variant>
      <vt:variant>
        <vt:i4>180</vt:i4>
      </vt:variant>
      <vt:variant>
        <vt:i4>0</vt:i4>
      </vt:variant>
      <vt:variant>
        <vt:i4>5</vt:i4>
      </vt:variant>
      <vt:variant>
        <vt:lpwstr>https://www.planalto.gov.br/ccivil_03/_ato2015-2018/2018/lei/l13709.htm</vt:lpwstr>
      </vt:variant>
      <vt:variant>
        <vt:lpwstr/>
      </vt:variant>
      <vt:variant>
        <vt:i4>6422634</vt:i4>
      </vt:variant>
      <vt:variant>
        <vt:i4>177</vt:i4>
      </vt:variant>
      <vt:variant>
        <vt:i4>0</vt:i4>
      </vt:variant>
      <vt:variant>
        <vt:i4>5</vt:i4>
      </vt:variant>
      <vt:variant>
        <vt:lpwstr>https://www.planalto.gov.br/ccivil_03/_ato2011-2014/2011/lei/l12527.htm</vt:lpwstr>
      </vt:variant>
      <vt:variant>
        <vt:lpwstr/>
      </vt:variant>
      <vt:variant>
        <vt:i4>7077994</vt:i4>
      </vt:variant>
      <vt:variant>
        <vt:i4>174</vt:i4>
      </vt:variant>
      <vt:variant>
        <vt:i4>0</vt:i4>
      </vt:variant>
      <vt:variant>
        <vt:i4>5</vt:i4>
      </vt:variant>
      <vt:variant>
        <vt:lpwstr>https://www.planalto.gov.br/ccivil_03/_ato2015-2018/2018/lei/l13709.htm</vt:lpwstr>
      </vt:variant>
      <vt:variant>
        <vt:lpwstr/>
      </vt:variant>
      <vt:variant>
        <vt:i4>3801138</vt:i4>
      </vt:variant>
      <vt:variant>
        <vt:i4>171</vt:i4>
      </vt:variant>
      <vt:variant>
        <vt:i4>0</vt:i4>
      </vt:variant>
      <vt:variant>
        <vt:i4>5</vt:i4>
      </vt:variant>
      <vt:variant>
        <vt:lpwstr>https://www.cisecurity.org/controls</vt:lpwstr>
      </vt:variant>
      <vt:variant>
        <vt:lpwstr/>
      </vt:variant>
      <vt:variant>
        <vt:i4>7077994</vt:i4>
      </vt:variant>
      <vt:variant>
        <vt:i4>168</vt:i4>
      </vt:variant>
      <vt:variant>
        <vt:i4>0</vt:i4>
      </vt:variant>
      <vt:variant>
        <vt:i4>5</vt:i4>
      </vt:variant>
      <vt:variant>
        <vt:lpwstr>https://www.planalto.gov.br/ccivil_03/_ato2015-2018/2018/lei/l13709.htm</vt:lpwstr>
      </vt:variant>
      <vt:variant>
        <vt:lpwstr/>
      </vt:variant>
      <vt:variant>
        <vt:i4>6422634</vt:i4>
      </vt:variant>
      <vt:variant>
        <vt:i4>165</vt:i4>
      </vt:variant>
      <vt:variant>
        <vt:i4>0</vt:i4>
      </vt:variant>
      <vt:variant>
        <vt:i4>5</vt:i4>
      </vt:variant>
      <vt:variant>
        <vt:lpwstr>https://www.planalto.gov.br/ccivil_03/_ato2011-2014/2011/lei/l12527.htm</vt:lpwstr>
      </vt:variant>
      <vt:variant>
        <vt:lpwstr/>
      </vt:variant>
      <vt:variant>
        <vt:i4>3211381</vt:i4>
      </vt:variant>
      <vt:variant>
        <vt:i4>162</vt:i4>
      </vt:variant>
      <vt:variant>
        <vt:i4>0</vt:i4>
      </vt:variant>
      <vt:variant>
        <vt:i4>5</vt:i4>
      </vt:variant>
      <vt:variant>
        <vt:lpwstr>https://www.cnmp.mp.br/portal/images/CALJ/resolucoes/Resoluo-n-294d.pdf</vt:lpwstr>
      </vt:variant>
      <vt:variant>
        <vt:lpwstr/>
      </vt:variant>
      <vt:variant>
        <vt:i4>3604597</vt:i4>
      </vt:variant>
      <vt:variant>
        <vt:i4>159</vt:i4>
      </vt:variant>
      <vt:variant>
        <vt:i4>0</vt:i4>
      </vt:variant>
      <vt:variant>
        <vt:i4>5</vt:i4>
      </vt:variant>
      <vt:variant>
        <vt:lpwstr>https://www.tjrj.jus.br/documents/10136/0/resolucao-tjoe-28-2022-estrategia_si_pjerj.pdf/b7113e47-b697-a7f5-afd8-e41df0b52bbd?t=1666287585082</vt:lpwstr>
      </vt:variant>
      <vt:variant>
        <vt:lpwstr/>
      </vt:variant>
      <vt:variant>
        <vt:i4>1769557</vt:i4>
      </vt:variant>
      <vt:variant>
        <vt:i4>156</vt:i4>
      </vt:variant>
      <vt:variant>
        <vt:i4>0</vt:i4>
      </vt:variant>
      <vt:variant>
        <vt:i4>5</vt:i4>
      </vt:variant>
      <vt:variant>
        <vt:lpwstr>https://learn.cisecurity.org/cis-controls-download-v8</vt:lpwstr>
      </vt:variant>
      <vt:variant>
        <vt:lpwstr/>
      </vt:variant>
      <vt:variant>
        <vt:i4>2752639</vt:i4>
      </vt:variant>
      <vt:variant>
        <vt:i4>153</vt:i4>
      </vt:variant>
      <vt:variant>
        <vt:i4>0</vt:i4>
      </vt:variant>
      <vt:variant>
        <vt:i4>5</vt:i4>
      </vt:variant>
      <vt:variant>
        <vt:lpwstr>https://www.planalto.gov.br/ccivil_03/_ato2015-2018/2018/lei/l13709.htm</vt:lpwstr>
      </vt:variant>
      <vt:variant>
        <vt:lpwstr>art47</vt:lpwstr>
      </vt:variant>
      <vt:variant>
        <vt:i4>2752639</vt:i4>
      </vt:variant>
      <vt:variant>
        <vt:i4>150</vt:i4>
      </vt:variant>
      <vt:variant>
        <vt:i4>0</vt:i4>
      </vt:variant>
      <vt:variant>
        <vt:i4>5</vt:i4>
      </vt:variant>
      <vt:variant>
        <vt:lpwstr>https://www.planalto.gov.br/ccivil_03/_ato2015-2018/2018/lei/l13709.htm</vt:lpwstr>
      </vt:variant>
      <vt:variant>
        <vt:lpwstr>art46</vt:lpwstr>
      </vt:variant>
      <vt:variant>
        <vt:i4>7209071</vt:i4>
      </vt:variant>
      <vt:variant>
        <vt:i4>147</vt:i4>
      </vt:variant>
      <vt:variant>
        <vt:i4>0</vt:i4>
      </vt:variant>
      <vt:variant>
        <vt:i4>5</vt:i4>
      </vt:variant>
      <vt:variant>
        <vt:lpwstr>https://www.planalto.gov.br/ccivil_03/_ato2019-2022/2021/lei/l14133.htm</vt:lpwstr>
      </vt:variant>
      <vt:variant>
        <vt:lpwstr/>
      </vt:variant>
      <vt:variant>
        <vt:i4>3211381</vt:i4>
      </vt:variant>
      <vt:variant>
        <vt:i4>144</vt:i4>
      </vt:variant>
      <vt:variant>
        <vt:i4>0</vt:i4>
      </vt:variant>
      <vt:variant>
        <vt:i4>5</vt:i4>
      </vt:variant>
      <vt:variant>
        <vt:lpwstr>https://www.cnmp.mp.br/portal/images/CALJ/resolucoes/Resoluo-n-294d.pdf</vt:lpwstr>
      </vt:variant>
      <vt:variant>
        <vt:lpwstr/>
      </vt:variant>
      <vt:variant>
        <vt:i4>3604597</vt:i4>
      </vt:variant>
      <vt:variant>
        <vt:i4>141</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138</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135</vt:i4>
      </vt:variant>
      <vt:variant>
        <vt:i4>0</vt:i4>
      </vt:variant>
      <vt:variant>
        <vt:i4>5</vt:i4>
      </vt:variant>
      <vt:variant>
        <vt:lpwstr>https://learn.cisecurity.org/cis-controls-download-v8</vt:lpwstr>
      </vt:variant>
      <vt:variant>
        <vt:lpwstr/>
      </vt:variant>
      <vt:variant>
        <vt:i4>1769557</vt:i4>
      </vt:variant>
      <vt:variant>
        <vt:i4>132</vt:i4>
      </vt:variant>
      <vt:variant>
        <vt:i4>0</vt:i4>
      </vt:variant>
      <vt:variant>
        <vt:i4>5</vt:i4>
      </vt:variant>
      <vt:variant>
        <vt:lpwstr>https://learn.cisecurity.org/cis-controls-download-v8</vt:lpwstr>
      </vt:variant>
      <vt:variant>
        <vt:lpwstr/>
      </vt:variant>
      <vt:variant>
        <vt:i4>1769557</vt:i4>
      </vt:variant>
      <vt:variant>
        <vt:i4>129</vt:i4>
      </vt:variant>
      <vt:variant>
        <vt:i4>0</vt:i4>
      </vt:variant>
      <vt:variant>
        <vt:i4>5</vt:i4>
      </vt:variant>
      <vt:variant>
        <vt:lpwstr>https://learn.cisecurity.org/cis-controls-download-v8</vt:lpwstr>
      </vt:variant>
      <vt:variant>
        <vt:lpwstr/>
      </vt:variant>
      <vt:variant>
        <vt:i4>1769557</vt:i4>
      </vt:variant>
      <vt:variant>
        <vt:i4>126</vt:i4>
      </vt:variant>
      <vt:variant>
        <vt:i4>0</vt:i4>
      </vt:variant>
      <vt:variant>
        <vt:i4>5</vt:i4>
      </vt:variant>
      <vt:variant>
        <vt:lpwstr>https://learn.cisecurity.org/cis-controls-download-v8</vt:lpwstr>
      </vt:variant>
      <vt:variant>
        <vt:lpwstr/>
      </vt:variant>
      <vt:variant>
        <vt:i4>1769557</vt:i4>
      </vt:variant>
      <vt:variant>
        <vt:i4>123</vt:i4>
      </vt:variant>
      <vt:variant>
        <vt:i4>0</vt:i4>
      </vt:variant>
      <vt:variant>
        <vt:i4>5</vt:i4>
      </vt:variant>
      <vt:variant>
        <vt:lpwstr>https://learn.cisecurity.org/cis-controls-download-v8</vt:lpwstr>
      </vt:variant>
      <vt:variant>
        <vt:lpwstr/>
      </vt:variant>
      <vt:variant>
        <vt:i4>1769557</vt:i4>
      </vt:variant>
      <vt:variant>
        <vt:i4>120</vt:i4>
      </vt:variant>
      <vt:variant>
        <vt:i4>0</vt:i4>
      </vt:variant>
      <vt:variant>
        <vt:i4>5</vt:i4>
      </vt:variant>
      <vt:variant>
        <vt:lpwstr>https://learn.cisecurity.org/cis-controls-download-v8</vt:lpwstr>
      </vt:variant>
      <vt:variant>
        <vt:lpwstr/>
      </vt:variant>
      <vt:variant>
        <vt:i4>1769557</vt:i4>
      </vt:variant>
      <vt:variant>
        <vt:i4>117</vt:i4>
      </vt:variant>
      <vt:variant>
        <vt:i4>0</vt:i4>
      </vt:variant>
      <vt:variant>
        <vt:i4>5</vt:i4>
      </vt:variant>
      <vt:variant>
        <vt:lpwstr>https://learn.cisecurity.org/cis-controls-download-v8</vt:lpwstr>
      </vt:variant>
      <vt:variant>
        <vt:lpwstr/>
      </vt:variant>
      <vt:variant>
        <vt:i4>1769557</vt:i4>
      </vt:variant>
      <vt:variant>
        <vt:i4>114</vt:i4>
      </vt:variant>
      <vt:variant>
        <vt:i4>0</vt:i4>
      </vt:variant>
      <vt:variant>
        <vt:i4>5</vt:i4>
      </vt:variant>
      <vt:variant>
        <vt:lpwstr>https://learn.cisecurity.org/cis-controls-download-v8</vt:lpwstr>
      </vt:variant>
      <vt:variant>
        <vt:lpwstr/>
      </vt:variant>
      <vt:variant>
        <vt:i4>2752639</vt:i4>
      </vt:variant>
      <vt:variant>
        <vt:i4>111</vt:i4>
      </vt:variant>
      <vt:variant>
        <vt:i4>0</vt:i4>
      </vt:variant>
      <vt:variant>
        <vt:i4>5</vt:i4>
      </vt:variant>
      <vt:variant>
        <vt:lpwstr>https://www.planalto.gov.br/ccivil_03/_ato2015-2018/2018/lei/l13709.htm</vt:lpwstr>
      </vt:variant>
      <vt:variant>
        <vt:lpwstr>art47</vt:lpwstr>
      </vt:variant>
      <vt:variant>
        <vt:i4>2752639</vt:i4>
      </vt:variant>
      <vt:variant>
        <vt:i4>108</vt:i4>
      </vt:variant>
      <vt:variant>
        <vt:i4>0</vt:i4>
      </vt:variant>
      <vt:variant>
        <vt:i4>5</vt:i4>
      </vt:variant>
      <vt:variant>
        <vt:lpwstr>https://www.planalto.gov.br/ccivil_03/_ato2015-2018/2018/lei/l13709.htm</vt:lpwstr>
      </vt:variant>
      <vt:variant>
        <vt:lpwstr>art46</vt:lpwstr>
      </vt:variant>
      <vt:variant>
        <vt:i4>7209071</vt:i4>
      </vt:variant>
      <vt:variant>
        <vt:i4>105</vt:i4>
      </vt:variant>
      <vt:variant>
        <vt:i4>0</vt:i4>
      </vt:variant>
      <vt:variant>
        <vt:i4>5</vt:i4>
      </vt:variant>
      <vt:variant>
        <vt:lpwstr>https://www.planalto.gov.br/ccivil_03/_ato2019-2022/2021/lei/l14133.htm</vt:lpwstr>
      </vt:variant>
      <vt:variant>
        <vt:lpwstr/>
      </vt:variant>
      <vt:variant>
        <vt:i4>3211381</vt:i4>
      </vt:variant>
      <vt:variant>
        <vt:i4>102</vt:i4>
      </vt:variant>
      <vt:variant>
        <vt:i4>0</vt:i4>
      </vt:variant>
      <vt:variant>
        <vt:i4>5</vt:i4>
      </vt:variant>
      <vt:variant>
        <vt:lpwstr>https://www.cnmp.mp.br/portal/images/CALJ/resolucoes/Resoluo-n-294d.pdf</vt:lpwstr>
      </vt:variant>
      <vt:variant>
        <vt:lpwstr/>
      </vt:variant>
      <vt:variant>
        <vt:i4>3604597</vt:i4>
      </vt:variant>
      <vt:variant>
        <vt:i4>99</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96</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93</vt:i4>
      </vt:variant>
      <vt:variant>
        <vt:i4>0</vt:i4>
      </vt:variant>
      <vt:variant>
        <vt:i4>5</vt:i4>
      </vt:variant>
      <vt:variant>
        <vt:lpwstr>https://learn.cisecurity.org/cis-controls-download-v8</vt:lpwstr>
      </vt:variant>
      <vt:variant>
        <vt:lpwstr/>
      </vt:variant>
      <vt:variant>
        <vt:i4>2752639</vt:i4>
      </vt:variant>
      <vt:variant>
        <vt:i4>90</vt:i4>
      </vt:variant>
      <vt:variant>
        <vt:i4>0</vt:i4>
      </vt:variant>
      <vt:variant>
        <vt:i4>5</vt:i4>
      </vt:variant>
      <vt:variant>
        <vt:lpwstr>https://www.planalto.gov.br/ccivil_03/_ato2015-2018/2018/lei/l13709.htm</vt:lpwstr>
      </vt:variant>
      <vt:variant>
        <vt:lpwstr>art47</vt:lpwstr>
      </vt:variant>
      <vt:variant>
        <vt:i4>2752639</vt:i4>
      </vt:variant>
      <vt:variant>
        <vt:i4>87</vt:i4>
      </vt:variant>
      <vt:variant>
        <vt:i4>0</vt:i4>
      </vt:variant>
      <vt:variant>
        <vt:i4>5</vt:i4>
      </vt:variant>
      <vt:variant>
        <vt:lpwstr>https://www.planalto.gov.br/ccivil_03/_ato2015-2018/2018/lei/l13709.htm</vt:lpwstr>
      </vt:variant>
      <vt:variant>
        <vt:lpwstr>art46</vt:lpwstr>
      </vt:variant>
      <vt:variant>
        <vt:i4>7209071</vt:i4>
      </vt:variant>
      <vt:variant>
        <vt:i4>84</vt:i4>
      </vt:variant>
      <vt:variant>
        <vt:i4>0</vt:i4>
      </vt:variant>
      <vt:variant>
        <vt:i4>5</vt:i4>
      </vt:variant>
      <vt:variant>
        <vt:lpwstr>https://www.planalto.gov.br/ccivil_03/_ato2019-2022/2021/lei/l14133.htm</vt:lpwstr>
      </vt:variant>
      <vt:variant>
        <vt:lpwstr/>
      </vt:variant>
      <vt:variant>
        <vt:i4>3211381</vt:i4>
      </vt:variant>
      <vt:variant>
        <vt:i4>81</vt:i4>
      </vt:variant>
      <vt:variant>
        <vt:i4>0</vt:i4>
      </vt:variant>
      <vt:variant>
        <vt:i4>5</vt:i4>
      </vt:variant>
      <vt:variant>
        <vt:lpwstr>https://www.cnmp.mp.br/portal/images/CALJ/resolucoes/Resoluo-n-294d.pdf</vt:lpwstr>
      </vt:variant>
      <vt:variant>
        <vt:lpwstr/>
      </vt:variant>
      <vt:variant>
        <vt:i4>3604597</vt:i4>
      </vt:variant>
      <vt:variant>
        <vt:i4>78</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75</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72</vt:i4>
      </vt:variant>
      <vt:variant>
        <vt:i4>0</vt:i4>
      </vt:variant>
      <vt:variant>
        <vt:i4>5</vt:i4>
      </vt:variant>
      <vt:variant>
        <vt:lpwstr>https://learn.cisecurity.org/cis-controls-download-v8</vt:lpwstr>
      </vt:variant>
      <vt:variant>
        <vt:lpwstr/>
      </vt:variant>
      <vt:variant>
        <vt:i4>2752639</vt:i4>
      </vt:variant>
      <vt:variant>
        <vt:i4>69</vt:i4>
      </vt:variant>
      <vt:variant>
        <vt:i4>0</vt:i4>
      </vt:variant>
      <vt:variant>
        <vt:i4>5</vt:i4>
      </vt:variant>
      <vt:variant>
        <vt:lpwstr>https://www.planalto.gov.br/ccivil_03/_ato2015-2018/2018/lei/l13709.htm</vt:lpwstr>
      </vt:variant>
      <vt:variant>
        <vt:lpwstr>art47</vt:lpwstr>
      </vt:variant>
      <vt:variant>
        <vt:i4>2752639</vt:i4>
      </vt:variant>
      <vt:variant>
        <vt:i4>66</vt:i4>
      </vt:variant>
      <vt:variant>
        <vt:i4>0</vt:i4>
      </vt:variant>
      <vt:variant>
        <vt:i4>5</vt:i4>
      </vt:variant>
      <vt:variant>
        <vt:lpwstr>https://www.planalto.gov.br/ccivil_03/_ato2015-2018/2018/lei/l13709.htm</vt:lpwstr>
      </vt:variant>
      <vt:variant>
        <vt:lpwstr>art46</vt:lpwstr>
      </vt:variant>
      <vt:variant>
        <vt:i4>7209071</vt:i4>
      </vt:variant>
      <vt:variant>
        <vt:i4>63</vt:i4>
      </vt:variant>
      <vt:variant>
        <vt:i4>0</vt:i4>
      </vt:variant>
      <vt:variant>
        <vt:i4>5</vt:i4>
      </vt:variant>
      <vt:variant>
        <vt:lpwstr>https://www.planalto.gov.br/ccivil_03/_ato2019-2022/2021/lei/l14133.htm</vt:lpwstr>
      </vt:variant>
      <vt:variant>
        <vt:lpwstr/>
      </vt:variant>
      <vt:variant>
        <vt:i4>3211381</vt:i4>
      </vt:variant>
      <vt:variant>
        <vt:i4>60</vt:i4>
      </vt:variant>
      <vt:variant>
        <vt:i4>0</vt:i4>
      </vt:variant>
      <vt:variant>
        <vt:i4>5</vt:i4>
      </vt:variant>
      <vt:variant>
        <vt:lpwstr>https://www.cnmp.mp.br/portal/images/CALJ/resolucoes/Resoluo-n-294d.pdf</vt:lpwstr>
      </vt:variant>
      <vt:variant>
        <vt:lpwstr/>
      </vt:variant>
      <vt:variant>
        <vt:i4>3604597</vt:i4>
      </vt:variant>
      <vt:variant>
        <vt:i4>57</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54</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51</vt:i4>
      </vt:variant>
      <vt:variant>
        <vt:i4>0</vt:i4>
      </vt:variant>
      <vt:variant>
        <vt:i4>5</vt:i4>
      </vt:variant>
      <vt:variant>
        <vt:lpwstr>https://learn.cisecurity.org/cis-controls-download-v8</vt:lpwstr>
      </vt:variant>
      <vt:variant>
        <vt:lpwstr/>
      </vt:variant>
      <vt:variant>
        <vt:i4>2752639</vt:i4>
      </vt:variant>
      <vt:variant>
        <vt:i4>48</vt:i4>
      </vt:variant>
      <vt:variant>
        <vt:i4>0</vt:i4>
      </vt:variant>
      <vt:variant>
        <vt:i4>5</vt:i4>
      </vt:variant>
      <vt:variant>
        <vt:lpwstr>https://www.planalto.gov.br/ccivil_03/_ato2015-2018/2018/lei/l13709.htm</vt:lpwstr>
      </vt:variant>
      <vt:variant>
        <vt:lpwstr>art47</vt:lpwstr>
      </vt:variant>
      <vt:variant>
        <vt:i4>2752639</vt:i4>
      </vt:variant>
      <vt:variant>
        <vt:i4>45</vt:i4>
      </vt:variant>
      <vt:variant>
        <vt:i4>0</vt:i4>
      </vt:variant>
      <vt:variant>
        <vt:i4>5</vt:i4>
      </vt:variant>
      <vt:variant>
        <vt:lpwstr>https://www.planalto.gov.br/ccivil_03/_ato2015-2018/2018/lei/l13709.htm</vt:lpwstr>
      </vt:variant>
      <vt:variant>
        <vt:lpwstr>art46</vt:lpwstr>
      </vt:variant>
      <vt:variant>
        <vt:i4>7209071</vt:i4>
      </vt:variant>
      <vt:variant>
        <vt:i4>42</vt:i4>
      </vt:variant>
      <vt:variant>
        <vt:i4>0</vt:i4>
      </vt:variant>
      <vt:variant>
        <vt:i4>5</vt:i4>
      </vt:variant>
      <vt:variant>
        <vt:lpwstr>https://www.planalto.gov.br/ccivil_03/_ato2019-2022/2021/lei/l14133.htm</vt:lpwstr>
      </vt:variant>
      <vt:variant>
        <vt:lpwstr/>
      </vt:variant>
      <vt:variant>
        <vt:i4>3211381</vt:i4>
      </vt:variant>
      <vt:variant>
        <vt:i4>39</vt:i4>
      </vt:variant>
      <vt:variant>
        <vt:i4>0</vt:i4>
      </vt:variant>
      <vt:variant>
        <vt:i4>5</vt:i4>
      </vt:variant>
      <vt:variant>
        <vt:lpwstr>https://www.cnmp.mp.br/portal/images/CALJ/resolucoes/Resoluo-n-294d.pdf</vt:lpwstr>
      </vt:variant>
      <vt:variant>
        <vt:lpwstr/>
      </vt:variant>
      <vt:variant>
        <vt:i4>3604597</vt:i4>
      </vt:variant>
      <vt:variant>
        <vt:i4>36</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33</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30</vt:i4>
      </vt:variant>
      <vt:variant>
        <vt:i4>0</vt:i4>
      </vt:variant>
      <vt:variant>
        <vt:i4>5</vt:i4>
      </vt:variant>
      <vt:variant>
        <vt:lpwstr>https://learn.cisecurity.org/cis-controls-download-v8</vt:lpwstr>
      </vt:variant>
      <vt:variant>
        <vt:lpwstr/>
      </vt:variant>
      <vt:variant>
        <vt:i4>2752639</vt:i4>
      </vt:variant>
      <vt:variant>
        <vt:i4>27</vt:i4>
      </vt:variant>
      <vt:variant>
        <vt:i4>0</vt:i4>
      </vt:variant>
      <vt:variant>
        <vt:i4>5</vt:i4>
      </vt:variant>
      <vt:variant>
        <vt:lpwstr>https://www.planalto.gov.br/ccivil_03/_ato2015-2018/2018/lei/l13709.htm</vt:lpwstr>
      </vt:variant>
      <vt:variant>
        <vt:lpwstr>art47</vt:lpwstr>
      </vt:variant>
      <vt:variant>
        <vt:i4>2752639</vt:i4>
      </vt:variant>
      <vt:variant>
        <vt:i4>24</vt:i4>
      </vt:variant>
      <vt:variant>
        <vt:i4>0</vt:i4>
      </vt:variant>
      <vt:variant>
        <vt:i4>5</vt:i4>
      </vt:variant>
      <vt:variant>
        <vt:lpwstr>https://www.planalto.gov.br/ccivil_03/_ato2015-2018/2018/lei/l13709.htm</vt:lpwstr>
      </vt:variant>
      <vt:variant>
        <vt:lpwstr>art46</vt:lpwstr>
      </vt:variant>
      <vt:variant>
        <vt:i4>7209071</vt:i4>
      </vt:variant>
      <vt:variant>
        <vt:i4>21</vt:i4>
      </vt:variant>
      <vt:variant>
        <vt:i4>0</vt:i4>
      </vt:variant>
      <vt:variant>
        <vt:i4>5</vt:i4>
      </vt:variant>
      <vt:variant>
        <vt:lpwstr>https://www.planalto.gov.br/ccivil_03/_ato2019-2022/2021/lei/l14133.htm</vt:lpwstr>
      </vt:variant>
      <vt:variant>
        <vt:lpwstr/>
      </vt:variant>
      <vt:variant>
        <vt:i4>3211381</vt:i4>
      </vt:variant>
      <vt:variant>
        <vt:i4>18</vt:i4>
      </vt:variant>
      <vt:variant>
        <vt:i4>0</vt:i4>
      </vt:variant>
      <vt:variant>
        <vt:i4>5</vt:i4>
      </vt:variant>
      <vt:variant>
        <vt:lpwstr>https://www.cnmp.mp.br/portal/images/CALJ/resolucoes/Resoluo-n-294d.pdf</vt:lpwstr>
      </vt:variant>
      <vt:variant>
        <vt:lpwstr/>
      </vt:variant>
      <vt:variant>
        <vt:i4>3604597</vt:i4>
      </vt:variant>
      <vt:variant>
        <vt:i4>15</vt:i4>
      </vt:variant>
      <vt:variant>
        <vt:i4>0</vt:i4>
      </vt:variant>
      <vt:variant>
        <vt:i4>5</vt:i4>
      </vt:variant>
      <vt:variant>
        <vt:lpwstr>https://www.tjrj.jus.br/documents/10136/0/resolucao-tjoe-28-2022-estrategia_si_pjerj.pdf/b7113e47-b697-a7f5-afd8-e41df0b52bbd?t=1666287585082</vt:lpwstr>
      </vt:variant>
      <vt:variant>
        <vt:lpwstr/>
      </vt:variant>
      <vt:variant>
        <vt:i4>5701662</vt:i4>
      </vt:variant>
      <vt:variant>
        <vt:i4>12</vt:i4>
      </vt:variant>
      <vt:variant>
        <vt:i4>0</vt:i4>
      </vt:variant>
      <vt:variant>
        <vt:i4>5</vt:i4>
      </vt:variant>
      <vt:variant>
        <vt:lpwstr>https://www.rj.gov.br/proderj/sites/default/files/Arquivos_IN/Anexo_Unico___Manual_de_Seguranca_da_Informacao___editado___gestao_atualizada %281%29.pdf</vt:lpwstr>
      </vt:variant>
      <vt:variant>
        <vt:lpwstr/>
      </vt:variant>
      <vt:variant>
        <vt:i4>1769557</vt:i4>
      </vt:variant>
      <vt:variant>
        <vt:i4>9</vt:i4>
      </vt:variant>
      <vt:variant>
        <vt:i4>0</vt:i4>
      </vt:variant>
      <vt:variant>
        <vt:i4>5</vt:i4>
      </vt:variant>
      <vt:variant>
        <vt:lpwstr>https://learn.cisecurity.org/cis-controls-download-v8</vt:lpwstr>
      </vt:variant>
      <vt:variant>
        <vt:lpwstr/>
      </vt:variant>
      <vt:variant>
        <vt:i4>2752639</vt:i4>
      </vt:variant>
      <vt:variant>
        <vt:i4>6</vt:i4>
      </vt:variant>
      <vt:variant>
        <vt:i4>0</vt:i4>
      </vt:variant>
      <vt:variant>
        <vt:i4>5</vt:i4>
      </vt:variant>
      <vt:variant>
        <vt:lpwstr>https://www.planalto.gov.br/ccivil_03/_ato2015-2018/2018/lei/l13709.htm</vt:lpwstr>
      </vt:variant>
      <vt:variant>
        <vt:lpwstr>art47</vt:lpwstr>
      </vt:variant>
      <vt:variant>
        <vt:i4>2752639</vt:i4>
      </vt:variant>
      <vt:variant>
        <vt:i4>3</vt:i4>
      </vt:variant>
      <vt:variant>
        <vt:i4>0</vt:i4>
      </vt:variant>
      <vt:variant>
        <vt:i4>5</vt:i4>
      </vt:variant>
      <vt:variant>
        <vt:lpwstr>https://www.planalto.gov.br/ccivil_03/_ato2015-2018/2018/lei/l13709.htm</vt:lpwstr>
      </vt:variant>
      <vt:variant>
        <vt:lpwstr>art46</vt:lpwstr>
      </vt:variant>
      <vt:variant>
        <vt:i4>7209071</vt:i4>
      </vt:variant>
      <vt:variant>
        <vt:i4>0</vt:i4>
      </vt:variant>
      <vt:variant>
        <vt:i4>0</vt:i4>
      </vt:variant>
      <vt:variant>
        <vt:i4>5</vt:i4>
      </vt:variant>
      <vt:variant>
        <vt:lpwstr>https://www.planalto.gov.br/ccivil_03/_ato2019-2022/2021/lei/l14133.htm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Souza Lima</dc:creator>
  <cp:keywords/>
  <dc:description/>
  <cp:lastModifiedBy>Augusto Cesar Benvenuto de Almeida</cp:lastModifiedBy>
  <cp:revision>3218</cp:revision>
  <cp:lastPrinted>2025-10-21T03:58:00Z</cp:lastPrinted>
  <dcterms:created xsi:type="dcterms:W3CDTF">2023-08-10T07:29:00Z</dcterms:created>
  <dcterms:modified xsi:type="dcterms:W3CDTF">2026-06-10T19:24:00Z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0x0101003FDBC2031823944CAE7A47B474980AF9</vt:lpwstr>
  </property>
  <property fmtid="{D5CDD505-2E9C-101B-9397-08002B2CF9AE}" pid="3" name="Order">
    <vt:r8>61100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y fmtid="{D5CDD505-2E9C-101B-9397-08002B2CF9AE}" pid="11" name="docLang">
    <vt:lpwstr>pt</vt:lpwstr>
  </property>
</Properties>
</file>