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BC7204" w14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w14:paraId="0D1BC449" w14:textId="55C4960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 xml:space="preserve">MATRIZ DE PLANEJAMENTO</w:t>
      </w:r>
      <w:r>
        <w:rPr>
          <w:rFonts w:ascii="Arial" w:hAnsi="Arial" w:cs="Arial"/>
          <w:b/>
        </w:rPr>
      </w:r>
    </w:p>
    <w:p w14:paraId="46357FAD" w14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w14:paraId="5D2618CF" w14:textId="6C9D6D25">
      <w:pPr>
        <w:pBdr/>
        <w:spacing w:after="200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QUESTÃO GERAL DE AUDITORIA: Qual é o grau de adoção das práticas de governança e gestão de TIC das organizações avaliadas, segundo o iGovTI 2026, e quais fragilidades relevantes estão presentes?</w:t>
      </w:r>
      <w:r>
        <w:rPr>
          <w:rFonts w:ascii="Arial" w:hAnsi="Arial" w:cs="Arial"/>
          <w:sz w:val="20"/>
          <w:szCs w:val="20"/>
        </w:rPr>
      </w:r>
    </w:p>
    <w:p>
      <w:pPr>
        <w:pBdr/>
        <w:spacing/>
        <w:ind/>
        <w:rPr/>
      </w:pPr>
      <w:r/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Q1: A organização possui área, unidade, setor ou função de TIC formalmente instituída, com atribuições definidas e posicionamento organizacional compatível com suas responsabilidades institucionais?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possui área, unidade, setor ou função de TIC formalmente instituída?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área de TIC possui atribuições formalmente definidas relacionadas à gestão da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área de TIC está posicionada em nível organizacional que favoreça sua interlocução com a alta administração e sua atuação estratégica?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1.1: Devido à ausência de formalização da área de TIC, poderá não haver unidade ou função institucionalmente reconhecida para coordenar o uso da tecnologia da informação, prejudicando a responsabilização e o alinhamento da TIC aos objetivos da organização.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R1.2: Devido à ausência de atribuições formais da área de TIC, poderá não haver clareza sobre responsabilidades de planejamento, coordenação, gestão e controle da TIC, favorecendo atuação reativa e fragmentada.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R1.3: Devido ao posicionamento organizacional inadequado da área de TIC, poderá haver baixa capacidade de influência institucional, comprometendo a participação da TIC em decisões estratégicas, orçamentárias, contratuais e de gestão de riscos.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ao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a existência formal de área, unidade, setor ou função de TIC; [F1, q0101]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sobre atribuições e competências formalizadas da área de TIC; [F1, q0103]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Evidência anexada que demonstre atribuições formalmente definidas relacionadas à gestão da TIC; [F2, q0103evi]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posicionamento hierárquico da área de TIC na estrutura organizacional; [F1, q0102]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COBIT 2019, APO01.04 - Definir e implementar as estruturas organizacionais: estabelecer estruturas organizacionais internas e externas necessárias para apoiar os objetivos de governança e gestão de TI.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COBIT 2019, APO01.05 - Estabelecer papéis e responsabilidades: definir, comunicar e manter papéis e responsabilidades relacionados à governança e gestão de TI.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COBIT 2019, APO01.06 - Aprimorar o posicionamento da função de TI: posicionar a função de tecnologia de modo compatível com sua relevância estratégica, responsabilidades e necessidade de interação com a alta administração.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Portaria SGD/ME nº 778/2019, art. 4º, § 1º - Referência de posici</w:t>
            </w:r>
            <w:r>
              <w:rPr>
                <w:bCs/>
                <w:color w:val="auto"/>
                <w:sz w:val="18"/>
                <w:szCs w:val="18"/>
              </w:rPr>
              <w:t xml:space="preserve">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Constituição Federal, art. 37, caput - Princípio da eficiência.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resposta à q0101, se a organização possui área, unidade, setor ou função de TIC formalmente instituída;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 resposta à q0103, se a área de TIC possui atribuições formalmente definidas relacionadas à gestão da TIC;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Validar, pela evidência anexada à q0103, a existência de atribuições formalmente definidas relacionadas à gestão da TIC;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resposta à q0102, o posicionamento hierárquico da área de TIC;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ou insuficiente sobre formalização da área, unidade, setor ou função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Resposta negativa ou insuficiente sobre atribuições formalizadas da área de TIC;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Ausência ou insuficiência de evidência que demonstre atribuições formalmente definidas relacionadas à gestão da TIC;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Resposta que indique posicionamento inexistente ou incompatível da área de TIC;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Estrutura de TIC insuficientemente formalizada, definida ou posicionada para gerir a tecnologia da informação.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área, unidade, setor ou função de TIC formalmente instituída.[R1.1, P1, E1, C1,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Área de TIC sem atribuições formalmente definidas ou sem atribuições formais de gestão de TIC.[R1.2, P2, E2, P3, E3, C2,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defina formalmente as atribuições da área de TIC, atentando-se, minimamente, em abranger as atividades de planejamento, coordenação, gestão e controle da TIC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Posicionamento organizacional inadequado da área de TIC.[R1.3, P4, E4,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avalie o posicionamento org</w:t>
            </w:r>
            <w:r>
              <w:rPr>
                <w:rFonts w:ascii="Arial" w:hAnsi="Arial" w:cs="Arial"/>
                <w:sz w:val="18"/>
                <w:szCs w:val="18"/>
              </w:rPr>
              <w:t xml:space="preserve">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Q2: A organização possui mecanismos básicos de governança de TIC, incluindo objetivos, indicadores e metas, bem como Comitê de TIC ou instância equivalente formalmente instituída e atuante?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alta administração estabeleceu objetivos, indicadores e metas para a gestão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Comitê de TIC ou instância equivalente está formalmente instituído e conta com representantes de áreas relevantes da organização?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Comitê de TIC ou instância equivalente realiza as atividades previstas em seu ato constitutivo?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R2.1: Devido à ausência de objetivos, indicadores ou metas para a gestão de TIC, poderá haver dificuldade para direcionar prioridades, medir resultados e acompanhar a contribuição da TIC para os objetivos institucionais.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R2.2: Devido à inexistência de C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omitê de TIC ou instância equivalente, ou à ausência de representação de áreas relevantes em sua composição, poderá não haver instância colegiada adequada para alinhar prioridades e decisões relevantes de TIC às necessidades e aos objetivos institucionais.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R2.3: Devido à ausência de atuação efetiva do Comitê de TIC ou instância equivalente, o colegiado poderá existir apenas formalmente, sem contribuir efetivamente para o direcionamento, a priorização e o acompanhamento da TIC.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ao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objetivos, indicadores e metas para a gestão de TIC estabelecidos pela alta administração; [F1, q1001ext[H]]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Evidência anexada que demonstre a formalização dos objetivos, indicadores e metas para a gestão de TIC; [F2, q1001evi]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existência de Comitê de TIC ou instância equivalente composto por representantes de áreas relevantes da organização; [F1, q1001ext[E]]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Evidência anexada que demonstre a instituição formal e a composição do Comitê de TIC ou instância equivalente; [F2, q1001evi]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Resposta sobre a realização das atividades previstas no ato constitutivo do Comitê de TIC ou instância equivalente; [F1, q1001ext[F]]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Evidência anexada que demonstre atuação efetiva do Comitê de TIC ou instância equivalente, como atas, pautas, listas de presença, registros de deliberação, decisões, encaminhamentos ou acompanhamento de pendências; [F2, q1001evi]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COBIT 2019, EDM01.02 - Dirigir o sistema de governança: orientar estruturas, princípios, processos e práticas de governança para assegurar que a TI apoie os objetivos organizacionais.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COBIT 2019, MEA01.04 - Avaliar o desempenho: monitorar e avaliar periodicamente o desempenho e a conformidade da TI em relação a objetivos, indicadores, metas e expectativas das partes interessadas.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Decreto nº 12.198/2024, arts. 5º e 6º, § 2º – Referência de governança digital: instituição, no âmbito da Administração Pública </w:t>
            </w:r>
            <w:r>
              <w:rPr>
                <w:bCs/>
                <w:color w:val="auto"/>
                <w:sz w:val="18"/>
                <w:szCs w:val="18"/>
              </w:rPr>
              <w:t xml:space="preserve">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TCE-RJ nº 44.490/2024-PLEN, itens II.1, I</w:t>
            </w:r>
            <w:r>
              <w:rPr>
                <w:bCs/>
                <w:color w:val="auto"/>
                <w:sz w:val="18"/>
                <w:szCs w:val="18"/>
              </w:rPr>
              <w:t xml:space="preserve">II.1 e V.1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resposta à q1001ext[H], se a alta administração estabeleceu objetivos, indicadores e metas para a gestão de TIC;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Validar, pela evidência anexada à q1001, a formalização dos objetivos, indicadores e metas para a gestão de TIC;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resposta à q1001ext[E], se a organização declarou dispor de Comitê de TIC ou instância equivalente composto por representantes de áreas relevantes;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Validar, pela evidência anexada à q1001, a instituição formal e a composição do Comitê de TIC ou instância equivalente;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Verificar, por meio da resposta à q1001ext[F], se o Comitê de TIC ou instância equivalente realiza as atividades previstas em seu ato constitutivo;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Validar, pela evidência anexada à q1001, se há atas, pautas, registros de deliberação, encaminhamentos ou acompanhamento de decisões do Comitê de TIC ou instância equivalente;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sobre o estabelecimento de objetivos, indicadores ou metas para a gestão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Ausência, desatualização, incompatibilidade ou insuficiência de evidência que demonstre objetivos, indicadores e metas para a gestão de TIC;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Resposta que indique inexistência de Comitê de TIC ou instância equivalente com representação de áreas relevantes da organização;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Ausência ou insuficiência de evidência que demonstre a instituição formal e a composição do Comitê de TIC ou instância equivalente;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Resposta que indique que o Comitê de TIC ou instância equivalente não realiza as atividades previstas em seu ato constitutivo;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Ausência, desatualização, incompatibilidade ou insuficiência de atas, registros de deliberação, encaminhamentos ou acompanhamento de decisões do Comitê de TIC ou instância equivalente;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Governança de TIC insuficiente para avaliar, dirigir e monitorar a tecnologia da informação.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objetivos, indicadores ou metas para a gestão de TIC.[R2.1, P1, E1, P2, E2, C2];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estabeleça objetivos, indicadores e metas para a gestão de TIC, de modo a possibilitar o acompanhamento periódico do desempenho da TIC pela alta administração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Comitê de TIC ou instância equivalente não instituído formalmente ou sem representação de áreas relevantes da organização.[R2.2, P3, E3, P4, E4, C1,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institua formalmente Comitê de TIC ou instância colegiada equivalente, compatível com o porte e a estrutura decisória da organização,</w:t>
            </w:r>
            <w:r>
              <w:rPr>
                <w:rFonts w:ascii="Arial" w:hAnsi="Arial" w:cs="Arial"/>
                <w:sz w:val="18"/>
                <w:szCs w:val="18"/>
              </w:rPr>
              <w:t xml:space="preserve">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Comitê de TIC ou instância equivalente sem atuação efetiva comprovada.[R2.3, P5, E5, P6, E6, C1,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Q3: A organização utiliza o planejamento de TIC como instrumento efetivo de gestão, com processo formal, plano vigente, aprovação competente, alinhamento institucional, integração com orçamento e contratações e acompanhamento periódico?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executa processo formal de planejamento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áreas demandantes participam do processo de planejamento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plano de TIC foi formalmente aprovado pela instância competente?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plano de TIC está alinhado ao planejamento institucional?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plano de TIC está integrado à proposta orçamentária da área de TIC e ao plano de contratações?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plano de TIC é acompanhado, revisto e atualizado periodicamente ou diante de mudanças relevantes?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R3.1: Devido à inexistência ou insuficiência do processo de planejamento de TIC, poderá não haver plano vigente e participação adequada das áreas demandantes, favorecendo atuação reativa e desalinhada às necessidades institucionais.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R3.2: Devido à ausência de aprovação formal do plano de TIC pela instância competente, o instrumento poderá não possuir legitimidade institucional para orientar a gestão, os projetos, o orçamento e as contratações de TIC.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R3.3: Devido ao alinhamento insuficiente do plano de TIC ao planejamento institucional poderão ser executadas ações de TIC com baixo valor ou desconectadas das prioridades da organização.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R3.4: Devido à ausência de integração entre planejamento de TIC, orçamento e contratações, poderão ocorrer aquisições reativas, não priorizadas ou desalinhadas.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R3.5: Devido à ausência de acompanhamento da execução do plano de TIC, poderão deixar de ser identificados tempestivamente desvios, pendências ou mudanças que demandem ajustes nas iniciativas e prioridades planejadas.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no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Respostas sobre execução e formalização do processo de planejamento de TIC, bem como sobre a existência de plano de TIC vigente; [F1, q2101, q2101ext[D], q2102]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Evidência que demonstre a formalização do processo de planejamento de TIC; [F2, q2101evi]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participação das áreas demandantes no processo de planejamento de TIC; [F1, q2101ext[A]]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aprovação formal do plano de TIC pela instância competente; [F1, q2102ext[A]]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Evidência anexada do ato de aprovação formal do plano de TIC; [F2, q2102evi]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Resposta e evidência sobre alinhamento das iniciativas do plano de TIC ao planejamento institucional; [F1, F2, q2102ext[D], q2102evi]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IR7: Resposta e evidência sobre a utilização do plano de TIC como referência para a elaboração da proposta orçamentária da área de TIC e do plano de contratações; [F1, F2, q2102ext[C], q2102evi]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IR8: Resposta e evidência sobre acompanhamento da execução do plano de TIC; [F1, F2, q2102ext[E], q2102evi]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COBIT 2019, APO02.05 - Definir o plano e o roteiro estratégico: estabelecer plano e roteiro de TIC que traduzam a estratégia em iniciativas, prioridades, recursos, dependências, prazos e benefícios esperados.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COBIT 2019, APO06.03 - Criar e manter orçamentos: elaborar e manter orçamento de TIC alinhado ao portfólio, ao planejamento e às prioridades aprovadas.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Acórdão 1.411/2014-TCU-Plenário, item 9.1.6 e subitens 9.1.6.1 a 9.1.6.4: necessidade de instituir formalmente plano d</w:t>
            </w:r>
            <w:r>
              <w:rPr>
                <w:bCs/>
                <w:color w:val="auto"/>
                <w:sz w:val="18"/>
                <w:szCs w:val="18"/>
              </w:rPr>
              <w:t xml:space="preserve">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Acórdão TCE-RJ nº 44.490/2024-PLEN, itens II.3 e III.3 e respectivos subitens – Precedentes quanto ao estabelecimento formal de processo estruturado de planejamento de TIC, com participação das áreas relevan</w:t>
            </w:r>
            <w:r>
              <w:rPr>
                <w:bCs/>
                <w:color w:val="auto"/>
                <w:sz w:val="18"/>
                <w:szCs w:val="18"/>
              </w:rPr>
              <w:t xml:space="preserve">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das respostas à q2101 e q2101ext[D], se a organização executa processo de planejamento de TIC formalizado;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Validar, pela evidência anexada à q2101, a formalização mínima do processo de planejamento de TIC;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q2101ext[A], se há participação das áreas demandantes no processo de planejamento de TIC;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resposta à q2102ext[A], se o plano de TIC foi aprovado pelo dirigente máximo da organização ou por dirigente ou colegiado integrante da alta administração;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Validar, pelas evidências anexadas à q2102, a aprovação formal do plano de TIC pela instância competente;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Verificar, por meio da resposta e das evidências da q2102, se o plano está alinhado ao planejamento institucional;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P7: Verificar, por meio da resposta à q2102ext[C] e da evidência correspondente, se o plano de TIC fundamenta a proposta orçamentária da área de TIC e o plano de contratações; [IR7]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P8: Verificar, por meio da resposta à q2102ext[E] e das evidências correspondentes, se é realizado acompanhamento concomitante à execução do plano de TIC; [IR8]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ou insuficiente sobre a existência de processo de planejamento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Ausência, desatualização, incompatibilidade ou insuficiência de evidência que discipline o processo de planejamento de TIC;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Resposta negativa ou insuficiente sobre participação das áreas demandantes;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Resposta negativa ou insuficiente sobre a aprovação formal do plano de TIC pela instância competente;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Ausência ou insuficiência de evidência do ato de aprovação formal do plano de TIC pela instância competente;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Inexistência ou insuficiência de alinhamento entre plano de TIC e planejamento institucional;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E7: Ausência ou insuficiência de evidência de utilização do plano de TIC como referência para a proposta orçamentária da área de TIC e o plano de contratações; [P7]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E8: Ausência ou insuficiência de evidência de acompanhamento da execução do plano de TIC; [P8]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Planejamento de TIC insuficiente para orientar a gestão, o orçamento e as contratações de TIC.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Inexistência ou insuficiência do processo de planejamento de TIC para produzir e manter plano de TIC adequado.[R3.1, P1, E1, P2, E2, P3, E3, C1,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insti</w:t>
            </w:r>
            <w:r>
              <w:rPr>
                <w:rFonts w:ascii="Arial" w:hAnsi="Arial" w:cs="Arial"/>
                <w:sz w:val="18"/>
                <w:szCs w:val="18"/>
              </w:rPr>
              <w:t xml:space="preserve">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aprovação formal do plano de TIC.[R3.2, P4, E4, P5, E5,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submeta o plano de TIC à aprovação formal do dirigente máximo ou de instância competente da alta administração, mantendo registro do respectivo ato de aprovação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Plano de TIC sem alinhamento adequado ao planejamento institucional.[R3.3, P6, E6, C1, C3,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revise o plano de T</w:t>
            </w:r>
            <w:r>
              <w:rPr>
                <w:rFonts w:ascii="Arial" w:hAnsi="Arial" w:cs="Arial"/>
                <w:sz w:val="18"/>
                <w:szCs w:val="18"/>
              </w:rPr>
              <w:t xml:space="preserve">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Plano de TIC não utilizado como referência para a elaboração da proposta orçamentária e do plano de contratações.[R3.4, P7, E7, C2,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integre o plano de TIC à elaboração da proposta orçamentária e do plano de contratações, de maneira proporcional ao porte, à estrutura e à capacidade de planejamento da organização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acompanhamento da execução do plano de TIC.[R3.5, P8, E8, C4];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estabeleça e execute rotina periódica de acompanhamento da execução do plano de TIC, promovendo sua revisão periódica e os ajustes ou atualizações necessários, com registro das principais decisões e reprogramações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Q4: A organização dispõe de mecanismos mínimos para estruturar e dimensionar sua força de trabalho de TIC e segurança da informação, formalizar funções e preservar capacidade interna nos modelos de operação predominantemente terceirizados?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dispõe de profissionais que atuam regularmente em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definiu o quantitativo necessário de pessoal de TIC e segurança da informação?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possui cargos ou funções formalmente atribuídos à TIC e à segurança da informação?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Nos modelos de operação predominantemente terceirizados, a organização mantém força de trabalho interna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R4.1: Devido à ausência de profissionais atuando regularmente em TIC, poderá não haver capacidade operacional mínima para coordenar e sustentar as atividades e serviços tecnológicos da organização.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R4.2: Devido à ausência de definição do quantitativo necessário de pessoal de TIC e segurança da informação, poderá haver subdimensionamento ou alocação inadequada da equipe.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R4.3: Devido à ausência de cargos ou funções formalmente atribuídos à TIC ou à segurança da informação, poderá haver baixa clareza de responsabilidades e insuficiente capacidade de alocação e responsabilização dos profissionais.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R4.4: Devido à operação predominantemente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terceirizada sem profissionais internos de TIC, poderá haver insuficiência de capacidade interna para coordenação, supervisão e fiscalização das atividades terceirizadas, além de maior risco de dependência externa, perda de conhecimento e descontinuidade.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no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quantitativo de profissionais que atuam em TIC e segurança da informação, por área e tipo de vínculo; [F1, q0105]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evidência sobre definição do quantitativo necessário de pessoal de TIC e segurança da informação; [F1, F2, q2703, q2703evi]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e evidência sobre existência de cargos ou funções formalmente atribuídos à TIC e à segurança da informação; [F1, F2, q2708, q2708evi]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o modelo de operação predominante de TIC e os quantitativos total e interno de profissionais de TIC, para avaliação da dependência de terceiros e da capacidade interna de coordenação e fiscalização; [F1, q0101, q0105]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COBIT 2019, APO01.05 - Estabelecer papéis e responsabilidades: definir, comunicar e manter papéis e responsabilidades relacionados à governança e gestão de TIC.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COBIT 2019, APO07.01 - Adquirir e manter pessoal adequado e apropriado: assegurar quantidade e perfil de profissionais compatíveis com as necessidades de TIC.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COBIT 2019, APO07.05 - Planejar e monitorar o uso de recursos humanos de TI e de negócio: planejar, alocar e acompanhar capacidade de pessoal para iniciativas, operações e serviços de TIC.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COBIT 2019, APO07.06 - Gerenciar pessoal contratado: controlar o uso de pessoal terceirizado ou externo, preservando responsabilização, supervisão e retenção de conhecimento.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Acórdão 1.411/2014-TCU-Plenário, item 9.1.6.5 - O PDTI deve contemplar o quantitativo necessário ou ideal para a força de trabalho em TI.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C6: Acórdão 1.411/2014-TCU-Plenário, item 9.1.7 - A organização deve adotar providências para dotar o setor de TI de quantitativo adequado às necessidades de trabalho em TI, consideradas as necessidades das demais áreas.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Acórdão TCE-RJ nº 44.490/2024-PLEN, </w:t>
            </w:r>
            <w:r>
              <w:rPr>
                <w:bCs/>
                <w:color w:val="auto"/>
                <w:sz w:val="18"/>
                <w:szCs w:val="18"/>
              </w:rPr>
              <w:t xml:space="preserve">itens I.10.11, III.9.11 e IV.11.3 – Referência para avaliação da estrutura de recursos humanos de TIC quanto à suficiência quantitativa e qualitativa e à preservação de capacidade interna em atividades de planejamento, coordenação, fiscalização e controle.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q0105, o quantitativo informado de profissionais que atuam em TIC e segurança da informação, por área e tipo de vínculo;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Verificar, por meio da q2703 e respectiva evidência, se há definição do quantitativo necessário de pessoal de TIC e segurança da informação;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q2708 e da respectiva evidência, se há cargos ou funções formalmente atribuídos à TIC e à segurança da informação; [IR3]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resposta à q0101 e dos quantitativos informados na q0105, se o modelo de operação de TIC é predominantemente terceirizado, há profissionais atuando em TIC e não há profissionais internos de TIC;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Quantitativo total declarado igual a zero para profissionais de TIC, desde que a organização tenha informado possuir estrutura formal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Resposta negativa ou insuficiente sobre definição do quantitativo necessário de pessoal de TIC e segurança da informação, ou evidência inexistente/incompatível/insuficiente;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Resposta negativa ou evidência inexistente, incompatível ou insuficiente sobre cargos ou funções formalmente atribuídos à TIC ou à segurança da informação;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Modelo de operação de TIC predominantemente terceirizado (q0101 = B), com profissionais atuando em TIC, mas sem profissionais internos de TIC (total de efetivos, comissionados, cedidos e temporários igual a zero);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Capacidade institucional de pessoal de TIC e segurança da informação insuficientemente estruturada ou dimensionada.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força de trabalho dedicada à TIC.[R4.1, P1, E1, C2, C6];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avalie a força de trabalho dedicada à TIC e adote medidas proporcionais para assegurar capacidade mínima de planejamento, gestão, proteção, contratação, fiscalização e sustentação dos serviços e ativos de TIC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ou insuficiência de definição documentada do quantitativo necessário de pessoal de TIC e segurança da informação.[R4.2, P2, E2, C3, C5];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</w:t>
            </w:r>
            <w:r>
              <w:rPr>
                <w:rFonts w:ascii="Arial" w:hAnsi="Arial" w:cs="Arial"/>
                <w:sz w:val="18"/>
                <w:szCs w:val="18"/>
              </w:rPr>
              <w:t xml:space="preserve">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de cargos ou funções formalmente atribuídos à TIC ou à segurança da informação.[R4.3, P3, E3, C1, C2];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avalie a necessidade de formalizar a atribuição de cargos ou funções à TIC e à segurança da informação e adote solução compatível com as necessidades institucionais e a capacidade administrativa da organização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Operação de TIC predominantemente terceirizada sem profissionais internos de TIC.[R4.4, P4, E4, C4, C7];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avalie o modelo de operação de TI</w:t>
            </w:r>
            <w:r>
              <w:rPr>
                <w:rFonts w:ascii="Arial" w:hAnsi="Arial" w:cs="Arial"/>
                <w:sz w:val="18"/>
                <w:szCs w:val="18"/>
              </w:rPr>
              <w:t xml:space="preserve">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Q5: A organização adot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 práticas mínimas de gestão de serviços de TIC, incluindo catálogo de serviços, níveis de serviço, inventário de ativos, gestão de configuração e tratamento de incidentes, de modo a assegurar eficiência, rastreabilidade e qualidade dos serviços prestados?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mantém catálogo de serviços de TIC atualizado e acessível aos usuários e às equipes de suporte?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catálogo de serviços de TIC contém informações mínimas sobre os serviços efetivamente prestados?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Existem Acordos de Níveis de Serviço ou metas mínimas formalmente definidas e monitoradas para os principais serviços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mantém inventário atualizado dos ativos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Há processo formal de gestão de configuração, com identificação de itens de configuração relevantes para os serviços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possui processo formal de gestão de incidentes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R5.1: Devido à inexistência ou desatualização do catálogo de serviços de TIC, poderá não haver definição clara e padronizada dos serviços prestados, levando à prestação reativa e pouco transparente de serviços de TIC.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R5.2: Devido à inexistência de níveis de serviço formalmente definidos ou monitorados, poderá não haver parâmetros objetivos de desempenho e qualidade dos serviços de TIC.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R5.3: Devido à inexistência ou fragilidade do inventário de ativos e da gestão de configuração, poderá não haver controle adequado dos recursos tecnológicos e suas relações com os serviços prestados.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R5.4: Devido à inexistência ou fragilidade do processo de gestão de incidentes de TIC, poderá não haver tratamento padronizado, tempestivo e rastreável dos incidentes.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no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adoção, atualização e disponibilidade do catálogo de serviços de TIC; [F1, q2201, q2201ext[B], q2201ext[C]]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Evidência anexada contendo catálogo de serviços de TIC; [F2, q2201evi]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adoção da prática, metas no catálogo e existência de ANS ou metas mínimas de nível de serviço; [F1, q2201, q2201ext[A], q2201ext[D]]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monitoramento de ANS ou metas mínimas; [F1, q2201ext[E]]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Evidência anexada contendo ANS, metas ou registros de monitoramento; [F2, q2201evi]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Resposta sobre inventário e controle de dispositivos e softwares de TIC; [F1, q2504, q2504ext[A], q2504ext[B]]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IR7: Evidência anexada contendo inventário de ativos de TIC; [F2, q2504evi]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IR8: Respostas sobre existência de base consolidada de configurações e formalização do processo de gestão de configuração; [F1, q2203, q2203ext[A], q2203ext[C]]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IR9: Evidência anexada contendo norma, procedimento, CMDB ou base equivalente de gestão de configuração; [F2, q2203evi]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IR10: Respostas sobre adoção e formalização do processo de gestão de incidentes, critérios de priorização e escalamento e tratamento de incidentes de segurança da informação; [F1, q2204, q2204ext[A], q2204ext[D], q2204ext[E]]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IR11: Evidência anexada contendo norma, procedimento ou fluxo de gestão de incidentes de TIC; [F2, q2204evi]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IR12: Evidência anexada contendo registros de incidentes, chamados, tickets, relatórios de atendimento ou sistema equivalente; [F2, q2204evi]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COBIT 2019, APO09.02 - Catalogar serviços facilitados por TI: definir, manter e comunicar catálogo de serviços, incluindo serviços prestados, características, requisitos e níveis de serviço esperados.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ITIL 4, prática de gerenciamento de nível de serviço: definir, acordar, monitorar, avaliar e reportar metas e níveis de serviço alinhados às necessidades das áreas usuárias.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ITIL 4, prática de gerenciamento de ativos de TI: planejar e gerenciar o ciclo de vida dos ativos de TI, mantendo informações suficientes para apoiar controle, custo, risco, valor e tomada de decisão.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COBIT 2019, BAI10.01 - Estabelecer e manter um modelo de configuração: definir escopo, granularidade, atributos, relacionamentos e responsáveis pela base de configuração.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COBIT 2019, DSS02.02, DSS02.04 e DSS02.07 - Requisições de serviço e incidentes gerenciados: registrar, classificar, priorizar, investigar, diagnosticar, resolver, acompanhar e reportar incidentes e requisições de serviço.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C6: Acórdão TCE-RJ nº 44.490/2024-PLEN, itens II.7.4, III.9.4 e V.6.1 – Recomendações quanto à estruturação do catálogo de serviços de TIC, incluindo descrição dos serviços, metas, formas de acesso e disponibilidade aos usuários.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Acórdão TCE-RJ nº 44.490/2024-PLEN, itens II.7.5, III.9.5 e V.6.2 – Recomendações quanto à gestão de configuração e ativos de TIC, incluindo formalização do processo e manutenção de base consolidada de ativos e itens de configuração.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C8: Acórdão TCE-RJ nº 44.490/2024-PLEN, itens II.7.6, III.9.6 e V.6.3 – Recomendações quanto à formalização e execução do processo de gestão de incidentes, incluindo registros, classificação, escalamento e tratamento.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C9: Acórdão TCE-RJ nº 44.490/2024-PLEN, itens II.7.7, III.9.7 e V.6.4 – Recomendações quanto à definição, pactuação e monitoramento de níveis de serviço.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C10: ABNT NBR ISO/IEC 20000-2</w:t>
            </w:r>
            <w:r>
              <w:rPr>
                <w:bCs/>
                <w:color w:val="auto"/>
                <w:sz w:val="18"/>
                <w:szCs w:val="18"/>
              </w:rPr>
              <w:t xml:space="preserve">:2021,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C11: ABNT NBR ISO/I</w:t>
            </w:r>
            <w:r>
              <w:rPr>
                <w:bCs/>
                <w:color w:val="auto"/>
                <w:sz w:val="18"/>
                <w:szCs w:val="18"/>
              </w:rPr>
              <w:t xml:space="preserve">EC 20000-2:2021,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C12: ABNT NBR ISO/IEC 20000-2:2021, item 8.6.1 – Gerenciamento de incidente: orienta qu</w:t>
            </w:r>
            <w:r>
              <w:rPr>
                <w:bCs/>
                <w:color w:val="auto"/>
                <w:sz w:val="18"/>
                <w:szCs w:val="18"/>
              </w:rPr>
              <w:t xml:space="preserve">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q2201 e das q2201ext[B] e [C], a adoção da prática e a atualização e disponibilidade do catálogo de serviços de TIC;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Validar, pela evidência anexada à q2201, se o catálogo contém informações mínimas sobre os serviços prestados; [IR2]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q2201 e das q2201ext[A], [D] e [E], a adoção, definição, pactuação e monitoramento de metas ou níveis de serviço; [IR3, 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Validar, pela evidência anexada à q2201, a existência de ANS, metas ou registros de monitoramento;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Verificar, por meio da q2504 e das q2504ext[A] e [B], se a organização inventaria e controla dispositivos e softwares;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Validar, pela evidência anexada à q2504, a existência e atualização do inventário de dispositivos e softwares; [IR7]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P7: Verificar, por meio da q2203 e das q2203ext[A] e [C], se a organização mantém base consolidada de configurações e processo formalizado de gestão de configuração; [IR8]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P8: Validar, pela evidência anexada à q2203, a existência de procedimento, base ou mecanismo equivalente de gestão de configuração; [IR9]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P9: Verificar, por meio da q2204 e das q2204ext[A], [D] e [E], se a organização possui processo de gestão de incidentes formalizado, com critérios de priorização e escalamento e procedimentos para incidentes de segurança da informação; [IR10]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P10: Validar, pela evidência anexada à q2204, a existência de procedimento ou fluxo formal de gestão de incidentes; [IR11]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P11: Validar, pela evidência anexada à q2204, a existência de registros rastreáveis de incidentes, chamados ou tickets; [IR12]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ou insuficiente sobre catálogo de serviços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Ausência, desatualização, inacessibilidade ou insuficiência do catálogo de serviços de TIC;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Resposta negativa ou insuficiente sobre ANS ou metas mínimas de nível de serviço;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Ausência, desatualização ou insuficiência de ANS, metas ou registros de monitoramento;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Resposta negativa ou insuficiente sobre inventário de ativos de TIC;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Ausência, desatualização ou insuficiência de inventário de ativos de TIC;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E7: Resposta negativa ou insuficiente quanto à manutenção de base consolidada de configurações ou à formalização do processo de gestão de configuração; [P7]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E8: Ausência, desatualização ou insuficiência de norma, procedimento, CMDB ou base equivalente de gestão de configuração; [P8]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E9: Resposta negativa ou insuficiente sobre processo formal de gestão de incidentes de TIC; [P9]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E10: Ausência, desatualização ou insuficiência de norma, procedimento ou fluxo formal de gestão de incidentes; [P10]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E11: Ausência, insuficiência ou baixa rastreabilidade dos registros de incidentes, chamados ou tickets; [P11]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Gestão de serviços de TIC insuficiente para assegurar controle sobre serviços, ativos e incidentes.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Inexistência ou insuficiência do catálogo de serviços de TIC.[R5.1, P1, E1, P2, E2, C1, C6, C10];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</w:t>
            </w:r>
            <w:r>
              <w:rPr>
                <w:rFonts w:ascii="Arial" w:hAnsi="Arial" w:cs="Arial"/>
                <w:sz w:val="18"/>
                <w:szCs w:val="18"/>
              </w:rPr>
              <w:t xml:space="preserve">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ou fragilidade na definição e no monitoramento de níveis mínimos de serviço de TIC.[R5.2, P3, E3, P4, E4, C2, C9];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defina, acorde e monitore níveis de serviço para os serviços de TIC relevantes, estabelecendo metas e mecanismos de acompanhamento de seu cumprimento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Inventário e controle de dispositivos e softwares de TIC inexistente ou insuficiente.[R5.3, P5, E5, P6, E6, C3, C7];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Ausência ou fragilidade do processo de gestão de configuração.[R5.3, P7, E7, P8, E8, C4, C7, C11];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Inexistência ou fragilidade do processo de gestão de incidentes de TIC.[R5.4, P9, E9, P10, E10, P11, E11, C5, C8, C12];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formaliz</w:t>
            </w:r>
            <w:r>
              <w:rPr>
                <w:rFonts w:ascii="Arial" w:hAnsi="Arial" w:cs="Arial"/>
                <w:sz w:val="18"/>
                <w:szCs w:val="18"/>
              </w:rPr>
              <w:t xml:space="preserve">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Q6: A organização adota processo formal e padronizado para a fase preparatória das contratações de TIC, com responsabilidades definidas, análise técnica pela área de TIC e alinhamento aos instrumentos de planejamento?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possui fluxo formalizado e padronizado para contratações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definiu papéis e responsabilidades nas contratações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organização dispõe de modelos, manuais, checklists ou normativos orientativos para elaboração dos artefatos das contratações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contratações de TIC são submetidas à análise prévia e aprovação técnica da área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contratações de TIC estão alinhadas ao plano de TIC e ao plano de contratações?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 equipe de planejamento da contratação é formalmente designada e possui participação técnica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R6.1: Devido à inexistência ou fragilidade de fluxo formal e padronizado para contratações de TIC, poderá não haver clareza quanto às etapas, instâncias decisórias e critérios de aprovação.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R6.2: Devido à ausência de definição formal de papéis, responsabilidades, modelos e orientações, poderá haver instrução processual incompleta, inconsistente ou tecnicamente frágil.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R6.3: Devido à ausência de análise técnica prévia da área de TIC e de alinhamento ao planejamento, poderão ser contratadas soluções incompatíveis com padrões técnicos, requisitos institucionais ou prioridades definidas.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R6.4: Devido à ausência de equipe de planejamento formalmente designada e de participação técnica da área de TIC, a instrução da contratação poderá não considerar adequadamente as necessidades institucionais e os aspectos técnicos da solução.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ACHADOS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ao questionário eletrônico iGovTI.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Evidências anexadas no questionário eletrônico.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Resposta sobre definição do processo de planejamento das contratações de TIC, incluindo etapas, responsabilidades e artefatos resultantes; [F1, q2801, q2801ext[A]]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Resposta e evidência sobre papéis e responsabilidades nas contratações de TIC; [F1, F2, q2801, q2801evi]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Resposta sobre disponibilização de modelos e artefatos padronizados para o planejamento das contratações de TIC; [F1, q2801, q2801ext[B]]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Resposta sobre submissão obrigatória das contratações de TIC à análise prévia e aprovação técnica da área de TIC; [F1, q2804[A]]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Evidência específica sobre aprovação técnica da área de TIC; [F2, q2804eviA]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Resposta sobre alinhamento das contratações aos instrumentos de planejamento e ao Plano de Contratações Anual; [F1, q2804[B]]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IR7: Resposta sobre equipe de planejamento formalmente designada e com participação técnica de TIC; [F1, q2804[C]]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C1: Lei nº 14.133/2021, art. 11, parágrafo único: responsabilidade da alta administração pela governança das contratações, com processos, estruturas, gestão de riscos e controles internos.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C2: Lei nº 14.133/2021, arts. 12, VII e §1º, e 18, caput e §1º, II – a fase preparatória deve compatibilizar-se com o Plano de Contratações Anual, quando elaborado, e deve ser demonstrado o alinhamento da contratação com o planejamento da Administração.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C3: Lei nº 14.133/2021, art. 19, inciso IV: instituição de modelos de minutas de editais, termos de referência, contratos padronizados e demais documentos.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C4: Lei nº 14.133/2021, art. 7º, caput, incisos I a III e §1º: designação de agentes públicos para funções essenciais, observados atribuições, formação, segregação de funções e inexistência de vínculos que comprometam a atuação.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C5: COBIT 2019, BAI02.04 - Obter aprovação dos requisitos da solução: obter aprovação formal dos requisitos funcionais, técnicos, de segurança e de conformidade antes de prosseguir com a solução.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C6: Instrução Normativa SGD/ME nº 94/2022, arts. 2º, IV, 9º, 10, 11 e 12, §6º – referência de boa prática para estruturação da fase de planejament</w:t>
            </w:r>
            <w:r>
              <w:rPr>
                <w:bCs/>
                <w:color w:val="auto"/>
                <w:sz w:val="18"/>
                <w:szCs w:val="18"/>
              </w:rPr>
              <w:t xml:space="preserve">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C7: Acórdão TCE-RJ nº 44.490/2024-PLEN, itens III.7 e IV.9 – Determinações para estruturação do processo de planejamento anual das contratações, contemplando consolidação das demandas, participação das áreas, aprovação e publicidade do plano.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C8: Acórdão nº 2.342/2016-TCU-Plenário, item 9.1.7 – Precedente quanto à definição, aprovação e formalização de processo de trabalho para o planejamento de cada contratação, com controles internos mínimos.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 xml:space="preserve">Poder Executivo Estadual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C9: Decreto Estadual nº 48.816/2023, no âmbito de aplicação do ato — referência específica para a fase preparatória das contratações; não é considerado, isoladamente, fundamento suficiente para determinar a composição mínima da equipe de planejamento.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 xml:space="preserve">Poder Judiciário Estadual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C10: Resolução CNJ nº 468/2022, art. 7º — a equipe de planejamento da contratação de solução de TIC deve ser formalmente instituída e conter integrantes demandante, técnico e administrativo.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 xml:space="preserve">Ministério Público Estadual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C11: Resolução CNMP nº 283/2024, arts. 8º e 9º — a equipe de planejamento da contratação de solução de TIC deve ser instituída com integrante técnico, integrante requisitante e integrante administrativo.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Verificar, por meio da q2801 e das q2801ext[A] e [B], se o processo de planejamento das contratações de TIC possui etapas e responsabilidades definidas e artefatos padronizados; [IR1, 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Validar, pelas evidências anexadas à q2801, a existência de fluxo, papéis, responsabilidades, modelos, manuais, checklists ou normativos orientativos; [IR1, 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Verificar, por meio da q2804[A] e da q2804eviA, se as contratações de TIC são submetidas à análise prévia e aprovação técnica da área de TIC; [IR4, 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Verificar, por meio da q2804[B], se as contratações de TIC estão alinhadas aos instrumentos de planejamento e ao Plano de Contratações Anual;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Verificar, por meio da q2804[C], se a equipe de planejamento da contratação é formalmente designada e possui participação técnica de TIC; [IR7]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Resposta negativa ou insuficiente sobre processo formal e padronizado para contratações de TIC;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Ausência, desatualização ou insuficiência de evidências de fluxo, papéis, responsabilidades, modelos, manuais, checklists ou normativos orientativos;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Resposta negativa ou insuficiente sobre análise prévia e aprovação técnica da área de TIC;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Quando declarada a adoção da prática, ausência ou insuficiência de norma que estabeleça a análise e aprovação técnica da área de TIC ou de evidência de sua aplicação em caso concreto;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Resposta negativa ou insuficiente sobre aderência das contratações ao plano de TIC ou ao plano de contratações;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Resposta negativa ou insuficiente sobre equipe de planejamento formalmente designada e com participação técnica de TIC;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Fragilidades na governança técnica da fase preparatória das contratações de TIC.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Inexistência ou fragilidade de processo formal e padronizado para o planejamento das contratações de TIC.[R6.1, R6.2, P1, E1, P2, E2, C1, C3, C8];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formalize e padronize o pr</w:t>
            </w:r>
            <w:r>
              <w:rPr>
                <w:rFonts w:ascii="Arial" w:hAnsi="Arial" w:cs="Arial"/>
                <w:sz w:val="18"/>
                <w:szCs w:val="18"/>
              </w:rPr>
              <w:t xml:space="preserve">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Contratações de TIC sem análise prévia e aprovação técnica da área de TIC.[R6.3, P3, E3, E4, C1, C5, C6];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estabeleça a submissão das contratações de TIC à análise prévia da área de TIC, de modo a verific</w:t>
            </w:r>
            <w:r>
              <w:rPr>
                <w:rFonts w:ascii="Arial" w:hAnsi="Arial" w:cs="Arial"/>
                <w:sz w:val="18"/>
                <w:szCs w:val="18"/>
              </w:rPr>
              <w:t xml:space="preserve">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Contratações de TIC sem alinhamento ao planejamento de TIC e ao Plano de Contratações Anual.[R6.3, P4, E5, C1, C2, C7];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Contratações de TIC sem designação de equipe de planejamento com integrante técnico da área de TIC.[R6.4, P5, E6, C1, C4, C6];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</w:t>
            </w:r>
            <w:r>
              <w:rPr>
                <w:rFonts w:ascii="Arial" w:hAnsi="Arial" w:cs="Arial"/>
                <w:sz w:val="18"/>
                <w:szCs w:val="18"/>
              </w:rPr>
              <w:t xml:space="preserve">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Poder Executivo Estadual: [C1, C4, C9];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Recomendação;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</w:t>
            </w:r>
            <w:r>
              <w:rPr>
                <w:rFonts w:ascii="Arial" w:hAnsi="Arial" w:cs="Arial"/>
                <w:sz w:val="18"/>
                <w:szCs w:val="18"/>
              </w:rPr>
              <w:t xml:space="preserve">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Poder Judiciário Estadual: [C1, C4, C10];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</w:t>
            </w:r>
            <w:r>
              <w:rPr>
                <w:rFonts w:ascii="Arial" w:hAnsi="Arial" w:cs="Arial"/>
                <w:sz w:val="18"/>
                <w:szCs w:val="18"/>
              </w:rPr>
              <w:t xml:space="preserve">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Ministério Público Estadual: [C1, C4, C11];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Tipo: Determinação;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</w:t>
            </w:r>
            <w:r>
              <w:rPr>
                <w:rFonts w:ascii="Arial" w:hAnsi="Arial" w:cs="Arial"/>
                <w:sz w:val="18"/>
                <w:szCs w:val="18"/>
              </w:rPr>
              <w:t xml:space="preserve">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QTD: Qual é o grau de adoção das práticas de governança e gestão de TIC pelas organizações avaliadas no iGovTI 2026, globalmente e por componente e dimensão? (levantamento)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Como se distribuem os resultados do iGovTI 2026 entre as faixas de maturidade definidas na metodologia?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Qual é o desempenho agregado das organizações nos componentes Governança de TIC e Gestão de TIC e nas dimensões que compõem o índice?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Há diferenças relevantes nos resultados entre segmentos institucionais com quantidade suficiente de organizações para análise?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práticas avaliadas apresentam os maiores e os menores graus de adoção?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Não se aplica: questão de levantamento, sem formulação de risco de achado.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ANÁLISE / RESULTADOS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Respostas válidas e processadas do questionário eletrônico iGovTI 2026.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Metodologia de cálculo e estrutura do índice iGovTI 2026.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Resultados individuais e agregados calculados para o iGovTI 2026, seus componentes e suas dimensões.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F4: Cadastro das organizações avaliadas, com os atributos institucionais necessários aos recortes analíticos.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Universo de organizações avaliadas, respondentes válidos e respectivos atributos institucionais; [F1, F4]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Resultado individual do iGovTI 2026, respectiva faixa de maturidade e resultados dos componentes Governança de TIC e Gestão de TIC; [F2,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</w:t>
            </w:r>
            <w:r>
              <w:rPr>
                <w:rFonts w:ascii="Arial" w:hAnsi="Arial" w:cs="Arial"/>
                <w:sz w:val="18"/>
                <w:szCs w:val="18"/>
              </w:rPr>
              <w:t xml:space="preserve">R3: Resultados individuais e agregados das dimensões Planejamento de TIC, Gestão de serviços de TIC, Riscos de TI e de segurança da informação, Estrutura de segurança da informação, Processos de segurança da informação e Gestão de soluções de TIC; [F2,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Pontuações normalizadas das práticas e dos itens que compõem o iGovTI 2026, com seus denominadores e regras de tratamento; [F1, 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Registros de completude, consistência, ajustes e limitações relevantes das bases utilizadas no cálculo; [F1, 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Não se aplica como critério de conformidade: análise orientada pelas fontes e pelos procedimentos definidos.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Validar o universo de organizações avaliadas e calcular ou conferir, conforme a metodologia do iGovTI 2026, o índice, a faixa de maturidade, os componentes e as dimensões de cada organização; [IR1, 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Consolidar a distribuição das organizações por faixa de maturidade e calcular medidas descritivas do iGovTI 2026 para o universo avaliado; [IR1, IR2]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Consolidar e comparar os resultados dos componentes Governança de TIC e Gestão de TIC e das seis dimensões que compõem o índice; [IR2,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Segregar os resultados por Poder, esfera, natureza institucional ou outro segmento pertinente, quando a quantidade e a composição das organizações permitirem comparação descritiva adequada; [IR1, 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Identificar as práticas e os itens com maiores e menores graus de adoção, informando a medida utilizada, o número de respostas válidas e o tratamento das respostas não aplicáveis;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Verificar a completude e a consistência das bases e registrar as limitações que afetem o cálculo ou a interpretação dos resultados;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Relação consolidada das organizações avaliadas, dos respondentes válidos e dos atributos institucionais utilizados na análise;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Memória de cálculo ou base de resultados com o iGovTI 2026, a faixa de maturidade, os componentes e as dimensões de cada organização;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Tabelas, gráficos ou painéis com a distribuição por faixa de maturidade e as medidas descritivas do iGovTI 2026;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Tabelas, gráficos ou painéis com os resultados agregados dos componentes e das dimensões do índice;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Quadros comparativos por segmento institucional, acompanhados do quantitativo de organizações de cada grupo;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Relação das práticas e dos itens com maiores e menores graus de adoção, acompanhada dos respectivos percentuais, pontuações ou medidas de síntese e denominadores;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E7: Registro das verificações de completude e consistência e das limitações relevantes para interpretação dos resultados;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Não se aplica: questão de levantamento, sem geração de achado individual.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 que a análise permite dizer: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Qual é o grau de adoção das práticas de governança e gestão de TIC no universo avaliado em 2026, segundo o índice e as faixas de maturidade definidas na metodologia.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Como se comportam, em termos agregados, os componentes Governança de TIC e Gestão de TIC e as seis dimensões que compõem o iGovTI 2026.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Quais segmentos institucionais apresentam resultados distintos, quando houver quantidade e composição adequadas para comparação descritiva.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Quais práticas e itens do questionário concentram os maiores e os menores graus de adoção.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Limitações e cautelas: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 questão tem caráter de levantamento e diagnóstico agregado, não gerando achado ou encaminhamento individual por organização.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 iGovTI 2026 mensura o grau de adoção segundo as respostas e as regras da metodologia; o resultado não comprova, isoladamente, a efetividade das práticas nem conformidade jurídica.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Os resultados agregados não substituem a avaliação individualizada das fragilidades abrangidas pelas Questões 1 a 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Médias e demais medidas de síntese devem ser apresentadas com a distribuição dos resultados, para evitar que ocultem diferenças relevantes entre as organizações.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Comparações entre segmentos institucionais devem considerar o tamanho, a composição e a cobertura de cada grupo e não devem ser tratadas como inferência causal.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Práticas ou itens com universos de respostas distintos devem ser comparados somente com indicação dos respectivos denominadores e do tratamento das respostas não aplicáveis.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w14:paraId="7D29FCBB" w14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QT: As organizações anteriormente avaliadas apresentaram evolução mensurável, em termos agregados, em governança e gestão de TIC e no atendimento aos encaminhamentos da fiscalização anterior? (levantamento)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Houve variação agregada positiva, negativa ou estável nos indicadores comparáveis de governança e gestão de TIC?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dimensões, práticas ou indicadores agregados apresentaram maior evolução?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Quais dimensões, práticas ou indicadores agregados permaneceram estáveis ou regrediram?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Qual foi o grau agregado de atendimento aos encaminhamentos propostos na fiscalização anterior?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Há diferença relevante entre a evolução agregada dos municípios avaliados em 2023 e a evolução agregada das organizações do Poder Executivo?</w:t>
            </w:r>
            <w:r>
              <w:rPr>
                <w:rFonts w:ascii="Arial" w:hAnsi="Arial" w:cs="Arial"/>
                <w:sz w:val="20"/>
                <w:szCs w:val="20"/>
              </w:rPr>
            </w:r>
          </w:p>
          <w:p w14:paraId="4ED18313" w14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 diferenças metodológicas entre os ciclos limitam a comparabilidade dos resultados?</w:t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Critérios de comparabilidade: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CT1: Comparar apenas organizações presentes nos dois ciclos ou, quando houver alteração de universo, explicitar separadamente o universo comum e o universo total de cada ciclo.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CT2: Comparar apenas indicadores, dimensões, práticas ou faixas com correspondência metodológica suficiente; quando a correspondência for parcial, registrar a limitação e evitar conclusão categórica.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CT3: Utilizar quantitativos absolutos e percentuais para descrever variações agregadas, distinguindo evolução, estabilidade e regressão.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CT4: Distinguir mudança em resultado agregado de atendimento efetivo de encaminhamento; melhoria no indicador não implica, por si só, cumprimento integral da recomendação anterior.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CT5: Cla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  <w:p w14:paraId="63566D7E" w14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CT6: Registrar limitações decorrentes de mudanças metodológicas, de diferenças de escopo, de alteração de pesos, de alteração de itens do questionário ou de indisponibilidade de dados históricos.</w:t>
            </w:r>
            <w:r>
              <w:rPr>
                <w:rFonts w:ascii="Arial" w:hAnsi="Arial" w:cs="Arial"/>
                <w:b/>
                <w:sz w:val="20"/>
                <w:szCs w:val="20"/>
              </w:rPr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w14:paraId="5C2D7232" w14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FONTES DE INFORMAÇÃO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709" w:type="pct"/>
            <w:vAlign w:val="center"/>
          </w:tcPr>
          <w:p w14:paraId="7208CA25" w14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INFORMAÇÕES REQUERIDAS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810" w:type="pct"/>
            <w:vAlign w:val="center"/>
          </w:tcPr>
          <w:p w14:paraId="563FD7FD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CRITÉRIOS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13" w:type="pct"/>
            <w:vAlign w:val="center"/>
          </w:tcPr>
          <w:p w14:paraId="6A4DEA23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PROCEDIMENTO DE AUDITORIA</w:t>
            </w:r>
            <w:r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r>
          </w:p>
        </w:tc>
        <w:tc>
          <w:tcPr>
            <w:tcBorders/>
            <w:tcW w:w="912" w:type="pct"/>
            <w:vAlign w:val="center"/>
          </w:tcPr>
          <w:p w14:paraId="4A1C29C4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POSSÍVEIS EVIDÊNCIAS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1051" w:type="pct"/>
            <w:vAlign w:val="center"/>
          </w:tcPr>
          <w:p w14:paraId="357B1101" w14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ANÁLISE / RESULTADOS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505" w:type="pct"/>
            <w:vAlign w:val="center"/>
          </w:tcPr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F1: Resultados, respostas e indicadores calculados no iGovTI 2026 para as organizações também avaliadas na fiscalização anterior.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F2: Resultados, respostas, indicadores, achados e encaminhamentos da fiscalização anterior de 2023 relativa ao iGovTI em municípios.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F3: Resultados, respostas, indicadores, achados e encaminhamentos da fiscalização anterior de 2023 relativa ao iGovTI nas organizações do Poder Executivo estadual.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F4: Metodologias de cálculo, dicionários de variáveis, questionários, planilhas de correspondência e demais registros necessários para compatibilizar os ciclos de avaliação.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07477FA7" w14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F5: Informações, evidências e registros produzidos no iGovTI 2026 que permitam inferir, em termos agregados, atendimento, não atendimento ou atendimento parcial dos encaminhamentos anteriores.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709" w:type="pct"/>
            <w:vAlign w:val="center"/>
          </w:tcPr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IR1: Relação das organizações avaliadas na fiscalização anterior que também integram o iGovTI 2026, segregadas, quando aplicável, entre municípios e organizações do Poder Executivo estadual; [F1, 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IR2: Indicadores, dimensões, práticas, faixas de maturidade ou métricas da fiscalização anterior que sejam comparáveis com os resultados do iGovTI 2026; [F1, F2, F3, F4]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IR3: Tabela de correspondência entre indicadores, práticas, dimensões ou métricas dos ciclos de avaliação, com indicação do grau de comparabilidade; [F4]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IR4: Distribuição agregada dos resultados da fiscalização anterior e do iGovTI 2026, incluindo quantitativo e percentual de organizações por nível, faixa, dimensão, prática ou indicador comparável; [F1, F2, F3]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IR5: Variação agregada entre os ciclos, incluindo evolução, estabilidade ou regressão por indicador, dimensão, prática ou faixa de maturidade comparável; [F1, F2, F3, F4]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IR6: Relação dos encaminhamentos propostos na fiscalização anterior e sua classificação agregada quanto a atendimento, atendimento parcial, não atendimento ou impossibilidade de avaliação; [F2, F3, F5]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  <w:p w14:paraId="1DD0E491" w14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IR7: Limitações metodológicas que afetem a comparação entre os ciclos, incluindo alteração de questionário, pesos, fórmulas, universo avaliado, escala de resposta ou critérios de classificação; [F1, F2, F3, F4]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810" w:type="pct"/>
            <w:vAlign w:val="center"/>
          </w:tcPr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CT1: Comparar apenas organizações presentes nos dois ciclos ou, quando houver alteração de universo, explicitar separadamente o universo comum e o universo total de cada ciclo.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CT2: Comparar apenas indicadores, dimensões, práticas ou faixas com correspondência metodológica suficiente; quando a correspondência for parcial, registrar a limitação e evitar conclusão categórica.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CT3: Utilizar quantitativos absolutos e percentuais para descrever variações agregadas, distinguindo evolução, estabilidade e regressão.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CT4: Distinguir mudança em resultado agregado de atendimento efetivo de encaminhamento; melhoria no indicador não implica, por si só, cumprimento integral da recomendação anterior.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CT5: Cla</w:t>
            </w:r>
            <w:r>
              <w:rPr>
                <w:bCs/>
                <w:color w:val="auto"/>
                <w:sz w:val="18"/>
                <w:szCs w:val="18"/>
              </w:rPr>
              <w:t xml:space="preserve">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  <w:p w14:paraId="2667BB09" w14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 xml:space="preserve">CT6: Registrar limitações decorrentes de mudanças metodológicas, de diferenças de escopo, de alteração de pesos, de alteração de itens do questionário ou de indisponibilidade de dados históricos.</w:t>
            </w:r>
            <w:r>
              <w:rPr>
                <w:bCs/>
                <w:color w:val="auto"/>
                <w:sz w:val="18"/>
                <w:szCs w:val="18"/>
                <w:vertAlign w:val="superscript"/>
              </w:rPr>
            </w:r>
          </w:p>
        </w:tc>
        <w:tc>
          <w:tcPr>
            <w:tcBorders/>
            <w:tcW w:w="1013" w:type="pct"/>
            <w:vAlign w:val="center"/>
          </w:tcPr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P1: Identificar o conjunto de organizações avaliadas na fiscalização anterior e cruzá-lo com o universo de organizações respondentes do iGovTI 2026; [IR1]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P2: Construir tabela de correspondência entre indicadores, dimensões, práticas, faixas de maturidade ou métricas comparáveis entre a fiscalização anterior e o iGovTI 2026; [IR2, IR3]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P3: Calcular, para o conjunto comum de organizações, a distribuição agregada dos resultados nos dois ciclos, por indicador, dimensão, prática ou faixa de maturidade comparável; [IR4]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P4: Calcular a variação agregada entre os ciclos, distinguindo evolução, estabilidade e regressão, em quantitativos absolutos e percentuais; [IR5]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P5: Segregar, quando aplicável, os resultados agregados dos municípios avaliados em 2023 e das organizações do Poder Executivo estadual avaliadas em 2023; [IR1, IR4, IR5]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P6: Classificar, em termos agregados, o atendimento dos encaminhamentos da fiscalização anterior, com base nos registros disponíveis e nas evidências ou respostas do iGovTI 2026; [IR6]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  <w:p w14:paraId="4C6E5B2E" w14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P7: Identificar limitações metodológicas da comparação e indicar quais conclusões podem ou não ser extraídas dos dados disponíveis; [IR7]</w:t>
            </w:r>
            <w:r>
              <w:rPr>
                <w:b/>
                <w:bCs/>
                <w:color w:val="auto"/>
                <w:sz w:val="18"/>
                <w:szCs w:val="18"/>
              </w:rPr>
            </w:r>
          </w:p>
        </w:tc>
        <w:tc>
          <w:tcPr>
            <w:tcBorders/>
            <w:tcW w:w="912" w:type="pct"/>
            <w:vAlign w:val="center"/>
          </w:tcPr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E1: Relação consolidada das organizações presentes nos dois ciclos de avaliação; [P1]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E2: Tabela de correspondência entre itens, indicadores, dimensões, práticas ou faixas comparáveis entre a fiscalização anterior e o iGovTI 2026; [P2]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E3: Tabelas, gráficos ou painéis com distribuição agregada dos resultados da fiscalização anterior e do iGovTI 2026; [P3]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E4: Cálculo da variação agregada dos resultados, em números absolutos e percentuais, indicando evolução, estabilidade ou regressão; [P4]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E5: Comparativo agregado entre municípios avaliados em 2023 e organizações do Poder Executivo estadual avaliadas em 2023, quando os dados permitirem a segregação; [P5]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E6: Quadro consolidado de atendimento, atendimento parcial, não atendimento ou impossibilidade de avaliação dos encaminhamentos anteriores; [P6]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E80855F" w14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E7: Registro das limitações metodológicas e das cautelas necessárias para interpretação dos resultados comparativos; [P7]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  <w:tc>
          <w:tcPr>
            <w:tcBorders/>
            <w:tcW w:w="1051" w:type="pct"/>
            <w:vAlign w:val="center"/>
          </w:tcPr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Não se aplica: questão de levantamento, sem geração de achado individual.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 que a análise permite dizer: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Se, no conjunto comum de organizações, houve evolução, estabilidade ou regressão agregada em governança e gestão de TIC entre a fiscalização anterior e o iGovTI 2026.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Quais dimensões, práticas ou indicadores comparáveis concentraram os maiores avanços agregados.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Quais dimensões, práticas ou indicadores comparáveis permaneceram com baixa evolução, estagnaram ou regrediram em termos agregados.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 os encaminhamentos da fiscalização anterior foram atendidos, parcialmente atendidos, não atendidos ou não puderam ser avaliados, em termos agregados.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 há diferença relevante entre a evolução agregada dos municípios avaliados em 2023 e das organizações do Poder Executivo estadual avaliadas em 2023.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Em que medida diferenças metodológicas entre os ciclos limitam a força das conclusões comparativas.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Limitações e cautelas: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 questão tem caráter de levantamento e análise longitudinal agregada, não gerando achado individual por organização.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 comparação não deve ser feita questão a questão quando não houver equivalência metodológica suficiente entre os instrumentos de avaliação.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 evolução agregada não autoriza, isoladamente, concluir que todas as organizações evoluíram individualmente.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 regressão agregada não autoriza, isoladamente, concluir descumprimento individual de encaminhamento anterior.</w:t>
            </w:r>
            <w:r>
              <w:rPr>
                <w:rFonts w:ascii="Arial" w:hAnsi="Arial" w:cs="Arial"/>
                <w:sz w:val="18"/>
                <w:szCs w:val="18"/>
              </w:rPr>
            </w:r>
          </w:p>
          <w:p w14:paraId="11118515" w14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 atendimento dos encaminhamentos anteriores deve ser analisado conforme o conteúdo de cada encaminhamento, as evidências disponíveis e a compatibilidade com os dados coletados no iGovTI 2026.</w:t>
            </w:r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>
      <w:pPr>
        <w:pBdr/>
        <w:spacing/>
        <w:ind/>
        <w:rPr/>
      </w:pPr>
      <w:r/>
      <w:r/>
    </w:p>
    <w:tbl>
      <w:tblPr>
        <w:tblStyle w:val="842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27086525" w14:textId="5BC84706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 w:clear="all"/>
            </w:r>
            <w:r>
              <w:rPr>
                <w:rFonts w:ascii="Arial" w:hAnsi="Arial" w:cs="Arial"/>
                <w:b/>
                <w:bCs/>
              </w:rPr>
              <w:t xml:space="preserve">Equipe de Auditoria</w:t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081D154F" w14:textId="77777777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Supervisor</w:t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1C42D2D4" w14:textId="44C819D1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Augusto César Benvenuto de Almeida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823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4A9ED85F" w14:textId="2B0DC6CF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 xml:space="preserve">Bruno Mattos Souza de Souza Melo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– 02/42</w:t>
            </w:r>
            <w:r>
              <w:rPr>
                <w:rFonts w:ascii="Arial" w:hAnsi="Arial" w:cs="Arial"/>
              </w:rPr>
              <w:t xml:space="preserve">5</w:t>
            </w:r>
            <w:r>
              <w:rPr>
                <w:rFonts w:ascii="Arial" w:hAnsi="Arial" w:cs="Arial"/>
              </w:rPr>
              <w:t xml:space="preserve">8</w:t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477C9695" w14:textId="261A00B8">
            <w:pPr>
              <w:pBdr/>
              <w:spacing w:line="276" w:lineRule="auto"/>
              <w:ind/>
              <w:rPr>
                <w:rFonts w:ascii="Arial" w:hAnsi="Arial" w:cs="Arial"/>
                <w:color w:val="212529"/>
                <w:shd w:val="clear" w:color="auto" w:fill="ffffff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11A9A3E1" w14:textId="77777777">
            <w:pPr>
              <w:pBdr/>
              <w:spacing w:line="276" w:lineRule="auto"/>
              <w:ind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</w:r>
            <w:r>
              <w:rPr>
                <w:rFonts w:ascii="Arial" w:hAnsi="Arial" w:cs="Arial"/>
                <w:lang w:eastAsia="en-US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w14:paraId="7C650FE0" w14:textId="156A8C0C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 xml:space="preserve">Freitas Ramirez</w:t>
            </w:r>
            <w:r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 xml:space="preserve">0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w14:paraId="4C1EF345" w14:textId="77777777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2F04E895">
      <w:pPr>
        <w:pBdr/>
        <w:spacing/>
        <w:ind/>
        <w:rPr/>
      </w:pPr>
      <w:r/>
    </w:p>
    <w:sectPr>
      <w:headerReference w:type="default" r:id="rId9"/>
      <w:footnotePr/>
      <w:endnotePr/>
      <w:type w:val="nextPage"/>
      <w:pgSz w:h="16840" w:orient="landscape" w:w="23808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85821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75EB2F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7A504E6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NewRoman">
    <w:panose1 w:val="05040102010807070707"/>
  </w:font>
  <w:font w:name="Segoe UI">
    <w:panose1 w:val="020B05020404040202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86B9FD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DE19FB1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16EFF2D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842"/>
      <w:tblW w:w="223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>
      <w:trPr/>
      <w:tc>
        <w:tcPr>
          <w:tcBorders/>
          <w:tcW w:w="1838" w:type="dxa"/>
        </w:tcPr>
        <w:p w14:paraId="4885B09B" w14:textId="42238352">
          <w:pPr>
            <w:pStyle w:val="839"/>
            <w:pBdr/>
            <w:spacing w:before="0"/>
            <w:ind w:left="0"/>
            <w:rPr/>
          </w:pP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<wp:simplePos x="0" y="0"/>
                    <wp:positionH relativeFrom="column">
                      <wp:posOffset>181637</wp:posOffset>
                    </wp:positionH>
                    <wp:positionV relativeFrom="paragraph">
                      <wp:posOffset>4815</wp:posOffset>
                    </wp:positionV>
                    <wp:extent cx="903478" cy="381468"/>
                    <wp:effectExtent l="0" t="0" r="0" b="0"/>
                    <wp:wrapNone/>
                    <wp:docPr id="1" name="Picture 9549852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logo-horizontal-colorida-para_fundo_branco.svg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extLst>
                                <a:ext uri="{96DAC541-7B7A-43D3-8B79-37D633B846F1}">
                                  <asvg:svgBlip xmlns:asvg="http://schemas.microsoft.com/office/drawing/2016/SVG/main" r:embed="rId2"/>
                                </a:ext>
                              </a:extLst>
                            </a:blip>
                            <a:stretch/>
                          </pic:blipFill>
                          <pic:spPr bwMode="auto">
                            <a:xfrm>
                              <a:off x="0" y="0"/>
                              <a:ext cx="930644" cy="39293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251658240;o:allowoverlap:true;o:allowincell:true;mso-position-horizontal-relative:text;margin-left:14.30pt;mso-position-horizontal:absolute;mso-position-vertical-relative:text;margin-top:0.38pt;mso-position-vertical:absolute;width:71.14pt;height:30.04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/>
        </w:p>
      </w:tc>
      <w:tc>
        <w:tcPr>
          <w:tcBorders/>
          <w:tcW w:w="7093" w:type="dxa"/>
        </w:tcPr>
        <w:p w14:paraId="7692314E" w14:textId="7732243A">
          <w:pPr>
            <w:pStyle w:val="835"/>
            <w:pBdr/>
            <w:spacing/>
            <w:ind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SECRETARIA-GERAL</w:t>
          </w:r>
          <w:r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DE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CONTROLE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EXTERNO</w:t>
          </w:r>
          <w:r>
            <w:rPr>
              <w:rFonts w:ascii="Arial" w:hAnsi="Arial" w:cs="Arial"/>
              <w:sz w:val="16"/>
              <w:szCs w:val="16"/>
            </w:rPr>
          </w:r>
        </w:p>
        <w:p w14:paraId="617A7E23" w14:textId="59A4ABCC">
          <w:pPr>
            <w:pStyle w:val="839"/>
            <w:pBdr/>
            <w:tabs>
              <w:tab w:val="left" w:leader="none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SUBSECRETARIA DE CONTROLE DE POLÍTICAS DE CIDADANIA</w:t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</w:p>
        <w:p w14:paraId="4BD4FB4E" w14:textId="3216BC59">
          <w:pPr>
            <w:pStyle w:val="839"/>
            <w:pBdr/>
            <w:spacing w:before="0"/>
            <w:ind w:left="0"/>
            <w:jc w:val="left"/>
            <w:rPr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COORDENADORIA DE AUDITORIA DE POLÍTICAS EM TECNOLOGIA DA INFORMAÇÃO</w:t>
          </w:r>
          <w:r>
            <w:rPr>
              <w:sz w:val="16"/>
              <w:szCs w:val="16"/>
            </w:rPr>
          </w:r>
        </w:p>
      </w:tc>
      <w:tc>
        <w:tcPr>
          <w:tcBorders/>
          <w:tcW w:w="13466" w:type="dxa"/>
        </w:tcPr>
        <w:p w14:paraId="17267BE2" w14:textId="617A7088">
          <w:pPr>
            <w:pBdr/>
            <w:tabs>
              <w:tab w:val="right" w:leader="none" w:pos="14034"/>
            </w:tabs>
            <w:spacing w:after="120"/>
            <w:ind w:firstLine="386" w:left="-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FISCALIZAÇÃO</w:t>
          </w:r>
          <w:r>
            <w:rPr>
              <w:rFonts w:ascii="Arial" w:hAnsi="Arial" w:cs="Arial"/>
              <w:sz w:val="18"/>
              <w:szCs w:val="18"/>
            </w:rPr>
            <w:t xml:space="preserve">: 1</w:t>
          </w:r>
          <w:r>
            <w:rPr>
              <w:rFonts w:ascii="Arial" w:hAnsi="Arial" w:cs="Arial"/>
              <w:sz w:val="18"/>
              <w:szCs w:val="18"/>
            </w:rPr>
            <w:t xml:space="preserve">8</w:t>
          </w:r>
          <w:r>
            <w:rPr>
              <w:rFonts w:ascii="Arial" w:hAnsi="Arial" w:cs="Arial"/>
              <w:sz w:val="18"/>
              <w:szCs w:val="18"/>
            </w:rPr>
            <w:t xml:space="preserve">/202</w:t>
          </w:r>
          <w:r>
            <w:rPr>
              <w:rFonts w:ascii="Arial" w:hAnsi="Arial" w:cs="Arial"/>
              <w:sz w:val="18"/>
              <w:szCs w:val="18"/>
            </w:rPr>
            <w:t xml:space="preserve">6</w:t>
          </w:r>
          <w:r>
            <w:rPr>
              <w:rFonts w:ascii="Arial" w:hAnsi="Arial" w:cs="Arial"/>
              <w:sz w:val="18"/>
              <w:szCs w:val="18"/>
            </w:rPr>
          </w:r>
        </w:p>
        <w:p w14:paraId="3A6B45F9" w14:textId="6FCBAC11">
          <w:pPr>
            <w:pBdr/>
            <w:spacing w:after="120"/>
            <w:ind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JURISDICIONADOS</w:t>
          </w:r>
          <w:r>
            <w:rPr>
              <w:rFonts w:ascii="Arial" w:hAnsi="Arial" w:cs="Arial"/>
              <w:sz w:val="18"/>
              <w:szCs w:val="18"/>
            </w:rPr>
            <w:t xml:space="preserve">: </w:t>
          </w:r>
          <w:r>
            <w:rPr>
              <w:rFonts w:ascii="Arial" w:hAnsi="Arial" w:cs="Arial"/>
              <w:sz w:val="18"/>
              <w:szCs w:val="18"/>
            </w:rPr>
            <w:t xml:space="preserve">AGENERSA, AGERIO, AGETRANSP,</w:t>
          </w:r>
          <w:r>
            <w:rPr>
              <w:rFonts w:ascii="Arial" w:hAnsi="Arial" w:cs="Arial"/>
              <w:sz w:val="18"/>
              <w:szCs w:val="18"/>
            </w:rPr>
            <w:t xml:space="preserve"> CASERJ, CEASA, CECIERJ, CEDAE, CEHAB, CENTRAL, CEPERJ, CODERTE, CODIN, CGE, DEGASE, DERRJ, DETRAN, DETRO, DPGE, DRM, EMATER, EMOP, FAETEC, FAPERJ, FCFB, FIA, FIPERJ, FLXIII, FMIS, FS, FSC, FTM, FUNARJ, GSI, IASERJ, IEEA, INEA, INEPAC, IRM, IO, IPEM, ITERJ</w:t>
          </w:r>
          <w:r>
            <w:rPr>
              <w:rFonts w:ascii="Arial" w:hAnsi="Arial" w:cs="Arial"/>
              <w:sz w:val="18"/>
              <w:szCs w:val="18"/>
            </w:rPr>
            <w:t xml:space="preserve">, IVB, JUCERJA, LOTERJ, MPE, PESAGRO, PGE, PMAR, PMA, PMAB, PMAC, PMBP, PMBR, PMCF, PMCG, PMCA, PMDC, PMG, PMI, PMJ, PMM, PMM, PMM, PMM, PMN, PMNF, PMNI, PMP, PMP, PMPR, PMQ, PMQ, PMQ, PMRO, PMSJB, PMSJM, PMSPA, PMS, PMS, PMSG, PMT, PMVR, PROCON, PRODERJ, </w:t>
          </w:r>
          <w:r>
            <w:rPr>
              <w:rFonts w:ascii="Arial" w:hAnsi="Arial" w:cs="Arial"/>
              <w:sz w:val="18"/>
              <w:szCs w:val="18"/>
            </w:rPr>
            <w:t xml:space="preserve">RIOTRILHOS, RJ PREV, SEAP, SEAPA, SECTI, SECEC, SECC, SECID, SEDEC, SEDCON, SEDEICS, SEDSODH, SEEDUC, SEENEMAR, SEENVS, SEELJE, SEFAZ, SEGG, SEGOV, SEHIS, SEIOP, SEPLAG, SEPOL, SEPM, SES, SETD, SETRANS, SETUR, SUDERJ, TCE, TJERJ, TURISRIO, UENF, UERJ, UEZO</w:t>
          </w:r>
          <w:r>
            <w:rPr>
              <w:rFonts w:ascii="Arial" w:hAnsi="Arial" w:cs="Arial"/>
              <w:sz w:val="16"/>
              <w:szCs w:val="16"/>
            </w:rPr>
            <w:t xml:space="preserve">.</w:t>
          </w:r>
          <w:r>
            <w:rPr>
              <w:rFonts w:ascii="Arial" w:hAnsi="Arial" w:cs="Arial"/>
              <w:sz w:val="18"/>
              <w:szCs w:val="18"/>
            </w:rPr>
          </w:r>
        </w:p>
        <w:p w14:paraId="44B9C6BD" w14:textId="61CE63E0">
          <w:pPr>
            <w:pStyle w:val="858"/>
            <w:pBdr/>
            <w:spacing w:after="120"/>
            <w:ind/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OBJETIVO DA AUDITORIA</w:t>
          </w:r>
          <w:r>
            <w:rPr>
              <w:rFonts w:ascii="Arial" w:hAnsi="Arial" w:cs="Arial"/>
              <w:sz w:val="18"/>
              <w:szCs w:val="18"/>
            </w:rPr>
            <w:t xml:space="preserve">: </w:t>
          </w:r>
          <w:r>
            <w:rPr>
              <w:rFonts w:ascii="Arial" w:hAnsi="Arial" w:cs="Arial"/>
              <w:sz w:val="18"/>
              <w:szCs w:val="18"/>
            </w:rPr>
            <w:t xml:space="preserve">Avaliar o </w:t>
          </w:r>
          <w:r>
            <w:rPr>
              <w:rFonts w:ascii="Arial" w:hAnsi="Arial" w:cs="Arial"/>
              <w:sz w:val="18"/>
              <w:szCs w:val="18"/>
            </w:rPr>
            <w:t xml:space="preserve">grau de maturidade e a conformidade das práticas de governança e gestão de Tecnologia da Informação e Comunicação (TIC) adotadas pelos jurisdicionados, identificando evoluções em relação ao ciclo de 2023 e induzindo a adoção de boas práticas internacionais</w:t>
          </w:r>
          <w:r>
            <w:rPr>
              <w:rFonts w:ascii="Arial" w:hAnsi="Arial" w:cs="Arial"/>
              <w:sz w:val="18"/>
              <w:szCs w:val="18"/>
            </w:rPr>
            <w:t xml:space="preserve">.</w:t>
          </w:r>
          <w:r>
            <w:rPr>
              <w:rFonts w:ascii="Arial" w:hAnsi="Arial" w:cs="Arial"/>
            </w:rPr>
          </w:r>
        </w:p>
      </w:tc>
    </w:tr>
  </w:tbl>
  <w:p w14:paraId="3AB268CB" w14:textId="77777777">
    <w:pPr>
      <w:pBdr/>
      <w:spacing/>
      <w:ind/>
      <w:jc w:val="center"/>
      <w:rPr>
        <w:bCs/>
        <w:sz w:val="12"/>
        <w:szCs w:val="12"/>
      </w:rPr>
    </w:pPr>
    <w:r>
      <w:rPr>
        <w:bCs/>
        <w:sz w:val="12"/>
        <w:szCs w:val="12"/>
      </w:rPr>
    </w:r>
    <w:r>
      <w:rPr>
        <w:bCs/>
        <w:sz w:val="12"/>
        <w:szCs w:val="12"/>
      </w:rPr>
    </w:r>
  </w:p>
  <w:p w14:paraId="10951264" w14:textId="77777777">
    <w:pPr>
      <w:pStyle w:val="835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0FF09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4CD138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FD831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39813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2BE16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78F57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D4027F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2F56DB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76AC7162"/>
    <w:lvl w:ilvl="0">
      <w:isLgl w:val="false"/>
      <w:lvlJc w:val="left"/>
      <w:lvlText w:val="C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7E4D28B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F38510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4"/>
  </w:num>
  <w:num w:numId="10">
    <w:abstractNumId w:val="2"/>
  </w:num>
  <w:num w:numId="11">
    <w:abstractNumId w:val="8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31"/>
    <w:next w:val="83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831"/>
    <w:next w:val="83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831"/>
    <w:next w:val="83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31"/>
    <w:next w:val="83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31"/>
    <w:next w:val="83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31"/>
    <w:next w:val="83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31"/>
    <w:next w:val="83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31"/>
    <w:next w:val="83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31"/>
    <w:next w:val="83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32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32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3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3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3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3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32"/>
    <w:link w:val="8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31"/>
    <w:next w:val="83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3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31"/>
    <w:next w:val="83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3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31"/>
    <w:next w:val="83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3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3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32"/>
    <w:link w:val="835"/>
    <w:uiPriority w:val="99"/>
    <w:pPr>
      <w:pBdr/>
      <w:spacing/>
      <w:ind/>
    </w:pPr>
  </w:style>
  <w:style w:type="character" w:styleId="179">
    <w:name w:val="Footer Char"/>
    <w:basedOn w:val="832"/>
    <w:link w:val="837"/>
    <w:uiPriority w:val="99"/>
    <w:pPr>
      <w:pBdr/>
      <w:spacing/>
      <w:ind/>
    </w:pPr>
  </w:style>
  <w:style w:type="paragraph" w:styleId="180">
    <w:name w:val="Caption"/>
    <w:basedOn w:val="831"/>
    <w:next w:val="8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832"/>
    <w:link w:val="849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83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31"/>
    <w:next w:val="831"/>
    <w:uiPriority w:val="39"/>
    <w:unhideWhenUsed/>
    <w:pPr>
      <w:pBdr/>
      <w:spacing w:after="100"/>
      <w:ind/>
    </w:pPr>
  </w:style>
  <w:style w:type="paragraph" w:styleId="190">
    <w:name w:val="toc 2"/>
    <w:basedOn w:val="831"/>
    <w:next w:val="831"/>
    <w:uiPriority w:val="39"/>
    <w:unhideWhenUsed/>
    <w:pPr>
      <w:pBdr/>
      <w:spacing w:after="100"/>
      <w:ind w:left="220"/>
    </w:pPr>
  </w:style>
  <w:style w:type="paragraph" w:styleId="191">
    <w:name w:val="toc 3"/>
    <w:basedOn w:val="831"/>
    <w:next w:val="831"/>
    <w:uiPriority w:val="39"/>
    <w:unhideWhenUsed/>
    <w:pPr>
      <w:pBdr/>
      <w:spacing w:after="100"/>
      <w:ind w:left="440"/>
    </w:pPr>
  </w:style>
  <w:style w:type="paragraph" w:styleId="192">
    <w:name w:val="toc 4"/>
    <w:basedOn w:val="831"/>
    <w:next w:val="831"/>
    <w:uiPriority w:val="39"/>
    <w:unhideWhenUsed/>
    <w:pPr>
      <w:pBdr/>
      <w:spacing w:after="100"/>
      <w:ind w:left="660"/>
    </w:pPr>
  </w:style>
  <w:style w:type="paragraph" w:styleId="193">
    <w:name w:val="toc 5"/>
    <w:basedOn w:val="831"/>
    <w:next w:val="831"/>
    <w:uiPriority w:val="39"/>
    <w:unhideWhenUsed/>
    <w:pPr>
      <w:pBdr/>
      <w:spacing w:after="100"/>
      <w:ind w:left="880"/>
    </w:pPr>
  </w:style>
  <w:style w:type="paragraph" w:styleId="194">
    <w:name w:val="toc 6"/>
    <w:basedOn w:val="831"/>
    <w:next w:val="831"/>
    <w:uiPriority w:val="39"/>
    <w:unhideWhenUsed/>
    <w:pPr>
      <w:pBdr/>
      <w:spacing w:after="100"/>
      <w:ind w:left="1100"/>
    </w:pPr>
  </w:style>
  <w:style w:type="paragraph" w:styleId="195">
    <w:name w:val="toc 7"/>
    <w:basedOn w:val="831"/>
    <w:next w:val="831"/>
    <w:uiPriority w:val="39"/>
    <w:unhideWhenUsed/>
    <w:pPr>
      <w:pBdr/>
      <w:spacing w:after="100"/>
      <w:ind w:left="1320"/>
    </w:pPr>
  </w:style>
  <w:style w:type="paragraph" w:styleId="196">
    <w:name w:val="toc 8"/>
    <w:basedOn w:val="831"/>
    <w:next w:val="831"/>
    <w:uiPriority w:val="39"/>
    <w:unhideWhenUsed/>
    <w:pPr>
      <w:pBdr/>
      <w:spacing w:after="100"/>
      <w:ind w:left="1540"/>
    </w:pPr>
  </w:style>
  <w:style w:type="paragraph" w:styleId="197">
    <w:name w:val="toc 9"/>
    <w:basedOn w:val="831"/>
    <w:next w:val="83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31"/>
    <w:next w:val="831"/>
    <w:uiPriority w:val="99"/>
    <w:unhideWhenUsed/>
    <w:pPr>
      <w:pBdr/>
      <w:spacing w:after="0" w:afterAutospacing="0"/>
      <w:ind/>
    </w:pPr>
  </w:style>
  <w:style w:type="paragraph" w:styleId="831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paragraph" w:styleId="835">
    <w:name w:val="Header"/>
    <w:basedOn w:val="831"/>
    <w:link w:val="836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6" w:customStyle="1">
    <w:name w:val="Cabeçalho Char"/>
    <w:basedOn w:val="832"/>
    <w:link w:val="835"/>
    <w:uiPriority w:val="99"/>
    <w:pPr>
      <w:pBdr/>
      <w:spacing/>
      <w:ind/>
    </w:pPr>
  </w:style>
  <w:style w:type="paragraph" w:styleId="837">
    <w:name w:val="Footer"/>
    <w:basedOn w:val="831"/>
    <w:link w:val="838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8" w:customStyle="1">
    <w:name w:val="Rodapé Char"/>
    <w:basedOn w:val="832"/>
    <w:link w:val="837"/>
    <w:uiPriority w:val="99"/>
    <w:pPr>
      <w:pBdr/>
      <w:spacing/>
      <w:ind/>
    </w:pPr>
  </w:style>
  <w:style w:type="paragraph" w:styleId="839">
    <w:name w:val="Title"/>
    <w:basedOn w:val="831"/>
    <w:link w:val="840"/>
    <w:uiPriority w:val="10"/>
    <w:qFormat/>
    <w:pPr>
      <w:widowControl w:val="false"/>
      <w:pBdr/>
      <w:spacing w:before="83"/>
      <w:ind w:right="310" w:left="277"/>
      <w:jc w:val="center"/>
    </w:pPr>
    <w:rPr>
      <w:rFonts w:ascii="Arial" w:hAnsi="Arial" w:eastAsia="Arial" w:cs="Arial"/>
      <w:b/>
      <w:bCs/>
      <w:sz w:val="23"/>
      <w:szCs w:val="23"/>
      <w:lang w:val="pt-PT" w:eastAsia="en-US"/>
    </w:rPr>
  </w:style>
  <w:style w:type="character" w:styleId="840" w:customStyle="1">
    <w:name w:val="Título Char"/>
    <w:basedOn w:val="832"/>
    <w:link w:val="839"/>
    <w:uiPriority w:val="10"/>
    <w:pPr>
      <w:pBdr/>
      <w:spacing/>
      <w:ind/>
    </w:pPr>
    <w:rPr>
      <w:rFonts w:ascii="Arial" w:hAnsi="Arial" w:eastAsia="Arial" w:cs="Arial"/>
      <w:b/>
      <w:bCs/>
      <w:sz w:val="23"/>
      <w:szCs w:val="23"/>
      <w:lang w:val="pt-PT"/>
    </w:rPr>
  </w:style>
  <w:style w:type="paragraph" w:styleId="841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pt-BR"/>
    </w:rPr>
  </w:style>
  <w:style w:type="table" w:styleId="842">
    <w:name w:val="Table Grid"/>
    <w:basedOn w:val="8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List Paragraph"/>
    <w:basedOn w:val="831"/>
    <w:uiPriority w:val="34"/>
    <w:qFormat/>
    <w:pPr>
      <w:pBdr/>
      <w:spacing/>
      <w:ind w:left="720"/>
      <w:contextualSpacing w:val="true"/>
    </w:pPr>
  </w:style>
  <w:style w:type="character" w:styleId="844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45">
    <w:name w:val="annotation text"/>
    <w:basedOn w:val="831"/>
    <w:link w:val="846"/>
    <w:uiPriority w:val="99"/>
    <w:unhideWhenUsed/>
    <w:pPr>
      <w:pBdr/>
      <w:spacing/>
      <w:ind/>
    </w:pPr>
    <w:rPr>
      <w:sz w:val="20"/>
      <w:szCs w:val="20"/>
    </w:rPr>
  </w:style>
  <w:style w:type="character" w:styleId="846" w:customStyle="1">
    <w:name w:val="Texto de comentário Char"/>
    <w:basedOn w:val="832"/>
    <w:link w:val="845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847">
    <w:name w:val="annotation subject"/>
    <w:basedOn w:val="845"/>
    <w:next w:val="845"/>
    <w:link w:val="848"/>
    <w:uiPriority w:val="99"/>
    <w:semiHidden/>
    <w:unhideWhenUsed/>
    <w:pPr>
      <w:pBdr/>
      <w:spacing/>
      <w:ind/>
    </w:pPr>
    <w:rPr>
      <w:b/>
      <w:bCs/>
    </w:rPr>
  </w:style>
  <w:style w:type="character" w:styleId="848" w:customStyle="1">
    <w:name w:val="Assunto do comentário Char"/>
    <w:basedOn w:val="846"/>
    <w:link w:val="847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pt-BR"/>
    </w:rPr>
  </w:style>
  <w:style w:type="paragraph" w:styleId="849">
    <w:name w:val="footnote text"/>
    <w:basedOn w:val="831"/>
    <w:link w:val="85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0" w:customStyle="1">
    <w:name w:val="Texto de nota de rodapé Char"/>
    <w:basedOn w:val="832"/>
    <w:link w:val="849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851">
    <w:name w:val="footnote reference"/>
    <w:basedOn w:val="832"/>
    <w:uiPriority w:val="99"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3">
    <w:name w:val="Unresolved Mention"/>
    <w:basedOn w:val="83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54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5">
    <w:name w:val="Balloon Text"/>
    <w:basedOn w:val="831"/>
    <w:link w:val="856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856" w:customStyle="1">
    <w:name w:val="Texto de balão Char"/>
    <w:basedOn w:val="832"/>
    <w:link w:val="855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pt-BR"/>
    </w:rPr>
  </w:style>
  <w:style w:type="paragraph" w:styleId="857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858">
    <w:name w:val="Body Text"/>
    <w:basedOn w:val="831"/>
    <w:link w:val="859"/>
    <w:pPr>
      <w:pBdr/>
      <w:spacing/>
      <w:ind/>
      <w:jc w:val="both"/>
    </w:pPr>
    <w:rPr>
      <w:rFonts w:ascii="TimesNewRoman" w:hAnsi="TimesNewRoman"/>
      <w:sz w:val="19"/>
      <w:szCs w:val="19"/>
    </w:rPr>
  </w:style>
  <w:style w:type="character" w:styleId="859" w:customStyle="1">
    <w:name w:val="Corpo de texto Char"/>
    <w:basedOn w:val="832"/>
    <w:link w:val="858"/>
    <w:pPr>
      <w:pBdr/>
      <w:spacing/>
      <w:ind/>
    </w:pPr>
    <w:rPr>
      <w:rFonts w:ascii="TimesNewRoman" w:hAnsi="TimesNewRoman" w:eastAsia="Times New Roman" w:cs="Times New Roman"/>
      <w:sz w:val="19"/>
      <w:szCs w:val="19"/>
      <w:lang w:eastAsia="pt-B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Relationship Id="rId13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FBFA4F3B-2708-4731-A0D3-85F4C0631F4E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09CE5C4D-344E-4B9A-BACC-B692E5F42C94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B3B699C-58A5-4E30-B28D-A0EBD2730770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C460D41C-4D86-48AB-A742-517920900E3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revision>3057</cp:revision>
  <dcterms:created xsi:type="dcterms:W3CDTF">2023-08-10T03:29:00Z</dcterms:created>
  <dcterms:modified xsi:type="dcterms:W3CDTF">2026-08-27T19:40:19Z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61100.000000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