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52" w:type="pct"/>
        <w:tblCellSpacing w:w="0" w:type="dxa"/>
        <w:tblCellMar>
          <w:top w:w="75" w:type="dxa"/>
          <w:left w:w="75" w:type="dxa"/>
          <w:bottom w:w="75" w:type="dxa"/>
          <w:right w:w="75" w:type="dxa"/>
        </w:tblCellMar>
        <w:tblLook w:val="04A0" w:firstRow="1" w:lastRow="0" w:firstColumn="1" w:lastColumn="0" w:noHBand="0" w:noVBand="1"/>
      </w:tblPr>
      <w:tblGrid>
        <w:gridCol w:w="3225"/>
        <w:gridCol w:w="6041"/>
      </w:tblGrid>
      <w:tr w:rsidRPr="003E07FC" w:rsidR="002F5785" w:rsidTr="005E52DF" w14:paraId="29F99555" w14:textId="77777777">
        <w:trPr>
          <w:tblCellSpacing w:w="0" w:type="dxa"/>
        </w:trPr>
        <w:tc>
          <w:tcPr>
            <w:tcW w:w="3225" w:type="dxa"/>
            <w:hideMark/>
          </w:tcPr>
          <w:p w:rsidRPr="000855DD" w:rsidR="002F5785" w:rsidP="00DB5B7C" w:rsidRDefault="002F5785" w14:paraId="56A0A574" w14:textId="77777777">
            <w:pPr>
              <w:spacing w:line="276" w:lineRule="auto"/>
              <w:rPr>
                <w:rFonts w:cs="Arial"/>
                <w:b/>
                <w:lang w:eastAsia="en-US"/>
              </w:rPr>
            </w:pPr>
            <w:r>
              <w:rPr>
                <w:rFonts w:cs="Arial"/>
                <w:b/>
                <w:lang w:eastAsia="en-US"/>
              </w:rPr>
              <w:t>Fiscalização</w:t>
            </w:r>
            <w:r w:rsidRPr="000855DD">
              <w:rPr>
                <w:rFonts w:cs="Arial"/>
                <w:b/>
                <w:lang w:eastAsia="en-US"/>
              </w:rPr>
              <w:t>:</w:t>
            </w:r>
          </w:p>
        </w:tc>
        <w:tc>
          <w:tcPr>
            <w:tcW w:w="6041" w:type="dxa"/>
            <w:hideMark/>
          </w:tcPr>
          <w:p w:rsidRPr="005A6043" w:rsidR="002F5785" w:rsidP="00DB5B7C" w:rsidRDefault="002F5785" w14:paraId="6BF826E8" w14:textId="77777777">
            <w:pPr>
              <w:spacing w:line="276" w:lineRule="auto"/>
              <w:jc w:val="both"/>
              <w:rPr>
                <w:rFonts w:cs="Arial"/>
              </w:rPr>
            </w:pPr>
            <w:r w:rsidRPr="005A6043">
              <w:rPr>
                <w:rFonts w:cs="Arial"/>
              </w:rPr>
              <w:t>18/2026</w:t>
            </w:r>
          </w:p>
        </w:tc>
      </w:tr>
      <w:tr w:rsidRPr="003E07FC" w:rsidR="002F5785" w:rsidTr="005E52DF" w14:paraId="1A4C499F" w14:textId="77777777">
        <w:trPr>
          <w:tblCellSpacing w:w="0" w:type="dxa"/>
        </w:trPr>
        <w:tc>
          <w:tcPr>
            <w:tcW w:w="3225" w:type="dxa"/>
          </w:tcPr>
          <w:p w:rsidR="002F5785" w:rsidP="00DB5B7C" w:rsidRDefault="002F5785" w14:paraId="66E2ABE1" w14:textId="77777777">
            <w:pPr>
              <w:spacing w:line="276" w:lineRule="auto"/>
              <w:rPr>
                <w:rFonts w:cs="Arial"/>
                <w:b/>
                <w:lang w:eastAsia="en-US"/>
              </w:rPr>
            </w:pPr>
            <w:r>
              <w:rPr>
                <w:rFonts w:cs="Arial"/>
                <w:b/>
                <w:lang w:eastAsia="en-US"/>
              </w:rPr>
              <w:t>Processo:</w:t>
            </w:r>
          </w:p>
        </w:tc>
        <w:tc>
          <w:tcPr>
            <w:tcW w:w="6041" w:type="dxa"/>
          </w:tcPr>
          <w:p w:rsidRPr="005A6043" w:rsidR="002F5785" w:rsidP="00DB5B7C" w:rsidRDefault="002F5785" w14:paraId="20E8B3F4" w14:textId="77777777">
            <w:pPr>
              <w:spacing w:line="276" w:lineRule="auto"/>
              <w:jc w:val="both"/>
              <w:rPr>
                <w:rFonts w:cs="Arial"/>
              </w:rPr>
            </w:pPr>
            <w:r w:rsidRPr="005A6043">
              <w:rPr>
                <w:rFonts w:cs="Arial"/>
              </w:rPr>
              <w:t>101.088-0/2026</w:t>
            </w:r>
          </w:p>
        </w:tc>
      </w:tr>
      <w:tr w:rsidRPr="003E07FC" w:rsidR="002F5785" w:rsidTr="005E52DF" w14:paraId="041DDF36" w14:textId="77777777">
        <w:trPr>
          <w:tblCellSpacing w:w="0" w:type="dxa"/>
        </w:trPr>
        <w:tc>
          <w:tcPr>
            <w:tcW w:w="3225" w:type="dxa"/>
          </w:tcPr>
          <w:p w:rsidR="002F5785" w:rsidP="00DB5B7C" w:rsidRDefault="002F5785" w14:paraId="7BB11227" w14:textId="77777777">
            <w:pPr>
              <w:spacing w:line="276" w:lineRule="auto"/>
              <w:rPr>
                <w:rFonts w:cs="Arial"/>
                <w:b/>
                <w:lang w:eastAsia="en-US"/>
              </w:rPr>
            </w:pPr>
            <w:r>
              <w:rPr>
                <w:rFonts w:cs="Arial"/>
                <w:b/>
                <w:lang w:eastAsia="en-US"/>
              </w:rPr>
              <w:t>Natureza:</w:t>
            </w:r>
          </w:p>
        </w:tc>
        <w:tc>
          <w:tcPr>
            <w:tcW w:w="6041" w:type="dxa"/>
          </w:tcPr>
          <w:p w:rsidRPr="005A6043" w:rsidR="002F5785" w:rsidP="00DB5B7C" w:rsidRDefault="002F5785" w14:paraId="5312679D" w14:textId="77777777">
            <w:pPr>
              <w:spacing w:line="276" w:lineRule="auto"/>
              <w:jc w:val="both"/>
              <w:rPr>
                <w:rFonts w:cs="Arial"/>
              </w:rPr>
            </w:pPr>
            <w:r w:rsidRPr="005A6043">
              <w:rPr>
                <w:rFonts w:cs="Arial"/>
              </w:rPr>
              <w:t>Auditoria de Conformidade</w:t>
            </w:r>
          </w:p>
        </w:tc>
      </w:tr>
      <w:tr w:rsidRPr="003E07FC" w:rsidR="002F5785" w:rsidTr="005E52DF" w14:paraId="0E920B4B" w14:textId="77777777">
        <w:trPr>
          <w:tblCellSpacing w:w="0" w:type="dxa"/>
        </w:trPr>
        <w:tc>
          <w:tcPr>
            <w:tcW w:w="3225" w:type="dxa"/>
          </w:tcPr>
          <w:p w:rsidR="002F5785" w:rsidP="00DB5B7C" w:rsidRDefault="002F5785" w14:paraId="0908C0AF" w14:textId="77777777">
            <w:pPr>
              <w:spacing w:line="276" w:lineRule="auto"/>
              <w:rPr>
                <w:rFonts w:cs="Arial"/>
                <w:b/>
                <w:lang w:eastAsia="en-US"/>
              </w:rPr>
            </w:pPr>
            <w:r>
              <w:rPr>
                <w:rFonts w:cs="Arial"/>
                <w:b/>
                <w:lang w:eastAsia="en-US"/>
              </w:rPr>
              <w:t>Objetivo:</w:t>
            </w:r>
          </w:p>
        </w:tc>
        <w:tc>
          <w:tcPr>
            <w:tcW w:w="6041" w:type="dxa"/>
          </w:tcPr>
          <w:p w:rsidRPr="005A6043" w:rsidR="002F5785" w:rsidP="00DB5B7C" w:rsidRDefault="002F5785" w14:paraId="2FD4B78B" w14:textId="77777777">
            <w:pPr>
              <w:spacing w:line="276" w:lineRule="auto"/>
              <w:jc w:val="both"/>
              <w:rPr>
                <w:rFonts w:cs="Arial"/>
              </w:rPr>
            </w:pPr>
            <w:r w:rsidRPr="005A6043">
              <w:rPr>
                <w:rFonts w:cs="Arial"/>
              </w:rPr>
              <w:t>Avaliar o grau de maturidade e a conformidade das práticas de governança e gestão de Tecnologia da Informação e Comunicação (TIC) adotadas pelos jurisdicionados, identificando evoluções em relação ao ciclo de 2023 e induzindo a adoção de boas práticas internacionais.</w:t>
            </w:r>
          </w:p>
        </w:tc>
      </w:tr>
      <w:tr w:rsidRPr="003E07FC" w:rsidR="002F5785" w:rsidTr="005E52DF" w14:paraId="3EAB98F9" w14:textId="77777777">
        <w:trPr>
          <w:tblCellSpacing w:w="0" w:type="dxa"/>
        </w:trPr>
        <w:tc>
          <w:tcPr>
            <w:tcW w:w="3225" w:type="dxa"/>
            <w:hideMark/>
          </w:tcPr>
          <w:p w:rsidRPr="000855DD" w:rsidR="002F5785" w:rsidP="00DB5B7C" w:rsidRDefault="002F5785" w14:paraId="13C7EDC7" w14:textId="77777777">
            <w:pPr>
              <w:spacing w:line="276" w:lineRule="auto"/>
              <w:rPr>
                <w:rFonts w:cs="Arial"/>
                <w:b/>
                <w:lang w:eastAsia="en-US"/>
              </w:rPr>
            </w:pPr>
            <w:r>
              <w:rPr>
                <w:rFonts w:cs="Arial"/>
                <w:b/>
                <w:lang w:eastAsia="en-US"/>
              </w:rPr>
              <w:t>Unidades jurisdicionadas</w:t>
            </w:r>
            <w:r w:rsidRPr="000855DD">
              <w:rPr>
                <w:rFonts w:cs="Arial"/>
                <w:b/>
                <w:lang w:eastAsia="en-US"/>
              </w:rPr>
              <w:t>:</w:t>
            </w:r>
          </w:p>
        </w:tc>
        <w:tc>
          <w:tcPr>
            <w:tcW w:w="6041" w:type="dxa"/>
            <w:hideMark/>
          </w:tcPr>
          <w:p w:rsidRPr="005A6043" w:rsidR="002F5785" w:rsidP="00DB5B7C" w:rsidRDefault="002F5785" w14:paraId="77F9A13D" w14:textId="4DF3DB70">
            <w:pPr>
              <w:spacing w:line="276" w:lineRule="auto"/>
              <w:jc w:val="both"/>
              <w:rPr>
                <w:rFonts w:cs="Arial"/>
              </w:rPr>
            </w:pPr>
            <w:r w:rsidRPr="005A6043">
              <w:rPr>
                <w:rFonts w:cs="Arial"/>
              </w:rPr>
              <w:t>UEZO, UERJ, UENF, TURISRIO, TJERJ, TCE, SUDERJ, SETUR, SETRANS, SETD, SES, SEPM, SEPOL, SEPLAG, SEIOP, SEHIS, SEGOV, SEGG, SEFAZ, SEELJE, SEENVS, SEENEMAR, SEEDUC, SEDSODH, SEDEICS, SEDCON, SEDEC, SECID, SECC, SECEC, SECTI, SEAPA, SEAP, RJ PREV, RIOTRILHOS, PRODERJ, PROCON, PMVR, PMT, PMSG, PMS, PMS, PMSPA, PMSJM, PMSJB, PMRO, PMQ, PMQ, PMQ, PMPR, PMP, PMP, PMNI, PMNF, PMN, PMM, PMM, PMM, PMM, PMJ, PMI, PMG, PMDC, PMCA, PMCG, PMCF, PMBR, PMBP, PMAC, PMAB, PMA, PMAR, PGE, PESAGRO, MPE, LOTERJ, JUCERJA, IVB, ITERJ, IPEM, IO, IRM, INEPAC, INEA, IEEA, IASERJ, GSI, FUNARJ, FTM, FSC, FS, FMIS, FLXIII, FIPERJ, FIA, FCFB, FAPERJ, FAETEC, EMOP, EMATER, DRM, DPGE, DETRO, DETRAN, DERRJ, DEGASE, CGE, CODIN, CODERTE, CEPERJ, CENTRAL, CEHAB, CEDAE, CECIERJ, CEASA, CASERJ, AGETRANSP, AGERIO, AGENERSA</w:t>
            </w:r>
            <w:r w:rsidR="005E52DF">
              <w:rPr>
                <w:rFonts w:cs="Arial"/>
              </w:rPr>
              <w:t>.</w:t>
            </w:r>
          </w:p>
        </w:tc>
      </w:tr>
      <w:tr w:rsidRPr="003E07FC" w:rsidR="002F5785" w:rsidTr="005E52DF" w14:paraId="7E225D98" w14:textId="77777777">
        <w:trPr>
          <w:tblCellSpacing w:w="0" w:type="dxa"/>
        </w:trPr>
        <w:tc>
          <w:tcPr>
            <w:tcW w:w="3225" w:type="dxa"/>
          </w:tcPr>
          <w:p w:rsidR="002F5785" w:rsidP="00DB5B7C" w:rsidRDefault="002F5785" w14:paraId="58184D04" w14:textId="77777777">
            <w:pPr>
              <w:spacing w:line="276" w:lineRule="auto"/>
              <w:rPr>
                <w:rFonts w:cs="Arial"/>
                <w:b/>
                <w:lang w:eastAsia="en-US"/>
              </w:rPr>
            </w:pPr>
            <w:r>
              <w:rPr>
                <w:rFonts w:cs="Arial"/>
                <w:b/>
                <w:lang w:eastAsia="en-US"/>
              </w:rPr>
              <w:t>Período</w:t>
            </w:r>
            <w:r w:rsidRPr="000855DD">
              <w:rPr>
                <w:rFonts w:cs="Arial"/>
                <w:b/>
                <w:lang w:eastAsia="en-US"/>
              </w:rPr>
              <w:t>:</w:t>
            </w:r>
          </w:p>
        </w:tc>
        <w:tc>
          <w:tcPr>
            <w:tcW w:w="6041" w:type="dxa"/>
          </w:tcPr>
          <w:p w:rsidRPr="005A6043" w:rsidR="002F5785" w:rsidP="00DB5B7C" w:rsidRDefault="002F5785" w14:paraId="374F7403" w14:textId="77777777">
            <w:pPr>
              <w:spacing w:line="276" w:lineRule="auto"/>
              <w:jc w:val="both"/>
              <w:rPr>
                <w:rFonts w:cs="Arial"/>
              </w:rPr>
            </w:pPr>
            <w:r w:rsidRPr="005A6043">
              <w:rPr>
                <w:rFonts w:cs="Arial"/>
              </w:rPr>
              <w:t>2024-01-01 a 2026-06-01</w:t>
            </w:r>
          </w:p>
        </w:tc>
      </w:tr>
      <w:tr w:rsidRPr="003E07FC" w:rsidR="002F5785" w:rsidTr="005E52DF" w14:paraId="1E548BF0" w14:textId="77777777">
        <w:trPr>
          <w:tblCellSpacing w:w="0" w:type="dxa"/>
        </w:trPr>
        <w:tc>
          <w:tcPr>
            <w:tcW w:w="3225" w:type="dxa"/>
            <w:hideMark/>
          </w:tcPr>
          <w:p w:rsidRPr="000855DD" w:rsidR="002F5785" w:rsidP="00DB5B7C" w:rsidRDefault="002F5785" w14:paraId="076D8D81" w14:textId="77777777">
            <w:pPr>
              <w:spacing w:line="276" w:lineRule="auto"/>
              <w:rPr>
                <w:rFonts w:cs="Arial"/>
                <w:b/>
                <w:lang w:eastAsia="en-US"/>
              </w:rPr>
            </w:pPr>
            <w:r>
              <w:rPr>
                <w:rFonts w:cs="Arial"/>
                <w:b/>
                <w:lang w:eastAsia="en-US"/>
              </w:rPr>
              <w:t>Equipe de Auditoria</w:t>
            </w:r>
            <w:r w:rsidRPr="000855DD">
              <w:rPr>
                <w:rFonts w:cs="Arial"/>
                <w:b/>
                <w:lang w:eastAsia="en-US"/>
              </w:rPr>
              <w:t>:</w:t>
            </w:r>
          </w:p>
        </w:tc>
        <w:tc>
          <w:tcPr>
            <w:tcW w:w="6041" w:type="dxa"/>
            <w:hideMark/>
          </w:tcPr>
          <w:p w:rsidRPr="005A6043" w:rsidR="002F5785" w:rsidP="00DB5B7C" w:rsidRDefault="002F5785" w14:paraId="10DA35F4" w14:textId="77777777">
            <w:pPr>
              <w:spacing w:line="276" w:lineRule="auto"/>
              <w:jc w:val="both"/>
              <w:rPr>
                <w:rFonts w:cs="Arial"/>
              </w:rPr>
            </w:pPr>
            <w:r w:rsidRPr="005A6043">
              <w:rPr>
                <w:rFonts w:cs="Arial"/>
              </w:rPr>
              <w:t xml:space="preserve">João (Auditor de Controle Externo, </w:t>
            </w:r>
            <w:proofErr w:type="spellStart"/>
            <w:r w:rsidRPr="005A6043">
              <w:rPr>
                <w:rFonts w:cs="Arial"/>
              </w:rPr>
              <w:t>matr</w:t>
            </w:r>
            <w:proofErr w:type="spellEnd"/>
            <w:r w:rsidRPr="005A6043">
              <w:rPr>
                <w:rFonts w:cs="Arial"/>
              </w:rPr>
              <w:t>. 4820), Augusto Almeid</w:t>
            </w:r>
            <w:r>
              <w:rPr>
                <w:rFonts w:cs="Arial"/>
              </w:rPr>
              <w:t>a</w:t>
            </w:r>
            <w:r w:rsidRPr="005A6043">
              <w:rPr>
                <w:rFonts w:cs="Arial"/>
              </w:rPr>
              <w:t xml:space="preserve"> (Auditor de Controle Externo, </w:t>
            </w:r>
            <w:proofErr w:type="spellStart"/>
            <w:r w:rsidRPr="005A6043">
              <w:rPr>
                <w:rFonts w:cs="Arial"/>
              </w:rPr>
              <w:t>matr</w:t>
            </w:r>
            <w:proofErr w:type="spellEnd"/>
            <w:r w:rsidRPr="005A6043">
              <w:rPr>
                <w:rFonts w:cs="Arial"/>
              </w:rPr>
              <w:t>. 4823)</w:t>
            </w:r>
          </w:p>
        </w:tc>
      </w:tr>
      <w:tr w:rsidRPr="003E07FC" w:rsidR="002F5785" w:rsidTr="005E52DF" w14:paraId="41ADC7A3" w14:textId="77777777">
        <w:trPr>
          <w:tblCellSpacing w:w="0" w:type="dxa"/>
        </w:trPr>
        <w:tc>
          <w:tcPr>
            <w:tcW w:w="3225" w:type="dxa"/>
          </w:tcPr>
          <w:p w:rsidR="002F5785" w:rsidP="00DB5B7C" w:rsidRDefault="002F5785" w14:paraId="2C8935CE" w14:textId="77777777">
            <w:pPr>
              <w:spacing w:line="276" w:lineRule="auto"/>
              <w:rPr>
                <w:rFonts w:cs="Arial"/>
                <w:b/>
                <w:lang w:eastAsia="en-US"/>
              </w:rPr>
            </w:pPr>
            <w:r>
              <w:rPr>
                <w:rFonts w:cs="Arial"/>
                <w:b/>
                <w:lang w:eastAsia="en-US"/>
              </w:rPr>
              <w:t>Supervisor</w:t>
            </w:r>
            <w:r w:rsidRPr="000855DD">
              <w:rPr>
                <w:rFonts w:cs="Arial"/>
                <w:b/>
                <w:lang w:eastAsia="en-US"/>
              </w:rPr>
              <w:t>:</w:t>
            </w:r>
          </w:p>
        </w:tc>
        <w:tc>
          <w:tcPr>
            <w:tcW w:w="6041" w:type="dxa"/>
          </w:tcPr>
          <w:p w:rsidRPr="005A6043" w:rsidR="002F5785" w:rsidP="00DB5B7C" w:rsidRDefault="002F5785" w14:paraId="26E1DB7B" w14:textId="77777777">
            <w:pPr>
              <w:spacing w:line="276" w:lineRule="auto"/>
              <w:jc w:val="both"/>
              <w:rPr>
                <w:rFonts w:cs="Arial"/>
              </w:rPr>
            </w:pPr>
            <w:r w:rsidRPr="005A6043">
              <w:rPr>
                <w:rFonts w:cs="Arial"/>
              </w:rPr>
              <w:t>Bruno (Auditor de Controle Externo, mat. 4680)</w:t>
            </w:r>
          </w:p>
        </w:tc>
      </w:tr>
    </w:tbl>
    <w:p w:rsidR="002F5785" w:rsidP="005E52DF" w:rsidRDefault="002F5785" w14:paraId="7F321426" w14:textId="77777777">
      <w:pPr>
        <w:pStyle w:val="SemEspaamento"/>
      </w:pPr>
    </w:p>
    <w:p w:rsidR="005E52DF" w:rsidRDefault="005E52DF" w14:paraId="7DD7710C" w14:textId="77777777">
      <w:pPr>
        <w:spacing w:after="200" w:line="276" w:lineRule="auto"/>
        <w:rPr>
          <w:rFonts w:asciiTheme="majorHAnsi" w:hAnsiTheme="majorHAnsi" w:eastAsiaTheme="majorEastAsia" w:cstheme="majorBidi"/>
          <w:b/>
          <w:bCs/>
          <w:color w:val="365F91" w:themeColor="accent1" w:themeShade="BF"/>
          <w:sz w:val="28"/>
          <w:szCs w:val="28"/>
        </w:rPr>
      </w:pPr>
      <w:r>
        <w:br w:type="page"/>
      </w:r>
    </w:p>
    <w:p w:rsidR="00BF51E9" w:rsidP="00DC53C5" w:rsidRDefault="00DD0542" w14:paraId="2319CD37" w14:textId="348D4BEC">
      <w:pPr>
        <w:pStyle w:val="Ttulo1"/>
      </w:pPr>
      <w:r>
        <w:t xml:space="preserve">1. </w:t>
      </w:r>
      <w:r w:rsidR="00BF51E9">
        <w:t>Introdução</w:t>
      </w:r>
    </w:p>
    <w:p w:rsidRPr="000C2099" w:rsidR="000C2099" w:rsidP="000C2099" w:rsidRDefault="000C2099" w14:paraId="5823209A" w14:textId="00855D25">
      <w:pPr>
        <w:spacing w:line="360" w:lineRule="auto"/>
        <w:ind w:firstLine="708"/>
        <w:jc w:val="both"/>
        <w:rPr>
          <w:rFonts w:cs="Arial"/>
          <w:szCs w:val="22"/>
        </w:rPr>
      </w:pPr>
      <w:r w:rsidRPr="000C2099">
        <w:rPr>
          <w:rFonts w:cs="Arial"/>
          <w:szCs w:val="22"/>
        </w:rPr>
        <w:t xml:space="preserve">Este relatório registra as atividades iniciais de análise comparativa e consolidação de referências para subsidiar o aprimoramento do instrumento de avaliação de práticas de governança e gestão de Tecnologia da Informação e Comunicação (TIC) a ser utilizado no contexto da </w:t>
      </w:r>
      <w:r w:rsidR="00040311">
        <w:rPr>
          <w:rFonts w:cs="Arial"/>
          <w:szCs w:val="22"/>
        </w:rPr>
        <w:t xml:space="preserve">presente </w:t>
      </w:r>
      <w:r w:rsidRPr="000C2099">
        <w:rPr>
          <w:rFonts w:cs="Arial"/>
          <w:szCs w:val="22"/>
        </w:rPr>
        <w:t>fiscalização.</w:t>
      </w:r>
    </w:p>
    <w:p w:rsidRPr="000C2099" w:rsidR="000C2099" w:rsidP="000C2099" w:rsidRDefault="000C2099" w14:paraId="4DB713E8" w14:textId="7C6EF7E1">
      <w:pPr>
        <w:spacing w:line="360" w:lineRule="auto"/>
        <w:ind w:firstLine="708"/>
        <w:jc w:val="both"/>
        <w:rPr>
          <w:rFonts w:cs="Arial"/>
          <w:szCs w:val="22"/>
        </w:rPr>
      </w:pPr>
      <w:r w:rsidRPr="000C2099">
        <w:rPr>
          <w:rFonts w:cs="Arial"/>
          <w:szCs w:val="22"/>
        </w:rPr>
        <w:t>O trabalho está estruturado a partir do exame de questionários, censos e resultados produzidos por diferentes instituições de controle (ex.: TCE-RJ, TCU, TCE-RS, TCE-PE), com foco em identificar: (i) dimensões e práticas recorrentes em modelos consolidados de governança/gestão de TIC; (</w:t>
      </w:r>
      <w:proofErr w:type="spellStart"/>
      <w:r w:rsidRPr="000C2099">
        <w:rPr>
          <w:rFonts w:cs="Arial"/>
          <w:szCs w:val="22"/>
        </w:rPr>
        <w:t>ii</w:t>
      </w:r>
      <w:proofErr w:type="spellEnd"/>
      <w:r w:rsidRPr="000C2099">
        <w:rPr>
          <w:rFonts w:cs="Arial"/>
          <w:szCs w:val="22"/>
        </w:rPr>
        <w:t>) mudanças relevantes entre versões de índices (especialmente TCU 2021–2024); (</w:t>
      </w:r>
      <w:proofErr w:type="spellStart"/>
      <w:r w:rsidRPr="000C2099">
        <w:rPr>
          <w:rFonts w:cs="Arial"/>
          <w:szCs w:val="22"/>
        </w:rPr>
        <w:t>iii</w:t>
      </w:r>
      <w:proofErr w:type="spellEnd"/>
      <w:r w:rsidRPr="000C2099">
        <w:rPr>
          <w:rFonts w:cs="Arial"/>
          <w:szCs w:val="22"/>
        </w:rPr>
        <w:t>) itens e critérios que podem ser aproveitados, ajustados ou descartados para preservar comparabilidade histórica e, ao mesmo tempo, incorporar melhorias metodológicas; e (</w:t>
      </w:r>
      <w:proofErr w:type="spellStart"/>
      <w:r w:rsidRPr="000C2099">
        <w:rPr>
          <w:rFonts w:cs="Arial"/>
          <w:szCs w:val="22"/>
        </w:rPr>
        <w:t>iv</w:t>
      </w:r>
      <w:proofErr w:type="spellEnd"/>
      <w:r w:rsidRPr="000C2099">
        <w:rPr>
          <w:rFonts w:cs="Arial"/>
          <w:szCs w:val="22"/>
        </w:rPr>
        <w:t>) riscos principais associados às práticas avaliadas, a serem registrados no documento de Levantamento de Riscos</w:t>
      </w:r>
      <w:r>
        <w:rPr>
          <w:rFonts w:cs="Arial"/>
          <w:szCs w:val="22"/>
        </w:rPr>
        <w:t>.</w:t>
      </w:r>
    </w:p>
    <w:p w:rsidRPr="000C2099" w:rsidR="000C2099" w:rsidP="000C2099" w:rsidRDefault="000C2099" w14:paraId="6A514881" w14:textId="532B7D08">
      <w:pPr>
        <w:spacing w:line="360" w:lineRule="auto"/>
        <w:ind w:firstLine="708"/>
        <w:jc w:val="both"/>
        <w:rPr>
          <w:rFonts w:cs="Arial"/>
          <w:szCs w:val="22"/>
        </w:rPr>
      </w:pPr>
      <w:r w:rsidRPr="000C2099">
        <w:rPr>
          <w:rFonts w:cs="Arial"/>
          <w:szCs w:val="22"/>
        </w:rPr>
        <w:t xml:space="preserve">Como escopo, o relatório contempla: a análise do IEGM 2024 (RJ), do </w:t>
      </w:r>
      <w:proofErr w:type="gramStart"/>
      <w:r w:rsidRPr="000C2099">
        <w:rPr>
          <w:rFonts w:cs="Arial"/>
          <w:szCs w:val="22"/>
        </w:rPr>
        <w:t>censo</w:t>
      </w:r>
      <w:proofErr w:type="gramEnd"/>
      <w:r w:rsidRPr="000C2099">
        <w:rPr>
          <w:rFonts w:cs="Arial"/>
          <w:szCs w:val="22"/>
        </w:rPr>
        <w:t xml:space="preserve"> do Acompanhamento de Contratações da CAD-TI (2025), do trabalho de referência do TCE-RS, do iGovTI do TCE-PE e do iGovTI aplicado pelo TCE-RJ em 2023 (municípios e SETIC), além do mapeamento e organização dos itens por dimensões de práticas (por exemplo: Planejamento, Gestão de Riscos, Gestão de Ativos, Gestão de Pessoas, Segurança da Informação e Contratações de TIC).</w:t>
      </w:r>
    </w:p>
    <w:p w:rsidR="00DD0542" w:rsidP="000C2099" w:rsidRDefault="000C2099" w14:paraId="21731E9E" w14:textId="4DEA834C">
      <w:pPr>
        <w:spacing w:line="360" w:lineRule="auto"/>
        <w:ind w:firstLine="708"/>
        <w:jc w:val="both"/>
        <w:rPr>
          <w:rFonts w:cs="Arial"/>
          <w:szCs w:val="22"/>
        </w:rPr>
      </w:pPr>
      <w:r w:rsidRPr="000C2099">
        <w:rPr>
          <w:rFonts w:cs="Arial"/>
          <w:szCs w:val="22"/>
        </w:rPr>
        <w:t>Ao final, espera-se produzir uma visão consolidada e motivada dos ajustes propostos no questionário (itens que permanecem, itens que saem e itens novos), bem como um conjunto de riscos relevantes para orientar prioridades de auditoria e aumentar a coerência entre critérios, perguntas e achados esperados.</w:t>
      </w:r>
    </w:p>
    <w:p w:rsidR="00DD0542" w:rsidRDefault="00DD0542" w14:paraId="38BBC9CF" w14:textId="77777777">
      <w:pPr>
        <w:spacing w:after="200" w:line="276" w:lineRule="auto"/>
        <w:rPr>
          <w:rFonts w:cs="Arial"/>
          <w:szCs w:val="22"/>
        </w:rPr>
      </w:pPr>
      <w:r>
        <w:rPr>
          <w:rFonts w:cs="Arial"/>
          <w:szCs w:val="22"/>
        </w:rPr>
        <w:br w:type="page"/>
      </w:r>
    </w:p>
    <w:p w:rsidRPr="004F7713" w:rsidR="00DD0542" w:rsidP="00DD0542" w:rsidRDefault="00DD0542" w14:paraId="07261802" w14:textId="0165B4E2">
      <w:pPr>
        <w:pStyle w:val="Ttulo1"/>
      </w:pPr>
      <w:r>
        <w:t>2. Avaliação</w:t>
      </w:r>
    </w:p>
    <w:p w:rsidRPr="004F7713" w:rsidR="004F7713" w:rsidP="004F7713" w:rsidRDefault="00DD0542" w14:paraId="539343DF" w14:textId="4BF134B6">
      <w:pPr>
        <w:pStyle w:val="Ttulo1"/>
      </w:pPr>
      <w:r>
        <w:t>2.</w:t>
      </w:r>
      <w:r w:rsidR="002E6E1D">
        <w:t>1</w:t>
      </w:r>
      <w:r>
        <w:t xml:space="preserve">. </w:t>
      </w:r>
      <w:r w:rsidR="00602EAD">
        <w:t>iGovT</w:t>
      </w:r>
      <w:r w:rsidR="00DD5855">
        <w:t>I</w:t>
      </w:r>
      <w:r w:rsidR="00602EAD">
        <w:t>-</w:t>
      </w:r>
      <w:r w:rsidRPr="004F7713" w:rsidR="004F7713">
        <w:t>IEGM 2024 RJ</w:t>
      </w:r>
    </w:p>
    <w:p w:rsidRPr="00602EAD" w:rsidR="00DC53C5" w:rsidP="00E13715" w:rsidRDefault="00E13715" w14:paraId="568542B6" w14:textId="3966F1F0">
      <w:pPr>
        <w:spacing w:line="360" w:lineRule="auto"/>
        <w:ind w:firstLine="708"/>
        <w:jc w:val="both"/>
        <w:rPr>
          <w:rFonts w:cs="Arial"/>
          <w:szCs w:val="22"/>
        </w:rPr>
      </w:pPr>
      <w:r w:rsidRPr="00E13715">
        <w:rPr>
          <w:rFonts w:cs="Arial"/>
          <w:szCs w:val="22"/>
        </w:rPr>
        <w:t>Esta seção consolida a leitura do questionário i-</w:t>
      </w:r>
      <w:proofErr w:type="spellStart"/>
      <w:r w:rsidRPr="00E13715">
        <w:rPr>
          <w:rFonts w:cs="Arial"/>
          <w:szCs w:val="22"/>
        </w:rPr>
        <w:t>Gov</w:t>
      </w:r>
      <w:proofErr w:type="spellEnd"/>
      <w:r w:rsidRPr="00E13715">
        <w:rPr>
          <w:rFonts w:cs="Arial"/>
          <w:szCs w:val="22"/>
        </w:rPr>
        <w:t xml:space="preserve"> TI do IEGM (exercício 2024) e a análise dos dados de respostas/nota dos municípios do RJ disponibilizados. O foco é registrar o que foi avaliado, como o instrumento estrutura e pontua as práticas, e quais elementos podem ser reaproveitados no desenho do iGovTI 2026, preservando rastreabilidade entre pergunta–evidência–risco–achado.</w:t>
      </w:r>
    </w:p>
    <w:p w:rsidRPr="00FD6170" w:rsidR="00FD6170" w:rsidP="00FD6170" w:rsidRDefault="00FD6170" w14:paraId="0B8CF450" w14:textId="6E60D173">
      <w:pPr>
        <w:pStyle w:val="Ttulo2"/>
      </w:pPr>
      <w:r w:rsidRPr="00FD6170">
        <w:t>2.</w:t>
      </w:r>
      <w:r w:rsidR="002E6E1D">
        <w:t>1</w:t>
      </w:r>
      <w:r>
        <w:t xml:space="preserve">.1. </w:t>
      </w:r>
      <w:r w:rsidRPr="00FD6170">
        <w:t>Abordagem de mensuração e características metodológicas relevantes</w:t>
      </w:r>
    </w:p>
    <w:p w:rsidRPr="00FD6170" w:rsidR="00FD6170" w:rsidP="00FD6170" w:rsidRDefault="00FD6170" w14:paraId="3985475A" w14:textId="1703B540">
      <w:pPr>
        <w:spacing w:line="360" w:lineRule="auto"/>
        <w:ind w:firstLine="708"/>
        <w:jc w:val="both"/>
        <w:rPr>
          <w:rFonts w:cs="Arial"/>
          <w:szCs w:val="22"/>
        </w:rPr>
      </w:pPr>
      <w:r w:rsidRPr="00FD6170">
        <w:rPr>
          <w:rFonts w:cs="Arial"/>
          <w:szCs w:val="22"/>
        </w:rPr>
        <w:t>Pontuação explícita por quesito, com regras objetivas.</w:t>
      </w:r>
      <w:r w:rsidR="002511C3">
        <w:rPr>
          <w:rFonts w:cs="Arial"/>
          <w:szCs w:val="22"/>
        </w:rPr>
        <w:t xml:space="preserve"> </w:t>
      </w:r>
      <w:r w:rsidRPr="00FD6170">
        <w:rPr>
          <w:rFonts w:cs="Arial"/>
          <w:szCs w:val="22"/>
        </w:rPr>
        <w:t xml:space="preserve">O instrumento atribui pontos fixos (ex.: “Sim/Não”), pontos por seleção múltipla (com somatórios) e, em alguns casos, regras de pontuação parcial (ex.: faixas de metas/atualização, percentual de conteúdo/relatórios acessíveis etc.). </w:t>
      </w:r>
      <w:r w:rsidRPr="00E4667C" w:rsidR="009A3D99">
        <w:rPr>
          <w:rFonts w:cs="Arial"/>
          <w:szCs w:val="22"/>
        </w:rPr>
        <w:t>Alguns quesitos solicitam link na internet como evidência e existem perguntas condicionais.</w:t>
      </w:r>
    </w:p>
    <w:p w:rsidRPr="00FD6170" w:rsidR="009A3D99" w:rsidP="009A3D99" w:rsidRDefault="009A3D99" w14:paraId="09EB50DA" w14:textId="007E2DC5">
      <w:pPr>
        <w:pStyle w:val="Ttulo2"/>
      </w:pPr>
      <w:r w:rsidRPr="00FD6170">
        <w:t>2.</w:t>
      </w:r>
      <w:r w:rsidR="002E6E1D">
        <w:t>1</w:t>
      </w:r>
      <w:r>
        <w:t>.</w:t>
      </w:r>
      <w:r w:rsidR="00C16362">
        <w:t>2</w:t>
      </w:r>
      <w:r>
        <w:t xml:space="preserve">. </w:t>
      </w:r>
      <w:r w:rsidRPr="00C16362" w:rsidR="00C16362">
        <w:t>Dimensões avaliadas</w:t>
      </w:r>
    </w:p>
    <w:p w:rsidRPr="00AB35EA" w:rsidR="00AB35EA" w:rsidP="00AB35EA" w:rsidRDefault="00AB35EA" w14:paraId="0840E535" w14:textId="77777777">
      <w:pPr>
        <w:spacing w:line="360" w:lineRule="auto"/>
        <w:ind w:firstLine="708"/>
        <w:jc w:val="both"/>
        <w:rPr>
          <w:rFonts w:cs="Arial"/>
          <w:szCs w:val="22"/>
        </w:rPr>
      </w:pPr>
      <w:r w:rsidRPr="00AB35EA">
        <w:rPr>
          <w:rFonts w:cs="Arial"/>
          <w:szCs w:val="22"/>
        </w:rPr>
        <w:t>A seguir, os blocos avaliados no i-</w:t>
      </w:r>
      <w:proofErr w:type="spellStart"/>
      <w:r w:rsidRPr="00AB35EA">
        <w:rPr>
          <w:rFonts w:cs="Arial"/>
          <w:szCs w:val="22"/>
        </w:rPr>
        <w:t>Gov</w:t>
      </w:r>
      <w:proofErr w:type="spellEnd"/>
      <w:r w:rsidRPr="00AB35EA">
        <w:rPr>
          <w:rFonts w:cs="Arial"/>
          <w:szCs w:val="22"/>
        </w:rPr>
        <w:t xml:space="preserve"> TI do IEGM, descritos em nível macro (o que se pretende medir):</w:t>
      </w:r>
    </w:p>
    <w:p w:rsidRPr="002511C3" w:rsidR="00AB35EA" w:rsidP="00D716B8" w:rsidRDefault="00AB35EA" w14:paraId="3CA5D368" w14:textId="77777777">
      <w:pPr>
        <w:numPr>
          <w:ilvl w:val="0"/>
          <w:numId w:val="10"/>
        </w:numPr>
        <w:spacing w:line="360" w:lineRule="auto"/>
        <w:jc w:val="both"/>
        <w:rPr>
          <w:rFonts w:cs="Arial"/>
          <w:b/>
          <w:bCs/>
          <w:szCs w:val="22"/>
        </w:rPr>
      </w:pPr>
      <w:r w:rsidRPr="002511C3">
        <w:rPr>
          <w:rFonts w:cs="Arial"/>
          <w:b/>
          <w:bCs/>
          <w:szCs w:val="22"/>
        </w:rPr>
        <w:t>Estrutura de TI e força de trabalho</w:t>
      </w:r>
    </w:p>
    <w:p w:rsidRPr="00AB35EA" w:rsidR="00AB35EA" w:rsidP="00D716B8" w:rsidRDefault="00AB35EA" w14:paraId="40AC1C9D" w14:textId="77777777">
      <w:pPr>
        <w:numPr>
          <w:ilvl w:val="1"/>
          <w:numId w:val="10"/>
        </w:numPr>
        <w:spacing w:line="360" w:lineRule="auto"/>
        <w:jc w:val="both"/>
        <w:rPr>
          <w:rFonts w:cs="Arial"/>
          <w:szCs w:val="22"/>
        </w:rPr>
      </w:pPr>
      <w:r w:rsidRPr="00AB35EA">
        <w:rPr>
          <w:rFonts w:cs="Arial"/>
          <w:szCs w:val="22"/>
        </w:rPr>
        <w:t>Existência de área/setor de TI, perfil e quantitativo de equipe (efetivos/comissionados/estagiários/outros), atribuições formalizadas, capacitação e áreas de capacitação.</w:t>
      </w:r>
    </w:p>
    <w:p w:rsidRPr="00AB35EA" w:rsidR="00AB35EA" w:rsidP="00D716B8" w:rsidRDefault="00AB35EA" w14:paraId="25D29917" w14:textId="77777777">
      <w:pPr>
        <w:numPr>
          <w:ilvl w:val="1"/>
          <w:numId w:val="10"/>
        </w:numPr>
        <w:spacing w:line="360" w:lineRule="auto"/>
        <w:jc w:val="both"/>
        <w:rPr>
          <w:rFonts w:cs="Arial"/>
          <w:szCs w:val="22"/>
        </w:rPr>
      </w:pPr>
      <w:r w:rsidRPr="00AB35EA">
        <w:rPr>
          <w:rFonts w:cs="Arial"/>
          <w:szCs w:val="22"/>
        </w:rPr>
        <w:t xml:space="preserve">Participação formal do pessoal de TI em licitações/contratos de TIC e práticas mínimas na aquisição/licenciamento de software. </w:t>
      </w:r>
    </w:p>
    <w:p w:rsidRPr="002511C3" w:rsidR="00AB35EA" w:rsidP="00D716B8" w:rsidRDefault="00AB35EA" w14:paraId="2C1BF4EE" w14:textId="77777777">
      <w:pPr>
        <w:numPr>
          <w:ilvl w:val="0"/>
          <w:numId w:val="10"/>
        </w:numPr>
        <w:spacing w:line="360" w:lineRule="auto"/>
        <w:jc w:val="both"/>
        <w:rPr>
          <w:rFonts w:cs="Arial"/>
          <w:b/>
          <w:bCs/>
          <w:szCs w:val="22"/>
        </w:rPr>
      </w:pPr>
      <w:r w:rsidRPr="002511C3">
        <w:rPr>
          <w:rFonts w:cs="Arial"/>
          <w:b/>
          <w:bCs/>
          <w:szCs w:val="22"/>
        </w:rPr>
        <w:t>Planejamento de TIC (PDTI/PDTIC)</w:t>
      </w:r>
    </w:p>
    <w:p w:rsidRPr="00AB35EA" w:rsidR="00AB35EA" w:rsidP="00D716B8" w:rsidRDefault="00AB35EA" w14:paraId="47900D07" w14:textId="77777777">
      <w:pPr>
        <w:numPr>
          <w:ilvl w:val="1"/>
          <w:numId w:val="10"/>
        </w:numPr>
        <w:spacing w:line="360" w:lineRule="auto"/>
        <w:jc w:val="both"/>
        <w:rPr>
          <w:rFonts w:cs="Arial"/>
          <w:szCs w:val="22"/>
        </w:rPr>
      </w:pPr>
      <w:r w:rsidRPr="00AB35EA">
        <w:rPr>
          <w:rFonts w:cs="Arial"/>
          <w:szCs w:val="22"/>
        </w:rPr>
        <w:t xml:space="preserve">Existência do PDTI, horizonte de metas, disponibilidade/publicação (link), cobertura do plano (recursos e estratégia de execução), e atualização (data da última revisão/publicação). </w:t>
      </w:r>
    </w:p>
    <w:p w:rsidRPr="002511C3" w:rsidR="00AB35EA" w:rsidP="00D716B8" w:rsidRDefault="00AB35EA" w14:paraId="3A197A21" w14:textId="77777777">
      <w:pPr>
        <w:numPr>
          <w:ilvl w:val="0"/>
          <w:numId w:val="10"/>
        </w:numPr>
        <w:spacing w:line="360" w:lineRule="auto"/>
        <w:jc w:val="both"/>
        <w:rPr>
          <w:rFonts w:cs="Arial"/>
          <w:b/>
          <w:bCs/>
          <w:szCs w:val="22"/>
        </w:rPr>
      </w:pPr>
      <w:r w:rsidRPr="002511C3">
        <w:rPr>
          <w:rFonts w:cs="Arial"/>
          <w:b/>
          <w:bCs/>
          <w:szCs w:val="22"/>
        </w:rPr>
        <w:t>Segurança da informação e gestão de riscos/continuidade</w:t>
      </w:r>
    </w:p>
    <w:p w:rsidRPr="00AB35EA" w:rsidR="00AB35EA" w:rsidP="00D716B8" w:rsidRDefault="00AB35EA" w14:paraId="7E6F235E" w14:textId="77777777">
      <w:pPr>
        <w:numPr>
          <w:ilvl w:val="1"/>
          <w:numId w:val="10"/>
        </w:numPr>
        <w:spacing w:line="360" w:lineRule="auto"/>
        <w:jc w:val="both"/>
        <w:rPr>
          <w:rFonts w:cs="Arial"/>
          <w:szCs w:val="22"/>
        </w:rPr>
      </w:pPr>
      <w:r w:rsidRPr="00AB35EA">
        <w:rPr>
          <w:rFonts w:cs="Arial"/>
          <w:szCs w:val="22"/>
        </w:rPr>
        <w:t xml:space="preserve">Política de segurança formal, termo de responsabilidade/compromisso (incluindo assinatura eletrônica), identificação de riscos alinhada a normas (família ISO/IEC 27000 e gestão de riscos), plano de continuidade de serviços de TIC, política de backup e inventário atualizado de ativos de TI. </w:t>
      </w:r>
    </w:p>
    <w:p w:rsidRPr="002511C3" w:rsidR="00AB35EA" w:rsidP="00D716B8" w:rsidRDefault="00AB35EA" w14:paraId="699F183C" w14:textId="77777777">
      <w:pPr>
        <w:numPr>
          <w:ilvl w:val="0"/>
          <w:numId w:val="10"/>
        </w:numPr>
        <w:spacing w:line="360" w:lineRule="auto"/>
        <w:jc w:val="both"/>
        <w:rPr>
          <w:rFonts w:cs="Arial"/>
          <w:b/>
          <w:bCs/>
          <w:szCs w:val="22"/>
        </w:rPr>
      </w:pPr>
      <w:r w:rsidRPr="002511C3">
        <w:rPr>
          <w:rFonts w:cs="Arial"/>
          <w:b/>
          <w:bCs/>
          <w:szCs w:val="22"/>
        </w:rPr>
        <w:t>Transparência e acesso à informação (LAI) e presença digital</w:t>
      </w:r>
    </w:p>
    <w:p w:rsidRPr="00AB35EA" w:rsidR="00AB35EA" w:rsidP="00D716B8" w:rsidRDefault="00AB35EA" w14:paraId="17719FC0" w14:textId="77777777">
      <w:pPr>
        <w:numPr>
          <w:ilvl w:val="1"/>
          <w:numId w:val="10"/>
        </w:numPr>
        <w:spacing w:line="360" w:lineRule="auto"/>
        <w:jc w:val="both"/>
        <w:rPr>
          <w:rFonts w:cs="Arial"/>
          <w:szCs w:val="22"/>
        </w:rPr>
      </w:pPr>
      <w:r w:rsidRPr="00AB35EA">
        <w:rPr>
          <w:rFonts w:cs="Arial"/>
          <w:szCs w:val="22"/>
        </w:rPr>
        <w:t xml:space="preserve">Regulamentação da LAI, manutenção/atualização do site, ferramenta de busca, disponibilização de relatórios em formatos eletrônicos (inclusive abertos), FAQ, acessibilidade do conteúdo. </w:t>
      </w:r>
    </w:p>
    <w:p w:rsidRPr="002511C3" w:rsidR="00AB35EA" w:rsidP="00D716B8" w:rsidRDefault="00AB35EA" w14:paraId="0BC9995A" w14:textId="77777777">
      <w:pPr>
        <w:numPr>
          <w:ilvl w:val="0"/>
          <w:numId w:val="10"/>
        </w:numPr>
        <w:spacing w:line="360" w:lineRule="auto"/>
        <w:jc w:val="both"/>
        <w:rPr>
          <w:rFonts w:cs="Arial"/>
          <w:b/>
          <w:bCs/>
          <w:szCs w:val="22"/>
        </w:rPr>
      </w:pPr>
      <w:r w:rsidRPr="002511C3">
        <w:rPr>
          <w:rFonts w:cs="Arial"/>
          <w:b/>
          <w:bCs/>
          <w:szCs w:val="22"/>
        </w:rPr>
        <w:t>Serviço de Informação ao Cidadão (</w:t>
      </w:r>
      <w:proofErr w:type="spellStart"/>
      <w:r w:rsidRPr="002511C3">
        <w:rPr>
          <w:rFonts w:cs="Arial"/>
          <w:b/>
          <w:bCs/>
          <w:szCs w:val="22"/>
        </w:rPr>
        <w:t>e-SIC</w:t>
      </w:r>
      <w:proofErr w:type="spellEnd"/>
      <w:r w:rsidRPr="002511C3">
        <w:rPr>
          <w:rFonts w:cs="Arial"/>
          <w:b/>
          <w:bCs/>
          <w:szCs w:val="22"/>
        </w:rPr>
        <w:t>)</w:t>
      </w:r>
    </w:p>
    <w:p w:rsidRPr="00AB35EA" w:rsidR="00AB35EA" w:rsidP="00D716B8" w:rsidRDefault="00AB35EA" w14:paraId="500CBD61" w14:textId="77777777">
      <w:pPr>
        <w:numPr>
          <w:ilvl w:val="1"/>
          <w:numId w:val="10"/>
        </w:numPr>
        <w:spacing w:line="360" w:lineRule="auto"/>
        <w:jc w:val="both"/>
        <w:rPr>
          <w:rFonts w:cs="Arial"/>
          <w:szCs w:val="22"/>
        </w:rPr>
      </w:pPr>
      <w:r w:rsidRPr="00AB35EA">
        <w:rPr>
          <w:rFonts w:cs="Arial"/>
          <w:szCs w:val="22"/>
        </w:rPr>
        <w:t xml:space="preserve">Disponibilização do </w:t>
      </w:r>
      <w:proofErr w:type="spellStart"/>
      <w:r w:rsidRPr="00AB35EA">
        <w:rPr>
          <w:rFonts w:cs="Arial"/>
          <w:szCs w:val="22"/>
        </w:rPr>
        <w:t>e-SIC</w:t>
      </w:r>
      <w:proofErr w:type="spellEnd"/>
      <w:r w:rsidRPr="00AB35EA">
        <w:rPr>
          <w:rFonts w:cs="Arial"/>
          <w:szCs w:val="22"/>
        </w:rPr>
        <w:t xml:space="preserve">, simplicidade do pedido (sem exigências excessivas), possibilidade de acompanhamento e motivação de negativas (quando aplicável). </w:t>
      </w:r>
    </w:p>
    <w:p w:rsidRPr="002511C3" w:rsidR="00AB35EA" w:rsidP="00D716B8" w:rsidRDefault="00AB35EA" w14:paraId="48A5D3CB" w14:textId="77777777">
      <w:pPr>
        <w:numPr>
          <w:ilvl w:val="0"/>
          <w:numId w:val="10"/>
        </w:numPr>
        <w:spacing w:line="360" w:lineRule="auto"/>
        <w:jc w:val="both"/>
        <w:rPr>
          <w:rFonts w:cs="Arial"/>
          <w:b/>
          <w:bCs/>
          <w:szCs w:val="22"/>
        </w:rPr>
      </w:pPr>
      <w:r w:rsidRPr="002511C3">
        <w:rPr>
          <w:rFonts w:cs="Arial"/>
          <w:b/>
          <w:bCs/>
          <w:szCs w:val="22"/>
        </w:rPr>
        <w:t>Sistemas corporativos, integração e controles de acesso</w:t>
      </w:r>
    </w:p>
    <w:p w:rsidRPr="00AB35EA" w:rsidR="00AB35EA" w:rsidP="00D716B8" w:rsidRDefault="00AB35EA" w14:paraId="1CBAE060" w14:textId="77777777">
      <w:pPr>
        <w:numPr>
          <w:ilvl w:val="1"/>
          <w:numId w:val="10"/>
        </w:numPr>
        <w:spacing w:line="360" w:lineRule="auto"/>
        <w:jc w:val="both"/>
        <w:rPr>
          <w:rFonts w:cs="Arial"/>
          <w:szCs w:val="22"/>
        </w:rPr>
      </w:pPr>
      <w:r w:rsidRPr="00AB35EA">
        <w:rPr>
          <w:rFonts w:cs="Arial"/>
          <w:szCs w:val="22"/>
        </w:rPr>
        <w:t xml:space="preserve">Existência de softwares para gestão de processos/setores, integração entre sistemas (ex.: contabilidade com dívida ativa e precatórios), gestão direta de bases e existência de controles de acesso e trilhas/histórico em sistemas. </w:t>
      </w:r>
    </w:p>
    <w:p w:rsidRPr="002511C3" w:rsidR="00AB35EA" w:rsidP="00D716B8" w:rsidRDefault="00AB35EA" w14:paraId="2057A079" w14:textId="77777777">
      <w:pPr>
        <w:numPr>
          <w:ilvl w:val="0"/>
          <w:numId w:val="10"/>
        </w:numPr>
        <w:spacing w:line="360" w:lineRule="auto"/>
        <w:jc w:val="both"/>
        <w:rPr>
          <w:rFonts w:cs="Arial"/>
          <w:b/>
          <w:bCs/>
          <w:szCs w:val="22"/>
        </w:rPr>
      </w:pPr>
      <w:r w:rsidRPr="002511C3">
        <w:rPr>
          <w:rFonts w:cs="Arial"/>
          <w:b/>
          <w:bCs/>
          <w:szCs w:val="22"/>
        </w:rPr>
        <w:t>Serviços digitais ao cidadão e canais de atendimento</w:t>
      </w:r>
    </w:p>
    <w:p w:rsidRPr="00AB35EA" w:rsidR="00AB35EA" w:rsidP="00D716B8" w:rsidRDefault="00AB35EA" w14:paraId="5CB3F97A" w14:textId="77777777">
      <w:pPr>
        <w:numPr>
          <w:ilvl w:val="1"/>
          <w:numId w:val="10"/>
        </w:numPr>
        <w:spacing w:line="360" w:lineRule="auto"/>
        <w:jc w:val="both"/>
        <w:rPr>
          <w:rFonts w:cs="Arial"/>
          <w:szCs w:val="22"/>
        </w:rPr>
      </w:pPr>
      <w:r w:rsidRPr="00AB35EA">
        <w:rPr>
          <w:rFonts w:cs="Arial"/>
          <w:szCs w:val="22"/>
        </w:rPr>
        <w:t xml:space="preserve">Oferta de serviços online, tipos de serviços e canais utilizados (site, apps, redes sociais, e-mail etc.). </w:t>
      </w:r>
    </w:p>
    <w:p w:rsidRPr="002511C3" w:rsidR="00AB35EA" w:rsidP="00D716B8" w:rsidRDefault="00AB35EA" w14:paraId="06FE8A20" w14:textId="77777777">
      <w:pPr>
        <w:numPr>
          <w:ilvl w:val="0"/>
          <w:numId w:val="10"/>
        </w:numPr>
        <w:spacing w:line="360" w:lineRule="auto"/>
        <w:jc w:val="both"/>
        <w:rPr>
          <w:rFonts w:cs="Arial"/>
          <w:b/>
          <w:bCs/>
          <w:szCs w:val="22"/>
        </w:rPr>
      </w:pPr>
      <w:r w:rsidRPr="002511C3">
        <w:rPr>
          <w:rFonts w:cs="Arial"/>
          <w:b/>
          <w:bCs/>
          <w:szCs w:val="22"/>
        </w:rPr>
        <w:t>LGPD (governança mínima de dados pessoais)</w:t>
      </w:r>
    </w:p>
    <w:p w:rsidR="00354397" w:rsidP="00D716B8" w:rsidRDefault="00AB35EA" w14:paraId="17FB0D79" w14:textId="6D5BDD1F">
      <w:pPr>
        <w:numPr>
          <w:ilvl w:val="1"/>
          <w:numId w:val="10"/>
        </w:numPr>
        <w:spacing w:line="360" w:lineRule="auto"/>
        <w:jc w:val="both"/>
        <w:rPr>
          <w:rFonts w:cs="Arial"/>
          <w:szCs w:val="22"/>
        </w:rPr>
      </w:pPr>
      <w:r w:rsidRPr="00AB35EA">
        <w:rPr>
          <w:rFonts w:cs="Arial"/>
          <w:szCs w:val="22"/>
        </w:rPr>
        <w:t xml:space="preserve">Regulamentação/organização do tratamento de dados pessoais, revisão contratual com cláusulas de LGPD, designação de encarregado (DPO) e publicidade das informações de contato (link). </w:t>
      </w:r>
    </w:p>
    <w:p w:rsidR="00AC23DF" w:rsidP="00AC23DF" w:rsidRDefault="00AC23DF" w14:paraId="32835F22" w14:textId="5984B46C">
      <w:pPr>
        <w:pStyle w:val="Ttulo2"/>
        <w:rPr>
          <w:rFonts w:ascii="Times New Roman" w:hAnsi="Times New Roman"/>
        </w:rPr>
      </w:pPr>
      <w:r>
        <w:t>2.</w:t>
      </w:r>
      <w:r w:rsidR="002E6E1D">
        <w:t>1</w:t>
      </w:r>
      <w:r>
        <w:t>.</w:t>
      </w:r>
      <w:r w:rsidR="00770F1A">
        <w:t>3.</w:t>
      </w:r>
      <w:r>
        <w:t xml:space="preserve"> </w:t>
      </w:r>
      <w:r w:rsidR="00770F1A">
        <w:t xml:space="preserve">Resultado </w:t>
      </w:r>
      <w:r>
        <w:t>dos municípios do RJ</w:t>
      </w:r>
    </w:p>
    <w:p w:rsidRPr="00B70A94" w:rsidR="00B70A94" w:rsidP="00B70A94" w:rsidRDefault="00B70A94" w14:paraId="2868B444" w14:textId="1D1FD2E2">
      <w:pPr>
        <w:spacing w:line="360" w:lineRule="auto"/>
        <w:ind w:left="720"/>
        <w:jc w:val="both"/>
        <w:rPr>
          <w:rFonts w:cs="Arial"/>
          <w:szCs w:val="22"/>
        </w:rPr>
      </w:pPr>
      <w:r w:rsidRPr="00ED29EF">
        <w:rPr>
          <w:rFonts w:cs="Arial"/>
          <w:szCs w:val="22"/>
        </w:rPr>
        <w:t>A</w:t>
      </w:r>
      <w:r w:rsidRPr="00B70A94">
        <w:rPr>
          <w:rFonts w:cs="Arial"/>
          <w:szCs w:val="22"/>
        </w:rPr>
        <w:t xml:space="preserve"> base contém 67 municípios do RJ com nota final (0–1.000) calculada.</w:t>
      </w:r>
    </w:p>
    <w:p w:rsidRPr="00B70A94" w:rsidR="00B70A94" w:rsidP="00D716B8" w:rsidRDefault="00B70A94" w14:paraId="53D8657A" w14:textId="77777777">
      <w:pPr>
        <w:numPr>
          <w:ilvl w:val="0"/>
          <w:numId w:val="11"/>
        </w:numPr>
        <w:spacing w:line="360" w:lineRule="auto"/>
        <w:jc w:val="both"/>
        <w:rPr>
          <w:rFonts w:cs="Arial"/>
          <w:szCs w:val="22"/>
        </w:rPr>
      </w:pPr>
      <w:r w:rsidRPr="00B70A94">
        <w:rPr>
          <w:rFonts w:cs="Arial"/>
          <w:szCs w:val="22"/>
        </w:rPr>
        <w:t xml:space="preserve">Desempenho geral (nota final / 1.000): </w:t>
      </w:r>
      <w:r w:rsidRPr="002511C3">
        <w:rPr>
          <w:rFonts w:cs="Arial"/>
          <w:b/>
          <w:bCs/>
          <w:szCs w:val="22"/>
        </w:rPr>
        <w:t>média 434,7, mediana 416</w:t>
      </w:r>
      <w:r w:rsidRPr="00B70A94">
        <w:rPr>
          <w:rFonts w:cs="Arial"/>
          <w:szCs w:val="22"/>
        </w:rPr>
        <w:t>, mínimo 107,5 e máximo 830.</w:t>
      </w:r>
    </w:p>
    <w:p w:rsidRPr="00ED29EF" w:rsidR="00B70A94" w:rsidP="00D716B8" w:rsidRDefault="00B70A94" w14:paraId="2FB9CBD1" w14:textId="77777777">
      <w:pPr>
        <w:numPr>
          <w:ilvl w:val="0"/>
          <w:numId w:val="11"/>
        </w:numPr>
        <w:spacing w:line="360" w:lineRule="auto"/>
        <w:jc w:val="both"/>
        <w:rPr>
          <w:rFonts w:cs="Arial"/>
          <w:szCs w:val="22"/>
        </w:rPr>
      </w:pPr>
      <w:r w:rsidRPr="00B70A94">
        <w:rPr>
          <w:rFonts w:cs="Arial"/>
          <w:szCs w:val="22"/>
        </w:rPr>
        <w:t>Distribuição por “faixa” (classificação presente no cálculo): predominância de C (46 municípios), seguida de C+ (11); poucos municípios em B (8) e B+ (2).</w:t>
      </w:r>
    </w:p>
    <w:p w:rsidRPr="006667FF" w:rsidR="006667FF" w:rsidP="006667FF" w:rsidRDefault="006667FF" w14:paraId="69D95680" w14:textId="77777777">
      <w:pPr>
        <w:spacing w:before="100" w:beforeAutospacing="1" w:after="100" w:afterAutospacing="1" w:line="360" w:lineRule="auto"/>
        <w:ind w:firstLine="360"/>
        <w:rPr>
          <w:rFonts w:cs="Arial"/>
          <w:szCs w:val="22"/>
        </w:rPr>
      </w:pPr>
      <w:r w:rsidRPr="006667FF">
        <w:rPr>
          <w:rFonts w:cs="Arial"/>
          <w:szCs w:val="22"/>
        </w:rPr>
        <w:t>Em termos de sinais de adoção (apenas para pontuar o observado, sem aprofundar achados), destacam-se na base:</w:t>
      </w:r>
    </w:p>
    <w:p w:rsidRPr="006667FF" w:rsidR="006667FF" w:rsidP="00D716B8" w:rsidRDefault="006667FF" w14:paraId="51D85313" w14:textId="77777777">
      <w:pPr>
        <w:numPr>
          <w:ilvl w:val="0"/>
          <w:numId w:val="11"/>
        </w:numPr>
        <w:spacing w:before="100" w:beforeAutospacing="1" w:after="100" w:afterAutospacing="1" w:line="360" w:lineRule="auto"/>
        <w:rPr>
          <w:rFonts w:cs="Arial"/>
          <w:szCs w:val="22"/>
        </w:rPr>
      </w:pPr>
      <w:r w:rsidRPr="006667FF">
        <w:rPr>
          <w:rFonts w:cs="Arial"/>
          <w:b/>
          <w:bCs/>
          <w:szCs w:val="22"/>
        </w:rPr>
        <w:t>PDTI/PDTIC</w:t>
      </w:r>
      <w:r w:rsidRPr="006667FF">
        <w:rPr>
          <w:rFonts w:cs="Arial"/>
          <w:szCs w:val="22"/>
        </w:rPr>
        <w:t xml:space="preserve"> aparece com </w:t>
      </w:r>
      <w:r w:rsidRPr="002511C3">
        <w:rPr>
          <w:rFonts w:cs="Arial"/>
          <w:b/>
          <w:bCs/>
          <w:szCs w:val="22"/>
        </w:rPr>
        <w:t>baixa incidência declarada (a maior parte não possui)</w:t>
      </w:r>
      <w:r w:rsidRPr="006667FF">
        <w:rPr>
          <w:rFonts w:cs="Arial"/>
          <w:szCs w:val="22"/>
        </w:rPr>
        <w:t>.</w:t>
      </w:r>
    </w:p>
    <w:p w:rsidRPr="006667FF" w:rsidR="006667FF" w:rsidP="00D716B8" w:rsidRDefault="006667FF" w14:paraId="72F7F34A" w14:textId="77777777">
      <w:pPr>
        <w:numPr>
          <w:ilvl w:val="0"/>
          <w:numId w:val="11"/>
        </w:numPr>
        <w:spacing w:before="100" w:beforeAutospacing="1" w:after="100" w:afterAutospacing="1" w:line="360" w:lineRule="auto"/>
        <w:rPr>
          <w:rFonts w:cs="Arial"/>
          <w:szCs w:val="22"/>
        </w:rPr>
      </w:pPr>
      <w:r w:rsidRPr="006667FF">
        <w:rPr>
          <w:rFonts w:cs="Arial"/>
          <w:szCs w:val="22"/>
        </w:rPr>
        <w:t xml:space="preserve">Itens de </w:t>
      </w:r>
      <w:r w:rsidRPr="002511C3">
        <w:rPr>
          <w:rFonts w:cs="Arial"/>
          <w:szCs w:val="22"/>
        </w:rPr>
        <w:t>presença digital</w:t>
      </w:r>
      <w:r w:rsidRPr="006667FF">
        <w:rPr>
          <w:rFonts w:cs="Arial"/>
          <w:szCs w:val="22"/>
        </w:rPr>
        <w:t xml:space="preserve"> (site atualizado, </w:t>
      </w:r>
      <w:proofErr w:type="spellStart"/>
      <w:r w:rsidRPr="006667FF">
        <w:rPr>
          <w:rFonts w:cs="Arial"/>
          <w:szCs w:val="22"/>
        </w:rPr>
        <w:t>e-SIC</w:t>
      </w:r>
      <w:proofErr w:type="spellEnd"/>
      <w:r w:rsidRPr="006667FF">
        <w:rPr>
          <w:rFonts w:cs="Arial"/>
          <w:szCs w:val="22"/>
        </w:rPr>
        <w:t>, e oferta de serviços online) têm alta incidência declarada.</w:t>
      </w:r>
    </w:p>
    <w:p w:rsidR="00AC23DF" w:rsidP="00D716B8" w:rsidRDefault="006667FF" w14:paraId="67AE9B4D" w14:textId="0A2C5742">
      <w:pPr>
        <w:numPr>
          <w:ilvl w:val="0"/>
          <w:numId w:val="11"/>
        </w:numPr>
        <w:spacing w:before="100" w:beforeAutospacing="1" w:after="100" w:afterAutospacing="1" w:line="360" w:lineRule="auto"/>
        <w:jc w:val="both"/>
        <w:rPr>
          <w:rFonts w:cs="Arial"/>
          <w:szCs w:val="22"/>
        </w:rPr>
      </w:pPr>
      <w:r w:rsidRPr="006667FF">
        <w:rPr>
          <w:rFonts w:cs="Arial"/>
          <w:szCs w:val="22"/>
        </w:rPr>
        <w:t xml:space="preserve">Itens de </w:t>
      </w:r>
      <w:r w:rsidRPr="002511C3">
        <w:rPr>
          <w:rFonts w:cs="Arial"/>
          <w:szCs w:val="22"/>
        </w:rPr>
        <w:t>segurança da informação e LGPD aparecem</w:t>
      </w:r>
      <w:r w:rsidRPr="006667FF">
        <w:rPr>
          <w:rFonts w:cs="Arial"/>
          <w:szCs w:val="22"/>
        </w:rPr>
        <w:t xml:space="preserve"> com adoção intermediária (com variações relevantes entre municípios).</w:t>
      </w:r>
    </w:p>
    <w:p w:rsidR="007C7038" w:rsidP="007C7038" w:rsidRDefault="007C7038" w14:paraId="13DAE45A" w14:textId="513F4E98">
      <w:pPr>
        <w:pStyle w:val="Ttulo2"/>
        <w:rPr>
          <w:rFonts w:ascii="Times New Roman" w:hAnsi="Times New Roman"/>
        </w:rPr>
      </w:pPr>
      <w:r>
        <w:t>2.</w:t>
      </w:r>
      <w:r w:rsidR="002E6E1D">
        <w:t>1</w:t>
      </w:r>
      <w:r>
        <w:t xml:space="preserve">.4. O que pode ser aproveitado no iGovTI 2026 </w:t>
      </w:r>
    </w:p>
    <w:p w:rsidRPr="00ED29EF" w:rsidR="007C7038" w:rsidP="00D716B8" w:rsidRDefault="007C7038" w14:paraId="16A5C167" w14:textId="08957646">
      <w:pPr>
        <w:pStyle w:val="NormalWeb"/>
        <w:numPr>
          <w:ilvl w:val="0"/>
          <w:numId w:val="12"/>
        </w:numPr>
        <w:spacing w:line="360" w:lineRule="auto"/>
        <w:jc w:val="both"/>
        <w:rPr>
          <w:rStyle w:val="Forte"/>
          <w:b w:val="0"/>
          <w:bCs w:val="0"/>
          <w:sz w:val="22"/>
          <w:szCs w:val="22"/>
        </w:rPr>
      </w:pPr>
      <w:r w:rsidRPr="00ED29EF">
        <w:rPr>
          <w:rStyle w:val="Forte"/>
          <w:rFonts w:eastAsiaTheme="majorEastAsia"/>
          <w:b w:val="0"/>
          <w:bCs w:val="0"/>
          <w:sz w:val="22"/>
          <w:szCs w:val="22"/>
        </w:rPr>
        <w:t>Bloco de “capacidade instalada”</w:t>
      </w:r>
    </w:p>
    <w:p w:rsidRPr="00ED29EF" w:rsidR="00350EF9" w:rsidP="00D716B8" w:rsidRDefault="00350EF9" w14:paraId="5B197EDC" w14:textId="100C6C48">
      <w:pPr>
        <w:pStyle w:val="NormalWeb"/>
        <w:numPr>
          <w:ilvl w:val="1"/>
          <w:numId w:val="12"/>
        </w:numPr>
        <w:spacing w:line="360" w:lineRule="auto"/>
        <w:jc w:val="both"/>
        <w:rPr>
          <w:sz w:val="22"/>
          <w:szCs w:val="22"/>
        </w:rPr>
      </w:pPr>
      <w:r w:rsidRPr="00ED29EF">
        <w:rPr>
          <w:sz w:val="22"/>
          <w:szCs w:val="22"/>
        </w:rPr>
        <w:t xml:space="preserve">É o mínimo de estrutura, pessoas, organização e meios que permitem que a gestão de TIC funcione de forma estável e controlada. Em termos práticos, é responder: </w:t>
      </w:r>
      <w:r w:rsidRPr="00ED29EF">
        <w:rPr>
          <w:i/>
          <w:iCs/>
          <w:sz w:val="22"/>
          <w:szCs w:val="22"/>
        </w:rPr>
        <w:t>“o órgão tem condições reais de planejar, operar e controlar a TIC?”</w:t>
      </w:r>
    </w:p>
    <w:p w:rsidRPr="00ED29EF" w:rsidR="007C7038" w:rsidP="00D716B8" w:rsidRDefault="007C7038" w14:paraId="6FF940B7" w14:textId="77777777">
      <w:pPr>
        <w:pStyle w:val="NormalWeb"/>
        <w:numPr>
          <w:ilvl w:val="1"/>
          <w:numId w:val="12"/>
        </w:numPr>
        <w:spacing w:line="360" w:lineRule="auto"/>
        <w:jc w:val="both"/>
        <w:rPr>
          <w:sz w:val="22"/>
          <w:szCs w:val="22"/>
        </w:rPr>
      </w:pPr>
      <w:r w:rsidRPr="00ED29EF">
        <w:rPr>
          <w:sz w:val="22"/>
          <w:szCs w:val="22"/>
        </w:rPr>
        <w:t>Estrutura de TI, composição de equipe, atribuições e capacitação funcionam como pré-condições para interpretar maturidade em governança/gestão e ajudam a construir trilhas de risco.</w:t>
      </w:r>
    </w:p>
    <w:p w:rsidRPr="00ED29EF" w:rsidR="007C7038" w:rsidP="00D716B8" w:rsidRDefault="007C7038" w14:paraId="4834A471" w14:textId="77777777">
      <w:pPr>
        <w:pStyle w:val="NormalWeb"/>
        <w:numPr>
          <w:ilvl w:val="0"/>
          <w:numId w:val="12"/>
        </w:numPr>
        <w:spacing w:line="360" w:lineRule="auto"/>
        <w:jc w:val="both"/>
        <w:rPr>
          <w:sz w:val="22"/>
          <w:szCs w:val="22"/>
        </w:rPr>
      </w:pPr>
      <w:r w:rsidRPr="00ED29EF">
        <w:rPr>
          <w:rStyle w:val="Forte"/>
          <w:rFonts w:eastAsiaTheme="majorEastAsia"/>
          <w:b w:val="0"/>
          <w:bCs w:val="0"/>
          <w:sz w:val="22"/>
          <w:szCs w:val="22"/>
        </w:rPr>
        <w:t>Núcleo de planejamento e direcionamento (PDTI) com granularidade útil</w:t>
      </w:r>
    </w:p>
    <w:p w:rsidRPr="00ED29EF" w:rsidR="007C7038" w:rsidP="00D716B8" w:rsidRDefault="007C7038" w14:paraId="2695558C" w14:textId="77777777">
      <w:pPr>
        <w:pStyle w:val="NormalWeb"/>
        <w:numPr>
          <w:ilvl w:val="1"/>
          <w:numId w:val="12"/>
        </w:numPr>
        <w:spacing w:line="360" w:lineRule="auto"/>
        <w:jc w:val="both"/>
        <w:rPr>
          <w:sz w:val="22"/>
          <w:szCs w:val="22"/>
        </w:rPr>
      </w:pPr>
      <w:r w:rsidRPr="00ED29EF">
        <w:rPr>
          <w:sz w:val="22"/>
          <w:szCs w:val="22"/>
        </w:rPr>
        <w:t>O conjunto “existência → horizonte de metas → cobertura de recursos → atualização” é uma sequência lógica reaproveitável para iGovTI 2026 (com ajustes para compatibilizar com o instrumento do TCE-RJ e com a necessidade de comparabilidade histórica).</w:t>
      </w:r>
    </w:p>
    <w:p w:rsidRPr="00ED29EF" w:rsidR="007C7038" w:rsidP="00D716B8" w:rsidRDefault="007C7038" w14:paraId="49FFB52C" w14:textId="77777777">
      <w:pPr>
        <w:pStyle w:val="NormalWeb"/>
        <w:numPr>
          <w:ilvl w:val="0"/>
          <w:numId w:val="12"/>
        </w:numPr>
        <w:spacing w:line="360" w:lineRule="auto"/>
        <w:jc w:val="both"/>
        <w:rPr>
          <w:sz w:val="22"/>
          <w:szCs w:val="22"/>
        </w:rPr>
      </w:pPr>
      <w:r w:rsidRPr="00ED29EF">
        <w:rPr>
          <w:rStyle w:val="Forte"/>
          <w:rFonts w:eastAsiaTheme="majorEastAsia"/>
          <w:b w:val="0"/>
          <w:bCs w:val="0"/>
          <w:sz w:val="22"/>
          <w:szCs w:val="22"/>
        </w:rPr>
        <w:t>Segurança da informação com recortes “mínimos auditáveis”</w:t>
      </w:r>
    </w:p>
    <w:p w:rsidRPr="00ED29EF" w:rsidR="007C7038" w:rsidP="00D716B8" w:rsidRDefault="007C7038" w14:paraId="71D6469A" w14:textId="77777777">
      <w:pPr>
        <w:pStyle w:val="NormalWeb"/>
        <w:numPr>
          <w:ilvl w:val="1"/>
          <w:numId w:val="12"/>
        </w:numPr>
        <w:spacing w:line="360" w:lineRule="auto"/>
        <w:jc w:val="both"/>
        <w:rPr>
          <w:sz w:val="22"/>
          <w:szCs w:val="22"/>
        </w:rPr>
      </w:pPr>
      <w:r w:rsidRPr="00ED29EF">
        <w:rPr>
          <w:sz w:val="22"/>
          <w:szCs w:val="22"/>
        </w:rPr>
        <w:t>Política formal, inventário de ativos, backup e continuidade são itens que conectam diretamente a riscos relevantes e podem ser incorporados como núcleo do questionário (com evidências e critérios claros).</w:t>
      </w:r>
    </w:p>
    <w:p w:rsidRPr="00ED29EF" w:rsidR="007C7038" w:rsidP="00D716B8" w:rsidRDefault="007C7038" w14:paraId="445F782F" w14:textId="77777777">
      <w:pPr>
        <w:pStyle w:val="NormalWeb"/>
        <w:numPr>
          <w:ilvl w:val="0"/>
          <w:numId w:val="12"/>
        </w:numPr>
        <w:spacing w:line="360" w:lineRule="auto"/>
        <w:jc w:val="both"/>
        <w:rPr>
          <w:sz w:val="22"/>
          <w:szCs w:val="22"/>
        </w:rPr>
      </w:pPr>
      <w:r w:rsidRPr="00ED29EF">
        <w:rPr>
          <w:rStyle w:val="Forte"/>
          <w:rFonts w:eastAsiaTheme="majorEastAsia"/>
          <w:b w:val="0"/>
          <w:bCs w:val="0"/>
          <w:sz w:val="22"/>
          <w:szCs w:val="22"/>
        </w:rPr>
        <w:t>Integração de sistemas e controles de acesso como proxies úteis</w:t>
      </w:r>
    </w:p>
    <w:p w:rsidRPr="00ED29EF" w:rsidR="007C7038" w:rsidP="00D716B8" w:rsidRDefault="007C7038" w14:paraId="1D926ED4" w14:textId="77777777">
      <w:pPr>
        <w:pStyle w:val="NormalWeb"/>
        <w:numPr>
          <w:ilvl w:val="1"/>
          <w:numId w:val="12"/>
        </w:numPr>
        <w:spacing w:line="360" w:lineRule="auto"/>
        <w:jc w:val="both"/>
        <w:rPr>
          <w:sz w:val="22"/>
          <w:szCs w:val="22"/>
        </w:rPr>
      </w:pPr>
      <w:r w:rsidRPr="00ED29EF">
        <w:rPr>
          <w:sz w:val="22"/>
          <w:szCs w:val="22"/>
        </w:rPr>
        <w:t xml:space="preserve">Perguntas sobre integração e controle de acesso/trilhas em sistemas são bons indicadores indiretos de maturidade operacional e de riscos (integridade, rastreabilidade, </w:t>
      </w:r>
      <w:proofErr w:type="spellStart"/>
      <w:r w:rsidRPr="00ED29EF">
        <w:rPr>
          <w:i/>
          <w:iCs/>
          <w:sz w:val="22"/>
          <w:szCs w:val="22"/>
        </w:rPr>
        <w:t>accountability</w:t>
      </w:r>
      <w:proofErr w:type="spellEnd"/>
      <w:r w:rsidRPr="00ED29EF">
        <w:rPr>
          <w:sz w:val="22"/>
          <w:szCs w:val="22"/>
        </w:rPr>
        <w:t>).</w:t>
      </w:r>
    </w:p>
    <w:p w:rsidRPr="00ED29EF" w:rsidR="007C7038" w:rsidP="00D716B8" w:rsidRDefault="007C7038" w14:paraId="15B286FF" w14:textId="77777777">
      <w:pPr>
        <w:pStyle w:val="NormalWeb"/>
        <w:numPr>
          <w:ilvl w:val="0"/>
          <w:numId w:val="12"/>
        </w:numPr>
        <w:spacing w:line="360" w:lineRule="auto"/>
        <w:jc w:val="both"/>
        <w:rPr>
          <w:sz w:val="22"/>
          <w:szCs w:val="22"/>
        </w:rPr>
      </w:pPr>
      <w:r w:rsidRPr="00ED29EF">
        <w:rPr>
          <w:rStyle w:val="Forte"/>
          <w:rFonts w:eastAsiaTheme="majorEastAsia"/>
          <w:b w:val="0"/>
          <w:bCs w:val="0"/>
          <w:sz w:val="22"/>
          <w:szCs w:val="22"/>
        </w:rPr>
        <w:t>Separação conceitual para o iGovTI 2026</w:t>
      </w:r>
    </w:p>
    <w:p w:rsidRPr="00ED29EF" w:rsidR="007C7038" w:rsidP="00D716B8" w:rsidRDefault="007C7038" w14:paraId="7CF19F27" w14:textId="77777777">
      <w:pPr>
        <w:pStyle w:val="NormalWeb"/>
        <w:numPr>
          <w:ilvl w:val="1"/>
          <w:numId w:val="12"/>
        </w:numPr>
        <w:spacing w:line="360" w:lineRule="auto"/>
        <w:jc w:val="both"/>
        <w:rPr>
          <w:sz w:val="22"/>
          <w:szCs w:val="22"/>
        </w:rPr>
      </w:pPr>
      <w:r w:rsidRPr="00ED29EF">
        <w:rPr>
          <w:sz w:val="22"/>
          <w:szCs w:val="22"/>
        </w:rPr>
        <w:t>O i-</w:t>
      </w:r>
      <w:proofErr w:type="spellStart"/>
      <w:r w:rsidRPr="00ED29EF">
        <w:rPr>
          <w:sz w:val="22"/>
          <w:szCs w:val="22"/>
        </w:rPr>
        <w:t>Gov</w:t>
      </w:r>
      <w:proofErr w:type="spellEnd"/>
      <w:r w:rsidRPr="00ED29EF">
        <w:rPr>
          <w:sz w:val="22"/>
          <w:szCs w:val="22"/>
        </w:rPr>
        <w:t xml:space="preserve"> TI do IEGM inclui forte componente de </w:t>
      </w:r>
      <w:r w:rsidRPr="00ED29EF">
        <w:rPr>
          <w:rStyle w:val="Forte"/>
          <w:rFonts w:eastAsiaTheme="majorEastAsia"/>
          <w:b w:val="0"/>
          <w:bCs w:val="0"/>
          <w:sz w:val="22"/>
          <w:szCs w:val="22"/>
        </w:rPr>
        <w:t>serviços digitais/transparência</w:t>
      </w:r>
      <w:r w:rsidRPr="00ED29EF">
        <w:rPr>
          <w:sz w:val="22"/>
          <w:szCs w:val="22"/>
        </w:rPr>
        <w:t xml:space="preserve"> (site, formatos abertos, canais, serviços online). Para o iGovTI 2026, esses itens podem:</w:t>
      </w:r>
    </w:p>
    <w:p w:rsidRPr="00ED29EF" w:rsidR="007C7038" w:rsidP="00D716B8" w:rsidRDefault="007C7038" w14:paraId="5C73960D" w14:textId="77777777">
      <w:pPr>
        <w:pStyle w:val="NormalWeb"/>
        <w:numPr>
          <w:ilvl w:val="2"/>
          <w:numId w:val="12"/>
        </w:numPr>
        <w:spacing w:line="360" w:lineRule="auto"/>
        <w:jc w:val="both"/>
        <w:rPr>
          <w:sz w:val="22"/>
          <w:szCs w:val="22"/>
        </w:rPr>
      </w:pPr>
      <w:r w:rsidRPr="00ED29EF">
        <w:rPr>
          <w:sz w:val="22"/>
          <w:szCs w:val="22"/>
        </w:rPr>
        <w:t xml:space="preserve">permanecer como bloco próprio (se o escopo incluir governo digital e transparência), </w:t>
      </w:r>
      <w:r w:rsidRPr="00ED29EF">
        <w:rPr>
          <w:rStyle w:val="Forte"/>
          <w:rFonts w:eastAsiaTheme="majorEastAsia"/>
          <w:b w:val="0"/>
          <w:bCs w:val="0"/>
          <w:sz w:val="22"/>
          <w:szCs w:val="22"/>
        </w:rPr>
        <w:t>ou</w:t>
      </w:r>
    </w:p>
    <w:p w:rsidRPr="00ED29EF" w:rsidR="007C7038" w:rsidP="00D716B8" w:rsidRDefault="007C7038" w14:paraId="08294211" w14:textId="61093CD8">
      <w:pPr>
        <w:pStyle w:val="NormalWeb"/>
        <w:numPr>
          <w:ilvl w:val="2"/>
          <w:numId w:val="12"/>
        </w:numPr>
        <w:spacing w:line="360" w:lineRule="auto"/>
        <w:jc w:val="both"/>
        <w:rPr>
          <w:sz w:val="22"/>
          <w:szCs w:val="22"/>
        </w:rPr>
      </w:pPr>
      <w:r w:rsidRPr="00ED29EF">
        <w:rPr>
          <w:sz w:val="22"/>
          <w:szCs w:val="22"/>
        </w:rPr>
        <w:t>ser tratados como dimensão paralela/derivada (para não “diluir” a governança/gestão de TIC).</w:t>
      </w:r>
    </w:p>
    <w:p w:rsidR="00ED29EF" w:rsidRDefault="00ED29EF" w14:paraId="5F66BF6A" w14:textId="77777777">
      <w:pPr>
        <w:spacing w:after="200" w:line="276" w:lineRule="auto"/>
        <w:rPr>
          <w:rFonts w:asciiTheme="majorHAnsi" w:hAnsiTheme="majorHAnsi" w:eastAsiaTheme="majorEastAsia" w:cstheme="majorBidi"/>
          <w:b/>
          <w:bCs/>
          <w:color w:val="365F91" w:themeColor="accent1" w:themeShade="BF"/>
          <w:sz w:val="28"/>
          <w:szCs w:val="28"/>
        </w:rPr>
      </w:pPr>
      <w:r>
        <w:br w:type="page"/>
      </w:r>
    </w:p>
    <w:p w:rsidRPr="004F7713" w:rsidR="00081033" w:rsidP="00081033" w:rsidRDefault="00081033" w14:paraId="627FD700" w14:textId="7A4AAAF4">
      <w:pPr>
        <w:pStyle w:val="Ttulo1"/>
      </w:pPr>
      <w:r>
        <w:t>2.</w:t>
      </w:r>
      <w:r w:rsidR="002E6E1D">
        <w:t>2</w:t>
      </w:r>
      <w:r>
        <w:t xml:space="preserve">. </w:t>
      </w:r>
      <w:r w:rsidR="00AB1EE9">
        <w:t xml:space="preserve">TCE-PE - </w:t>
      </w:r>
      <w:proofErr w:type="gramStart"/>
      <w:r>
        <w:t>iGovTI</w:t>
      </w:r>
      <w:proofErr w:type="gramEnd"/>
      <w:r>
        <w:t xml:space="preserve"> 2025</w:t>
      </w:r>
    </w:p>
    <w:p w:rsidR="00DB1279" w:rsidP="00081033" w:rsidRDefault="00DB1279" w14:paraId="0F05EA38" w14:textId="418FD629">
      <w:pPr>
        <w:spacing w:line="360" w:lineRule="auto"/>
        <w:ind w:firstLine="708"/>
        <w:jc w:val="both"/>
        <w:rPr>
          <w:rFonts w:cs="Arial"/>
          <w:color w:val="000000" w:themeColor="text1"/>
          <w:szCs w:val="22"/>
        </w:rPr>
      </w:pPr>
      <w:r>
        <w:rPr>
          <w:rFonts w:cs="Arial"/>
          <w:color w:val="000000" w:themeColor="text1"/>
          <w:szCs w:val="22"/>
        </w:rPr>
        <w:t xml:space="preserve">### O TCE-PE </w:t>
      </w:r>
      <w:r w:rsidR="00E13715">
        <w:rPr>
          <w:rFonts w:cs="Arial"/>
          <w:color w:val="000000" w:themeColor="text1"/>
          <w:szCs w:val="22"/>
        </w:rPr>
        <w:t xml:space="preserve">ajustou a redação dos </w:t>
      </w:r>
      <w:r w:rsidR="00B97A22">
        <w:rPr>
          <w:rFonts w:cs="Arial"/>
          <w:color w:val="000000" w:themeColor="text1"/>
          <w:szCs w:val="22"/>
        </w:rPr>
        <w:t>itens aplicando uma restrição de escopo a termos de TI ou restritos ao setor de TI</w:t>
      </w:r>
      <w:r w:rsidR="00E203D5">
        <w:rPr>
          <w:rFonts w:cs="Arial"/>
          <w:color w:val="000000" w:themeColor="text1"/>
          <w:szCs w:val="22"/>
        </w:rPr>
        <w:t>. Excluiu itens do questionário TCU 2021.</w:t>
      </w:r>
    </w:p>
    <w:p w:rsidRPr="00412451" w:rsidR="00412451" w:rsidP="00412451" w:rsidRDefault="00412451" w14:paraId="7D185139" w14:textId="77777777">
      <w:pPr>
        <w:spacing w:line="360" w:lineRule="auto"/>
        <w:ind w:firstLine="708"/>
        <w:jc w:val="both"/>
        <w:rPr>
          <w:rFonts w:cs="Arial"/>
          <w:color w:val="000000" w:themeColor="text1"/>
          <w:szCs w:val="22"/>
        </w:rPr>
      </w:pPr>
      <w:r w:rsidRPr="00412451">
        <w:rPr>
          <w:rFonts w:cs="Arial"/>
          <w:color w:val="000000" w:themeColor="text1"/>
          <w:szCs w:val="22"/>
        </w:rPr>
        <w:t>Esta seção sintetiza o desenho do iGovTI-TCE-PE e seus materiais de apoio (manual e cartilha), com foco em escopo, dimensões avaliadas e lógica de mensuração (como as questões são formuladas e como se busca aumentar a qualidade das respostas). O objetivo é identificar elementos replicáveis no iGovTI 2026 do TCE-RJ, sobretudo os que reduzem ambiguidade para o respondente e fortalecem a rastreabilidade entre prática avaliada → evidência esperada → risco associado.</w:t>
      </w:r>
    </w:p>
    <w:p w:rsidRPr="00EA5417" w:rsidR="00EA5417" w:rsidP="00EA5417" w:rsidRDefault="00EA5417" w14:paraId="68B9B487" w14:textId="1C086D51">
      <w:pPr>
        <w:pStyle w:val="Ttulo2"/>
      </w:pPr>
      <w:r w:rsidRPr="00EA5417">
        <w:t>2</w:t>
      </w:r>
      <w:r>
        <w:t xml:space="preserve">.2.1. </w:t>
      </w:r>
      <w:r w:rsidRPr="00EA5417">
        <w:t>Escopo e objetivo do trabalho analisado</w:t>
      </w:r>
    </w:p>
    <w:p w:rsidRPr="00DD7AB8" w:rsidR="00EA5417" w:rsidP="00EA5417" w:rsidRDefault="00EA5417" w14:paraId="374F8805" w14:textId="77777777">
      <w:pPr>
        <w:spacing w:line="360" w:lineRule="auto"/>
        <w:ind w:firstLine="708"/>
        <w:jc w:val="both"/>
        <w:rPr>
          <w:rFonts w:cs="Arial"/>
          <w:color w:val="000000" w:themeColor="text1"/>
          <w:szCs w:val="22"/>
        </w:rPr>
      </w:pPr>
      <w:r w:rsidRPr="00DD7AB8">
        <w:rPr>
          <w:rFonts w:cs="Arial"/>
          <w:color w:val="000000" w:themeColor="text1"/>
          <w:szCs w:val="22"/>
        </w:rPr>
        <w:t xml:space="preserve">O TCE-PE estruturou o iGovTI como um levantamento periódico voltado a aferir a capacidade em governança e em gestão de TI de órgãos e entidades estaduais e municipais de Pernambuco, com intenção explícita de acompanhar evolução ao longo do tempo. </w:t>
      </w:r>
    </w:p>
    <w:p w:rsidR="00EA5417" w:rsidP="00EA5417" w:rsidRDefault="00EA5417" w14:paraId="0DA6DE3D" w14:textId="77777777">
      <w:pPr>
        <w:spacing w:line="360" w:lineRule="auto"/>
        <w:ind w:firstLine="708"/>
        <w:jc w:val="both"/>
        <w:rPr>
          <w:rFonts w:cs="Arial"/>
          <w:color w:val="000000" w:themeColor="text1"/>
          <w:szCs w:val="22"/>
        </w:rPr>
      </w:pPr>
      <w:r w:rsidRPr="00EA5417">
        <w:rPr>
          <w:rFonts w:cs="Arial"/>
          <w:color w:val="000000" w:themeColor="text1"/>
          <w:szCs w:val="22"/>
        </w:rPr>
        <w:t>Dois pontos do desenho merecem destaque por dialogarem diretamente com a discussão do iGovTI 2026:</w:t>
      </w:r>
    </w:p>
    <w:p w:rsidRPr="00EA5417" w:rsidR="00E16FA1" w:rsidP="00EA5417" w:rsidRDefault="00E16FA1" w14:paraId="53240E15" w14:textId="77777777">
      <w:pPr>
        <w:spacing w:line="360" w:lineRule="auto"/>
        <w:ind w:firstLine="708"/>
        <w:jc w:val="both"/>
        <w:rPr>
          <w:rFonts w:cs="Arial"/>
          <w:color w:val="000000" w:themeColor="text1"/>
          <w:szCs w:val="22"/>
        </w:rPr>
      </w:pPr>
    </w:p>
    <w:p w:rsidRPr="00EA5417" w:rsidR="00EA5417" w:rsidP="00E16FA1" w:rsidRDefault="00EA5417" w14:paraId="55A870F9" w14:textId="77777777">
      <w:pPr>
        <w:spacing w:line="360" w:lineRule="auto"/>
        <w:jc w:val="both"/>
        <w:rPr>
          <w:rFonts w:cs="Arial"/>
          <w:color w:val="000000" w:themeColor="text1"/>
          <w:szCs w:val="22"/>
        </w:rPr>
      </w:pPr>
      <w:r w:rsidRPr="00EA5417">
        <w:rPr>
          <w:rFonts w:cs="Arial"/>
          <w:b/>
          <w:bCs/>
          <w:color w:val="000000" w:themeColor="text1"/>
          <w:szCs w:val="22"/>
        </w:rPr>
        <w:t>Adoção do “núcleo TI” do TCU (</w:t>
      </w:r>
      <w:proofErr w:type="spellStart"/>
      <w:r w:rsidRPr="00EA5417">
        <w:rPr>
          <w:rFonts w:cs="Arial"/>
          <w:b/>
          <w:bCs/>
          <w:color w:val="000000" w:themeColor="text1"/>
          <w:szCs w:val="22"/>
        </w:rPr>
        <w:t>iGG</w:t>
      </w:r>
      <w:proofErr w:type="spellEnd"/>
      <w:r w:rsidRPr="00EA5417">
        <w:rPr>
          <w:rFonts w:cs="Arial"/>
          <w:b/>
          <w:bCs/>
          <w:color w:val="000000" w:themeColor="text1"/>
          <w:szCs w:val="22"/>
        </w:rPr>
        <w:t xml:space="preserve"> 2021), com recorte de escopo</w:t>
      </w:r>
    </w:p>
    <w:p w:rsidRPr="00F90C7E" w:rsidR="00EA5417" w:rsidP="00D716B8" w:rsidRDefault="00EA5417" w14:paraId="3A02E93F" w14:textId="77777777">
      <w:pPr>
        <w:numPr>
          <w:ilvl w:val="0"/>
          <w:numId w:val="37"/>
        </w:numPr>
        <w:spacing w:line="360" w:lineRule="auto"/>
        <w:jc w:val="both"/>
        <w:rPr>
          <w:rFonts w:cs="Arial"/>
          <w:color w:val="000000" w:themeColor="text1"/>
          <w:szCs w:val="22"/>
        </w:rPr>
      </w:pPr>
      <w:r w:rsidRPr="00F90C7E">
        <w:rPr>
          <w:rFonts w:cs="Arial"/>
          <w:color w:val="000000" w:themeColor="text1"/>
          <w:szCs w:val="22"/>
        </w:rPr>
        <w:t xml:space="preserve">O manual registra que o questionário tem como base o </w:t>
      </w:r>
      <w:proofErr w:type="spellStart"/>
      <w:r w:rsidRPr="00F90C7E">
        <w:rPr>
          <w:rFonts w:cs="Arial"/>
          <w:color w:val="000000" w:themeColor="text1"/>
          <w:szCs w:val="22"/>
        </w:rPr>
        <w:t>iGG</w:t>
      </w:r>
      <w:proofErr w:type="spellEnd"/>
      <w:r w:rsidRPr="00F90C7E">
        <w:rPr>
          <w:rFonts w:cs="Arial"/>
          <w:color w:val="000000" w:themeColor="text1"/>
          <w:szCs w:val="22"/>
        </w:rPr>
        <w:t xml:space="preserve"> 2021 do TCU, e que, para avaliar TI, foram selecionadas apenas as questões que compõem o índice iGovTI daquele instrumento. </w:t>
      </w:r>
    </w:p>
    <w:p w:rsidR="00EA5417" w:rsidP="00D716B8" w:rsidRDefault="00EA5417" w14:paraId="47D103AB" w14:textId="77777777">
      <w:pPr>
        <w:numPr>
          <w:ilvl w:val="0"/>
          <w:numId w:val="37"/>
        </w:numPr>
        <w:spacing w:line="360" w:lineRule="auto"/>
        <w:jc w:val="both"/>
        <w:rPr>
          <w:rFonts w:cs="Arial"/>
          <w:color w:val="000000" w:themeColor="text1"/>
          <w:szCs w:val="22"/>
        </w:rPr>
      </w:pPr>
      <w:r w:rsidRPr="00F90C7E">
        <w:rPr>
          <w:rFonts w:cs="Arial"/>
          <w:color w:val="000000" w:themeColor="text1"/>
          <w:szCs w:val="22"/>
        </w:rPr>
        <w:t>O próprio questionário reforça essa origem e explicita a lógica: 40 questões compõem o iGovTI, com adaptações pontuais para direcionar o texto à área de TI</w:t>
      </w:r>
      <w:r w:rsidRPr="00EA5417">
        <w:rPr>
          <w:rFonts w:cs="Arial"/>
          <w:color w:val="000000" w:themeColor="text1"/>
          <w:szCs w:val="22"/>
        </w:rPr>
        <w:t xml:space="preserve">. </w:t>
      </w:r>
    </w:p>
    <w:p w:rsidRPr="00EA5417" w:rsidR="00E16FA1" w:rsidP="00BA6295" w:rsidRDefault="00E16FA1" w14:paraId="2F2EB582" w14:textId="77777777">
      <w:pPr>
        <w:spacing w:line="360" w:lineRule="auto"/>
        <w:ind w:left="720"/>
        <w:jc w:val="both"/>
        <w:rPr>
          <w:rFonts w:cs="Arial"/>
          <w:color w:val="000000" w:themeColor="text1"/>
          <w:szCs w:val="22"/>
        </w:rPr>
      </w:pPr>
    </w:p>
    <w:p w:rsidRPr="00EA5417" w:rsidR="00EA5417" w:rsidP="00E16FA1" w:rsidRDefault="00EA5417" w14:paraId="1DFB18F7" w14:textId="77777777">
      <w:pPr>
        <w:spacing w:line="360" w:lineRule="auto"/>
        <w:jc w:val="both"/>
        <w:rPr>
          <w:rFonts w:cs="Arial"/>
          <w:color w:val="000000" w:themeColor="text1"/>
          <w:szCs w:val="22"/>
        </w:rPr>
      </w:pPr>
      <w:r w:rsidRPr="00EA5417">
        <w:rPr>
          <w:rFonts w:cs="Arial"/>
          <w:b/>
          <w:bCs/>
          <w:color w:val="000000" w:themeColor="text1"/>
          <w:szCs w:val="22"/>
        </w:rPr>
        <w:t>Apoio à indução (não só diagnóstico)</w:t>
      </w:r>
    </w:p>
    <w:p w:rsidRPr="00F90C7E" w:rsidR="00EA5417" w:rsidP="00D716B8" w:rsidRDefault="00EA5417" w14:paraId="44F96CE2" w14:textId="77777777">
      <w:pPr>
        <w:numPr>
          <w:ilvl w:val="0"/>
          <w:numId w:val="39"/>
        </w:numPr>
        <w:spacing w:line="360" w:lineRule="auto"/>
        <w:jc w:val="both"/>
        <w:rPr>
          <w:rFonts w:cs="Arial"/>
          <w:color w:val="000000" w:themeColor="text1"/>
          <w:szCs w:val="22"/>
        </w:rPr>
      </w:pPr>
      <w:r w:rsidRPr="00F90C7E">
        <w:rPr>
          <w:rFonts w:cs="Arial"/>
          <w:color w:val="000000" w:themeColor="text1"/>
          <w:szCs w:val="22"/>
        </w:rPr>
        <w:t xml:space="preserve">O TCE-PE complementa o levantamento com um manual de preenchimento, com conceitos e exemplos práticos por questão, e indica que as organizações participantes recebem um Relatório Individual de Autoavaliação, voltado a identificar oportunidades de melhoria. </w:t>
      </w:r>
    </w:p>
    <w:p w:rsidRPr="00EA5417" w:rsidR="00EA5417" w:rsidP="00D716B8" w:rsidRDefault="00EA5417" w14:paraId="4BCB2BE0" w14:textId="77777777">
      <w:pPr>
        <w:numPr>
          <w:ilvl w:val="0"/>
          <w:numId w:val="39"/>
        </w:numPr>
        <w:spacing w:line="360" w:lineRule="auto"/>
        <w:jc w:val="both"/>
        <w:rPr>
          <w:rFonts w:cs="Arial"/>
          <w:color w:val="000000" w:themeColor="text1"/>
          <w:szCs w:val="22"/>
        </w:rPr>
      </w:pPr>
      <w:r w:rsidRPr="00EA5417">
        <w:rPr>
          <w:rFonts w:cs="Arial"/>
          <w:color w:val="000000" w:themeColor="text1"/>
          <w:szCs w:val="22"/>
        </w:rPr>
        <w:t xml:space="preserve">A cartilha, por sua vez, é explicitamente posicionada como “guia prático” para apoiar gestores e favorecer a transformação digital, reforçando caráter indutor/pedagógico. </w:t>
      </w:r>
    </w:p>
    <w:p w:rsidR="00E16FA1" w:rsidP="00EA5417" w:rsidRDefault="00E16FA1" w14:paraId="2833C558" w14:textId="77777777">
      <w:pPr>
        <w:spacing w:line="360" w:lineRule="auto"/>
        <w:ind w:firstLine="708"/>
        <w:jc w:val="both"/>
        <w:rPr>
          <w:rFonts w:cs="Arial"/>
          <w:b/>
          <w:bCs/>
          <w:color w:val="000000" w:themeColor="text1"/>
          <w:szCs w:val="22"/>
        </w:rPr>
      </w:pPr>
    </w:p>
    <w:p w:rsidRPr="00F90C7E" w:rsidR="00EA5417" w:rsidP="00F90C7E" w:rsidRDefault="00F90C7E" w14:paraId="2C96BAF9" w14:textId="331DA366">
      <w:pPr>
        <w:spacing w:line="360" w:lineRule="auto"/>
        <w:ind w:firstLine="708"/>
        <w:jc w:val="both"/>
        <w:rPr>
          <w:rFonts w:cs="Arial"/>
          <w:color w:val="000000" w:themeColor="text1"/>
          <w:szCs w:val="22"/>
        </w:rPr>
      </w:pPr>
      <w:r w:rsidRPr="00F90C7E">
        <w:rPr>
          <w:rFonts w:cs="Arial"/>
          <w:color w:val="000000" w:themeColor="text1"/>
          <w:szCs w:val="22"/>
        </w:rPr>
        <w:t>A</w:t>
      </w:r>
      <w:r w:rsidRPr="00F90C7E" w:rsidR="00EA5417">
        <w:rPr>
          <w:rFonts w:cs="Arial"/>
          <w:color w:val="000000" w:themeColor="text1"/>
          <w:szCs w:val="22"/>
        </w:rPr>
        <w:t xml:space="preserve"> estratégia do TCE-PE “volta” a um instrumento focado em TI, reduzindo o ruído típico de questionários integrados (governança organizacional ampla + várias funções), e tende a </w:t>
      </w:r>
      <w:r w:rsidRPr="00F90C7E" w:rsidR="00EA5417">
        <w:rPr>
          <w:rFonts w:cs="Arial"/>
          <w:color w:val="000000" w:themeColor="text1"/>
          <w:szCs w:val="22"/>
        </w:rPr>
        <w:t>facilitar: (i) entendimento do respondente, (</w:t>
      </w:r>
      <w:proofErr w:type="spellStart"/>
      <w:r w:rsidRPr="00F90C7E" w:rsidR="00EA5417">
        <w:rPr>
          <w:rFonts w:cs="Arial"/>
          <w:color w:val="000000" w:themeColor="text1"/>
          <w:szCs w:val="22"/>
        </w:rPr>
        <w:t>ii</w:t>
      </w:r>
      <w:proofErr w:type="spellEnd"/>
      <w:r w:rsidRPr="00F90C7E" w:rsidR="00EA5417">
        <w:rPr>
          <w:rFonts w:cs="Arial"/>
          <w:color w:val="000000" w:themeColor="text1"/>
          <w:szCs w:val="22"/>
        </w:rPr>
        <w:t>) consolidação interna das respostas e (</w:t>
      </w:r>
      <w:proofErr w:type="spellStart"/>
      <w:r w:rsidRPr="00F90C7E" w:rsidR="00EA5417">
        <w:rPr>
          <w:rFonts w:cs="Arial"/>
          <w:color w:val="000000" w:themeColor="text1"/>
          <w:szCs w:val="22"/>
        </w:rPr>
        <w:t>iii</w:t>
      </w:r>
      <w:proofErr w:type="spellEnd"/>
      <w:r w:rsidRPr="00F90C7E" w:rsidR="00EA5417">
        <w:rPr>
          <w:rFonts w:cs="Arial"/>
          <w:color w:val="000000" w:themeColor="text1"/>
          <w:szCs w:val="22"/>
        </w:rPr>
        <w:t>) análise pelo Tribunal.</w:t>
      </w:r>
    </w:p>
    <w:p w:rsidRPr="00EA5417" w:rsidR="00EA5417" w:rsidP="007E1E06" w:rsidRDefault="007E1E06" w14:paraId="2D8FAFB6" w14:textId="7A99CDF7">
      <w:pPr>
        <w:pStyle w:val="Ttulo2"/>
      </w:pPr>
      <w:r>
        <w:t>2.2.2.</w:t>
      </w:r>
      <w:r w:rsidRPr="00EA5417" w:rsidR="00EA5417">
        <w:t xml:space="preserve"> Dimensões avaliadas (macrovisão) e lógica das questões</w:t>
      </w:r>
    </w:p>
    <w:p w:rsidRPr="00EA5417" w:rsidR="00EA5417" w:rsidP="007E1E06" w:rsidRDefault="00EA5417" w14:paraId="7C549701" w14:textId="10A1CFB2">
      <w:pPr>
        <w:spacing w:line="360" w:lineRule="auto"/>
        <w:jc w:val="both"/>
        <w:rPr>
          <w:rFonts w:cs="Arial"/>
          <w:b/>
          <w:bCs/>
          <w:color w:val="000000" w:themeColor="text1"/>
          <w:szCs w:val="22"/>
        </w:rPr>
      </w:pPr>
      <w:r w:rsidRPr="00EA5417">
        <w:rPr>
          <w:rFonts w:cs="Arial"/>
          <w:b/>
          <w:bCs/>
          <w:color w:val="000000" w:themeColor="text1"/>
          <w:szCs w:val="22"/>
        </w:rPr>
        <w:t>Arquitetura temática (o que é avaliado)</w:t>
      </w:r>
    </w:p>
    <w:p w:rsidRPr="00EA5417" w:rsidR="00EA5417" w:rsidP="00EA5417" w:rsidRDefault="00EA5417" w14:paraId="543202EA" w14:textId="77777777">
      <w:pPr>
        <w:spacing w:line="360" w:lineRule="auto"/>
        <w:ind w:firstLine="708"/>
        <w:jc w:val="both"/>
        <w:rPr>
          <w:rFonts w:cs="Arial"/>
          <w:color w:val="000000" w:themeColor="text1"/>
          <w:szCs w:val="22"/>
        </w:rPr>
      </w:pPr>
      <w:r w:rsidRPr="00EA5417">
        <w:rPr>
          <w:rFonts w:cs="Arial"/>
          <w:color w:val="000000" w:themeColor="text1"/>
          <w:szCs w:val="22"/>
        </w:rPr>
        <w:t xml:space="preserve">O manual agrupa as 40 questões do índice em </w:t>
      </w:r>
      <w:r w:rsidRPr="00EA5417">
        <w:rPr>
          <w:rFonts w:cs="Arial"/>
          <w:b/>
          <w:bCs/>
          <w:color w:val="000000" w:themeColor="text1"/>
          <w:szCs w:val="22"/>
        </w:rPr>
        <w:t>8 blocos</w:t>
      </w:r>
      <w:r w:rsidRPr="00EA5417">
        <w:rPr>
          <w:rFonts w:cs="Arial"/>
          <w:color w:val="000000" w:themeColor="text1"/>
          <w:szCs w:val="22"/>
        </w:rPr>
        <w:t xml:space="preserve">, o que ajuda na comunicação e na consolidação analítica: </w:t>
      </w:r>
    </w:p>
    <w:p w:rsidRPr="00EA5417" w:rsidR="00EA5417" w:rsidP="00D716B8" w:rsidRDefault="00EA5417" w14:paraId="1D6526A0" w14:textId="77777777">
      <w:pPr>
        <w:numPr>
          <w:ilvl w:val="0"/>
          <w:numId w:val="40"/>
        </w:numPr>
        <w:spacing w:line="360" w:lineRule="auto"/>
        <w:jc w:val="both"/>
        <w:rPr>
          <w:rFonts w:cs="Arial"/>
          <w:color w:val="000000" w:themeColor="text1"/>
          <w:szCs w:val="22"/>
        </w:rPr>
      </w:pPr>
      <w:r w:rsidRPr="00EA5417">
        <w:rPr>
          <w:rFonts w:cs="Arial"/>
          <w:b/>
          <w:bCs/>
          <w:color w:val="000000" w:themeColor="text1"/>
          <w:szCs w:val="22"/>
        </w:rPr>
        <w:t>Governança de TI (Q01–Q06)</w:t>
      </w:r>
      <w:r w:rsidRPr="00EA5417">
        <w:rPr>
          <w:rFonts w:cs="Arial"/>
          <w:color w:val="000000" w:themeColor="text1"/>
          <w:szCs w:val="22"/>
        </w:rPr>
        <w:t xml:space="preserve">: inclui metas de simplificação/digitalização, modelo de gestão de TI pela alta administração, monitoramento de desempenho, padrões de interoperabilidade/usabilidade/acessibilidade e proteção de dados pessoais em serviços digitais, participação de usuários e auditoria interna agregando valor à TI. </w:t>
      </w:r>
    </w:p>
    <w:p w:rsidRPr="00EA5417" w:rsidR="00EA5417" w:rsidP="00D716B8" w:rsidRDefault="00EA5417" w14:paraId="090461ED" w14:textId="77777777">
      <w:pPr>
        <w:numPr>
          <w:ilvl w:val="0"/>
          <w:numId w:val="40"/>
        </w:numPr>
        <w:spacing w:line="360" w:lineRule="auto"/>
        <w:jc w:val="both"/>
        <w:rPr>
          <w:rFonts w:cs="Arial"/>
          <w:color w:val="000000" w:themeColor="text1"/>
          <w:szCs w:val="22"/>
        </w:rPr>
      </w:pPr>
      <w:r w:rsidRPr="00EA5417">
        <w:rPr>
          <w:rFonts w:cs="Arial"/>
          <w:b/>
          <w:bCs/>
          <w:color w:val="000000" w:themeColor="text1"/>
          <w:szCs w:val="22"/>
        </w:rPr>
        <w:t>Gestão de Pessoal de TI (Q07–Q12)</w:t>
      </w:r>
      <w:r w:rsidRPr="00EA5417">
        <w:rPr>
          <w:rFonts w:cs="Arial"/>
          <w:color w:val="000000" w:themeColor="text1"/>
          <w:szCs w:val="22"/>
        </w:rPr>
        <w:t xml:space="preserve">: perfis, dimensionamento, seleção de gestores, lacunas de competências e avaliação de desempenho. </w:t>
      </w:r>
    </w:p>
    <w:p w:rsidRPr="00EA5417" w:rsidR="00EA5417" w:rsidP="00D716B8" w:rsidRDefault="00EA5417" w14:paraId="522BC517" w14:textId="77777777">
      <w:pPr>
        <w:numPr>
          <w:ilvl w:val="0"/>
          <w:numId w:val="40"/>
        </w:numPr>
        <w:spacing w:line="360" w:lineRule="auto"/>
        <w:jc w:val="both"/>
        <w:rPr>
          <w:rFonts w:cs="Arial"/>
          <w:color w:val="000000" w:themeColor="text1"/>
          <w:szCs w:val="22"/>
        </w:rPr>
      </w:pPr>
      <w:r w:rsidRPr="00EA5417">
        <w:rPr>
          <w:rFonts w:cs="Arial"/>
          <w:b/>
          <w:bCs/>
          <w:color w:val="000000" w:themeColor="text1"/>
          <w:szCs w:val="22"/>
        </w:rPr>
        <w:t>Planejamento de TI (Q13–Q14)</w:t>
      </w:r>
      <w:r w:rsidRPr="00EA5417">
        <w:rPr>
          <w:rFonts w:cs="Arial"/>
          <w:color w:val="000000" w:themeColor="text1"/>
          <w:szCs w:val="22"/>
        </w:rPr>
        <w:t xml:space="preserve">: processo de planejamento e plano vigente. </w:t>
      </w:r>
    </w:p>
    <w:p w:rsidRPr="00EA5417" w:rsidR="00EA5417" w:rsidP="00D716B8" w:rsidRDefault="00EA5417" w14:paraId="2ED0EDE7" w14:textId="77777777">
      <w:pPr>
        <w:numPr>
          <w:ilvl w:val="0"/>
          <w:numId w:val="40"/>
        </w:numPr>
        <w:spacing w:line="360" w:lineRule="auto"/>
        <w:jc w:val="both"/>
        <w:rPr>
          <w:rFonts w:cs="Arial"/>
          <w:color w:val="000000" w:themeColor="text1"/>
          <w:szCs w:val="22"/>
        </w:rPr>
      </w:pPr>
      <w:r w:rsidRPr="00EA5417">
        <w:rPr>
          <w:rFonts w:cs="Arial"/>
          <w:b/>
          <w:bCs/>
          <w:color w:val="000000" w:themeColor="text1"/>
          <w:szCs w:val="22"/>
        </w:rPr>
        <w:t>Gestão de Serviços de TI (Q15–Q19)</w:t>
      </w:r>
      <w:r w:rsidRPr="00EA5417">
        <w:rPr>
          <w:rFonts w:cs="Arial"/>
          <w:color w:val="000000" w:themeColor="text1"/>
          <w:szCs w:val="22"/>
        </w:rPr>
        <w:t xml:space="preserve">: catálogo de serviços, mudanças, configuração/ativos, incidentes e ANS com áreas de negócio. </w:t>
      </w:r>
    </w:p>
    <w:p w:rsidRPr="00EA5417" w:rsidR="00EA5417" w:rsidP="00D716B8" w:rsidRDefault="00EA5417" w14:paraId="573860A3" w14:textId="77777777">
      <w:pPr>
        <w:numPr>
          <w:ilvl w:val="0"/>
          <w:numId w:val="40"/>
        </w:numPr>
        <w:spacing w:line="360" w:lineRule="auto"/>
        <w:jc w:val="both"/>
        <w:rPr>
          <w:rFonts w:cs="Arial"/>
          <w:color w:val="000000" w:themeColor="text1"/>
          <w:szCs w:val="22"/>
        </w:rPr>
      </w:pPr>
      <w:r w:rsidRPr="00EA5417">
        <w:rPr>
          <w:rFonts w:cs="Arial"/>
          <w:b/>
          <w:bCs/>
          <w:color w:val="000000" w:themeColor="text1"/>
          <w:szCs w:val="22"/>
        </w:rPr>
        <w:t>Gestão de Riscos (Q20–Q26)</w:t>
      </w:r>
      <w:r w:rsidRPr="00EA5417">
        <w:rPr>
          <w:rFonts w:cs="Arial"/>
          <w:color w:val="000000" w:themeColor="text1"/>
          <w:szCs w:val="22"/>
        </w:rPr>
        <w:t xml:space="preserve">: estrutura, segunda linha, processo, riscos críticos, continuidade de negócio, riscos de TI em processos de negócio e continuidade de serviços de TI. </w:t>
      </w:r>
    </w:p>
    <w:p w:rsidRPr="00EA5417" w:rsidR="00EA5417" w:rsidP="00D716B8" w:rsidRDefault="00EA5417" w14:paraId="39F0D9A3" w14:textId="77777777">
      <w:pPr>
        <w:numPr>
          <w:ilvl w:val="0"/>
          <w:numId w:val="40"/>
        </w:numPr>
        <w:spacing w:line="360" w:lineRule="auto"/>
        <w:jc w:val="both"/>
        <w:rPr>
          <w:rFonts w:cs="Arial"/>
          <w:color w:val="000000" w:themeColor="text1"/>
          <w:szCs w:val="22"/>
        </w:rPr>
      </w:pPr>
      <w:r w:rsidRPr="00EA5417">
        <w:rPr>
          <w:rFonts w:cs="Arial"/>
          <w:b/>
          <w:bCs/>
          <w:color w:val="000000" w:themeColor="text1"/>
          <w:szCs w:val="22"/>
        </w:rPr>
        <w:t>Gestão de Segurança da Informação (Q27–Q35)</w:t>
      </w:r>
      <w:r w:rsidRPr="00EA5417">
        <w:rPr>
          <w:rFonts w:cs="Arial"/>
          <w:color w:val="000000" w:themeColor="text1"/>
          <w:szCs w:val="22"/>
        </w:rPr>
        <w:t xml:space="preserve">: PSI, comitê, gestor institucional, riscos de SI, controle de acesso, ativos, classificação/tratamento, incidentes e segurança de recursos de processamento (incluindo nuvem). </w:t>
      </w:r>
    </w:p>
    <w:p w:rsidRPr="00EA5417" w:rsidR="00EA5417" w:rsidP="00D716B8" w:rsidRDefault="00EA5417" w14:paraId="36A988CB" w14:textId="77777777">
      <w:pPr>
        <w:numPr>
          <w:ilvl w:val="0"/>
          <w:numId w:val="40"/>
        </w:numPr>
        <w:spacing w:line="360" w:lineRule="auto"/>
        <w:jc w:val="both"/>
        <w:rPr>
          <w:rFonts w:cs="Arial"/>
          <w:color w:val="000000" w:themeColor="text1"/>
          <w:szCs w:val="22"/>
        </w:rPr>
      </w:pPr>
      <w:r w:rsidRPr="00EA5417">
        <w:rPr>
          <w:rFonts w:cs="Arial"/>
          <w:b/>
          <w:bCs/>
          <w:color w:val="000000" w:themeColor="text1"/>
          <w:szCs w:val="22"/>
        </w:rPr>
        <w:t>Processo de Software e Gestão de Projetos (Q36–Q37)</w:t>
      </w:r>
      <w:r w:rsidRPr="00EA5417">
        <w:rPr>
          <w:rFonts w:cs="Arial"/>
          <w:color w:val="000000" w:themeColor="text1"/>
          <w:szCs w:val="22"/>
        </w:rPr>
        <w:t xml:space="preserve">. </w:t>
      </w:r>
    </w:p>
    <w:p w:rsidRPr="00EA5417" w:rsidR="00EA5417" w:rsidP="00D716B8" w:rsidRDefault="00EA5417" w14:paraId="6F168DC5" w14:textId="77777777">
      <w:pPr>
        <w:numPr>
          <w:ilvl w:val="0"/>
          <w:numId w:val="40"/>
        </w:numPr>
        <w:spacing w:line="360" w:lineRule="auto"/>
        <w:jc w:val="both"/>
        <w:rPr>
          <w:rFonts w:cs="Arial"/>
          <w:color w:val="000000" w:themeColor="text1"/>
          <w:szCs w:val="22"/>
        </w:rPr>
      </w:pPr>
      <w:r w:rsidRPr="0835ADA6">
        <w:rPr>
          <w:rFonts w:cs="Arial"/>
          <w:b/>
          <w:color w:val="000000" w:themeColor="text1"/>
        </w:rPr>
        <w:t>Gestão de Contratos de TI (Q38–Q40)</w:t>
      </w:r>
      <w:r w:rsidRPr="0835ADA6">
        <w:rPr>
          <w:rFonts w:cs="Arial"/>
          <w:color w:val="000000" w:themeColor="text1"/>
        </w:rPr>
        <w:t xml:space="preserve">: riscos no ciclo de contratação, métricas objetivas/ remuneração por desempenho e reavaliação para prorrogações. </w:t>
      </w:r>
    </w:p>
    <w:p w:rsidR="0835ADA6" w:rsidP="0835ADA6" w:rsidRDefault="0835ADA6" w14:paraId="213A59E0" w14:textId="191CF64E">
      <w:pPr>
        <w:spacing w:line="360" w:lineRule="auto"/>
        <w:ind w:left="720"/>
        <w:jc w:val="both"/>
        <w:rPr>
          <w:rFonts w:cs="Arial"/>
          <w:color w:val="000000" w:themeColor="text1"/>
        </w:rPr>
      </w:pPr>
    </w:p>
    <w:p w:rsidRPr="00EA5417" w:rsidR="00EA5417" w:rsidP="007E1E06" w:rsidRDefault="00EA5417" w14:paraId="598A6FEF" w14:textId="54523219">
      <w:pPr>
        <w:spacing w:line="360" w:lineRule="auto"/>
        <w:jc w:val="both"/>
        <w:rPr>
          <w:rFonts w:cs="Arial"/>
          <w:b/>
          <w:bCs/>
          <w:color w:val="000000" w:themeColor="text1"/>
          <w:szCs w:val="22"/>
        </w:rPr>
      </w:pPr>
      <w:r w:rsidRPr="00EA5417">
        <w:rPr>
          <w:rFonts w:cs="Arial"/>
          <w:b/>
          <w:bCs/>
          <w:color w:val="000000" w:themeColor="text1"/>
          <w:szCs w:val="22"/>
        </w:rPr>
        <w:t>Engenharia das perguntas (como mede)</w:t>
      </w:r>
    </w:p>
    <w:p w:rsidRPr="00EA5417" w:rsidR="00EA5417" w:rsidP="00EA5417" w:rsidRDefault="00EA5417" w14:paraId="2EF5162B" w14:textId="77777777">
      <w:pPr>
        <w:spacing w:line="360" w:lineRule="auto"/>
        <w:ind w:firstLine="708"/>
        <w:jc w:val="both"/>
        <w:rPr>
          <w:rFonts w:cs="Arial"/>
          <w:color w:val="000000" w:themeColor="text1"/>
          <w:szCs w:val="22"/>
        </w:rPr>
      </w:pPr>
      <w:r w:rsidRPr="00EA5417">
        <w:rPr>
          <w:rFonts w:cs="Arial"/>
          <w:color w:val="000000" w:themeColor="text1"/>
          <w:szCs w:val="22"/>
        </w:rPr>
        <w:t xml:space="preserve">O questionário combina </w:t>
      </w:r>
      <w:r w:rsidRPr="00EA5417">
        <w:rPr>
          <w:rFonts w:cs="Arial"/>
          <w:b/>
          <w:bCs/>
          <w:color w:val="000000" w:themeColor="text1"/>
          <w:szCs w:val="22"/>
        </w:rPr>
        <w:t>três tipos de itens</w:t>
      </w:r>
      <w:r w:rsidRPr="00EA5417">
        <w:rPr>
          <w:rFonts w:cs="Arial"/>
          <w:color w:val="000000" w:themeColor="text1"/>
          <w:szCs w:val="22"/>
        </w:rPr>
        <w:t xml:space="preserve">: (i) </w:t>
      </w:r>
      <w:r w:rsidRPr="00EA5417">
        <w:rPr>
          <w:rFonts w:cs="Arial"/>
          <w:b/>
          <w:bCs/>
          <w:color w:val="000000" w:themeColor="text1"/>
          <w:szCs w:val="22"/>
        </w:rPr>
        <w:t>escala linear</w:t>
      </w:r>
      <w:r w:rsidRPr="00EA5417">
        <w:rPr>
          <w:rFonts w:cs="Arial"/>
          <w:color w:val="000000" w:themeColor="text1"/>
          <w:szCs w:val="22"/>
        </w:rPr>
        <w:t xml:space="preserve"> (nível de adoção), (</w:t>
      </w:r>
      <w:proofErr w:type="spellStart"/>
      <w:r w:rsidRPr="00EA5417">
        <w:rPr>
          <w:rFonts w:cs="Arial"/>
          <w:color w:val="000000" w:themeColor="text1"/>
          <w:szCs w:val="22"/>
        </w:rPr>
        <w:t>ii</w:t>
      </w:r>
      <w:proofErr w:type="spellEnd"/>
      <w:r w:rsidRPr="00EA5417">
        <w:rPr>
          <w:rFonts w:cs="Arial"/>
          <w:color w:val="000000" w:themeColor="text1"/>
          <w:szCs w:val="22"/>
        </w:rPr>
        <w:t xml:space="preserve">) </w:t>
      </w:r>
      <w:r w:rsidRPr="00EA5417">
        <w:rPr>
          <w:rFonts w:cs="Arial"/>
          <w:b/>
          <w:bCs/>
          <w:color w:val="000000" w:themeColor="text1"/>
          <w:szCs w:val="22"/>
        </w:rPr>
        <w:t>texto aberto</w:t>
      </w:r>
      <w:r w:rsidRPr="00EA5417">
        <w:rPr>
          <w:rFonts w:cs="Arial"/>
          <w:color w:val="000000" w:themeColor="text1"/>
          <w:szCs w:val="22"/>
        </w:rPr>
        <w:t xml:space="preserve"> (evidências/justificativas) e (</w:t>
      </w:r>
      <w:proofErr w:type="spellStart"/>
      <w:r w:rsidRPr="00EA5417">
        <w:rPr>
          <w:rFonts w:cs="Arial"/>
          <w:color w:val="000000" w:themeColor="text1"/>
          <w:szCs w:val="22"/>
        </w:rPr>
        <w:t>iii</w:t>
      </w:r>
      <w:proofErr w:type="spellEnd"/>
      <w:r w:rsidRPr="00EA5417">
        <w:rPr>
          <w:rFonts w:cs="Arial"/>
          <w:color w:val="000000" w:themeColor="text1"/>
          <w:szCs w:val="22"/>
        </w:rPr>
        <w:t xml:space="preserve">) </w:t>
      </w:r>
      <w:r w:rsidRPr="00EA5417">
        <w:rPr>
          <w:rFonts w:cs="Arial"/>
          <w:b/>
          <w:bCs/>
          <w:color w:val="000000" w:themeColor="text1"/>
          <w:szCs w:val="22"/>
        </w:rPr>
        <w:t>múltipla escolha</w:t>
      </w:r>
      <w:r w:rsidRPr="00EA5417">
        <w:rPr>
          <w:rFonts w:cs="Arial"/>
          <w:color w:val="000000" w:themeColor="text1"/>
          <w:szCs w:val="22"/>
        </w:rPr>
        <w:t xml:space="preserve"> (itens “confirmatórios” para caracterizar a situação). </w:t>
      </w:r>
    </w:p>
    <w:p w:rsidRPr="00EA5417" w:rsidR="00EA5417" w:rsidP="00D716B8" w:rsidRDefault="00EA5417" w14:paraId="033D7B9A" w14:textId="77777777">
      <w:pPr>
        <w:numPr>
          <w:ilvl w:val="0"/>
          <w:numId w:val="41"/>
        </w:numPr>
        <w:spacing w:line="360" w:lineRule="auto"/>
        <w:jc w:val="both"/>
        <w:rPr>
          <w:rFonts w:cs="Arial"/>
          <w:color w:val="000000" w:themeColor="text1"/>
          <w:szCs w:val="22"/>
        </w:rPr>
      </w:pPr>
      <w:r w:rsidRPr="00EA5417">
        <w:rPr>
          <w:rFonts w:cs="Arial"/>
          <w:color w:val="000000" w:themeColor="text1"/>
          <w:szCs w:val="22"/>
        </w:rPr>
        <w:t xml:space="preserve">A escala de adoção tem </w:t>
      </w:r>
      <w:r w:rsidRPr="00EA5417">
        <w:rPr>
          <w:rFonts w:cs="Arial"/>
          <w:b/>
          <w:bCs/>
          <w:color w:val="000000" w:themeColor="text1"/>
          <w:szCs w:val="22"/>
        </w:rPr>
        <w:t>seis categorias</w:t>
      </w:r>
      <w:r w:rsidRPr="00EA5417">
        <w:rPr>
          <w:rFonts w:cs="Arial"/>
          <w:color w:val="000000" w:themeColor="text1"/>
          <w:szCs w:val="22"/>
        </w:rPr>
        <w:t xml:space="preserve"> (inclui “Não se aplica”). </w:t>
      </w:r>
    </w:p>
    <w:p w:rsidRPr="00EA5417" w:rsidR="00EA5417" w:rsidP="00D716B8" w:rsidRDefault="00EA5417" w14:paraId="7A19E626" w14:textId="77777777">
      <w:pPr>
        <w:numPr>
          <w:ilvl w:val="0"/>
          <w:numId w:val="41"/>
        </w:numPr>
        <w:spacing w:line="360" w:lineRule="auto"/>
        <w:jc w:val="both"/>
        <w:rPr>
          <w:rFonts w:cs="Arial"/>
          <w:color w:val="000000" w:themeColor="text1"/>
          <w:szCs w:val="22"/>
        </w:rPr>
      </w:pPr>
      <w:r w:rsidRPr="00EA5417">
        <w:rPr>
          <w:rFonts w:cs="Arial"/>
          <w:color w:val="000000" w:themeColor="text1"/>
          <w:szCs w:val="22"/>
        </w:rPr>
        <w:t xml:space="preserve">Há definições operacionais para diferenciar “adoção em menor parte” (até 15%) e “parcial” (15% a 85%), e “maior parte” (acima de 85%), reduzindo ambiguidade. </w:t>
      </w:r>
    </w:p>
    <w:p w:rsidR="00EA5417" w:rsidP="00D716B8" w:rsidRDefault="00EA5417" w14:paraId="4C1FD8A7" w14:textId="77777777">
      <w:pPr>
        <w:numPr>
          <w:ilvl w:val="0"/>
          <w:numId w:val="41"/>
        </w:numPr>
        <w:spacing w:line="360" w:lineRule="auto"/>
        <w:jc w:val="both"/>
        <w:rPr>
          <w:rFonts w:cs="Arial"/>
          <w:color w:val="000000" w:themeColor="text1"/>
          <w:szCs w:val="22"/>
        </w:rPr>
      </w:pPr>
      <w:r w:rsidRPr="00EA5417">
        <w:rPr>
          <w:rFonts w:cs="Arial"/>
          <w:color w:val="000000" w:themeColor="text1"/>
          <w:szCs w:val="22"/>
        </w:rPr>
        <w:t xml:space="preserve">“Não se aplica” exige justificativa </w:t>
      </w:r>
      <w:r w:rsidRPr="00EA5417">
        <w:rPr>
          <w:rFonts w:cs="Arial"/>
          <w:b/>
          <w:bCs/>
          <w:color w:val="000000" w:themeColor="text1"/>
          <w:szCs w:val="22"/>
        </w:rPr>
        <w:t>tipificada</w:t>
      </w:r>
      <w:r w:rsidRPr="00EA5417">
        <w:rPr>
          <w:rFonts w:cs="Arial"/>
          <w:color w:val="000000" w:themeColor="text1"/>
          <w:szCs w:val="22"/>
        </w:rPr>
        <w:t xml:space="preserve"> (lei/norma externa impeditiva, custo-benefício desfavorável comprovado por estudo, ou outras razões), e o instrumento alerta que </w:t>
      </w:r>
      <w:r w:rsidRPr="00EA5417">
        <w:rPr>
          <w:rFonts w:cs="Arial"/>
          <w:b/>
          <w:bCs/>
          <w:color w:val="000000" w:themeColor="text1"/>
          <w:szCs w:val="22"/>
        </w:rPr>
        <w:t>normativos internos</w:t>
      </w:r>
      <w:r w:rsidRPr="00EA5417">
        <w:rPr>
          <w:rFonts w:cs="Arial"/>
          <w:color w:val="000000" w:themeColor="text1"/>
          <w:szCs w:val="22"/>
        </w:rPr>
        <w:t xml:space="preserve"> não devem ser usados como justificativa. </w:t>
      </w:r>
    </w:p>
    <w:p w:rsidRPr="00EA5417" w:rsidR="00AE2D9F" w:rsidP="00AE2D9F" w:rsidRDefault="00AE2D9F" w14:paraId="604DB8E6" w14:textId="77777777">
      <w:pPr>
        <w:spacing w:line="360" w:lineRule="auto"/>
        <w:ind w:left="720"/>
        <w:jc w:val="both"/>
        <w:rPr>
          <w:rFonts w:cs="Arial"/>
          <w:color w:val="000000" w:themeColor="text1"/>
          <w:szCs w:val="22"/>
        </w:rPr>
      </w:pPr>
    </w:p>
    <w:p w:rsidRPr="00EA5417" w:rsidR="00EA5417" w:rsidP="00AE2D9F" w:rsidRDefault="00EA5417" w14:paraId="056D727B" w14:textId="57761325">
      <w:pPr>
        <w:spacing w:line="360" w:lineRule="auto"/>
        <w:jc w:val="both"/>
        <w:rPr>
          <w:rFonts w:cs="Arial"/>
          <w:b/>
          <w:bCs/>
          <w:color w:val="000000" w:themeColor="text1"/>
          <w:szCs w:val="22"/>
        </w:rPr>
      </w:pPr>
      <w:r w:rsidRPr="00EA5417">
        <w:rPr>
          <w:rFonts w:cs="Arial"/>
          <w:b/>
          <w:bCs/>
          <w:color w:val="000000" w:themeColor="text1"/>
          <w:szCs w:val="22"/>
        </w:rPr>
        <w:t>Adaptação “TI-específica” (o ponto que você já antecipou)</w:t>
      </w:r>
    </w:p>
    <w:p w:rsidRPr="00EA5417" w:rsidR="00EA5417" w:rsidP="00EA5417" w:rsidRDefault="00EA5417" w14:paraId="6B3DF2F9" w14:textId="3D6B6990">
      <w:pPr>
        <w:spacing w:line="360" w:lineRule="auto"/>
        <w:ind w:firstLine="708"/>
        <w:jc w:val="both"/>
        <w:rPr>
          <w:rFonts w:cs="Arial"/>
          <w:color w:val="000000" w:themeColor="text1"/>
          <w:szCs w:val="22"/>
        </w:rPr>
      </w:pPr>
      <w:r w:rsidRPr="00EA5417">
        <w:rPr>
          <w:rFonts w:cs="Arial"/>
          <w:color w:val="000000" w:themeColor="text1"/>
          <w:szCs w:val="22"/>
          <w:u w:val="single"/>
        </w:rPr>
        <w:t xml:space="preserve">O questionário explicita que algumas questões foram </w:t>
      </w:r>
      <w:r w:rsidRPr="00EA5417">
        <w:rPr>
          <w:rFonts w:cs="Arial"/>
          <w:b/>
          <w:bCs/>
          <w:color w:val="000000" w:themeColor="text1"/>
          <w:szCs w:val="22"/>
          <w:u w:val="single"/>
        </w:rPr>
        <w:t>adaptadas</w:t>
      </w:r>
      <w:r w:rsidRPr="00EA5417">
        <w:rPr>
          <w:rFonts w:cs="Arial"/>
          <w:color w:val="000000" w:themeColor="text1"/>
          <w:szCs w:val="22"/>
          <w:u w:val="single"/>
        </w:rPr>
        <w:t xml:space="preserve"> para direcionar a avaliação à área de TI</w:t>
      </w:r>
      <w:r w:rsidRPr="00EA5417">
        <w:rPr>
          <w:rFonts w:cs="Arial"/>
          <w:color w:val="000000" w:themeColor="text1"/>
          <w:szCs w:val="22"/>
        </w:rPr>
        <w:t xml:space="preserve">. Exemplo direto no enunciado: “Pergunta atualizada para se referir especificamente à área de Tecnologia da Informação.” </w:t>
      </w:r>
    </w:p>
    <w:p w:rsidRPr="00EA5417" w:rsidR="00EA5417" w:rsidP="00EA5417" w:rsidRDefault="00EA5417" w14:paraId="71DC543D" w14:textId="28437606">
      <w:pPr>
        <w:spacing w:line="360" w:lineRule="auto"/>
        <w:ind w:firstLine="708"/>
        <w:jc w:val="both"/>
        <w:rPr>
          <w:rFonts w:cs="Arial"/>
          <w:color w:val="000000" w:themeColor="text1"/>
          <w:szCs w:val="22"/>
        </w:rPr>
      </w:pPr>
      <w:r w:rsidRPr="00EA5417">
        <w:rPr>
          <w:rFonts w:cs="Arial"/>
          <w:color w:val="000000" w:themeColor="text1"/>
          <w:szCs w:val="22"/>
        </w:rPr>
        <w:t xml:space="preserve">Além disso, em subitens confirmatórios aparecem marcações como “Item excluído”, sinalizando limpeza de conteúdo que não contribui para o recorte pretendido. </w:t>
      </w:r>
    </w:p>
    <w:p w:rsidR="00874793" w:rsidP="00627A82" w:rsidRDefault="00874793" w14:paraId="4132EFBE" w14:textId="77777777">
      <w:pPr>
        <w:spacing w:line="360" w:lineRule="auto"/>
        <w:jc w:val="both"/>
        <w:rPr>
          <w:rFonts w:cs="Arial"/>
          <w:b/>
          <w:bCs/>
          <w:color w:val="000000" w:themeColor="text1"/>
          <w:szCs w:val="22"/>
        </w:rPr>
      </w:pPr>
    </w:p>
    <w:p w:rsidRPr="00EA5417" w:rsidR="00EA5417" w:rsidP="00627A82" w:rsidRDefault="00EA5417" w14:paraId="76D0717E" w14:textId="1D72339E">
      <w:pPr>
        <w:spacing w:line="360" w:lineRule="auto"/>
        <w:jc w:val="both"/>
        <w:rPr>
          <w:rFonts w:cs="Arial"/>
          <w:b/>
          <w:bCs/>
          <w:color w:val="000000" w:themeColor="text1"/>
          <w:szCs w:val="22"/>
        </w:rPr>
      </w:pPr>
      <w:r w:rsidRPr="00EA5417">
        <w:rPr>
          <w:rFonts w:cs="Arial"/>
          <w:b/>
          <w:bCs/>
          <w:color w:val="000000" w:themeColor="text1"/>
          <w:szCs w:val="22"/>
        </w:rPr>
        <w:t>Itens complementares fora da pontuação (benchmark útil)</w:t>
      </w:r>
    </w:p>
    <w:p w:rsidRPr="00874793" w:rsidR="00EA5417" w:rsidP="00EA5417" w:rsidRDefault="00EA5417" w14:paraId="359EEB4E" w14:textId="77777777">
      <w:pPr>
        <w:spacing w:line="360" w:lineRule="auto"/>
        <w:ind w:firstLine="708"/>
        <w:jc w:val="both"/>
        <w:rPr>
          <w:rFonts w:cs="Arial"/>
          <w:color w:val="000000" w:themeColor="text1"/>
          <w:szCs w:val="22"/>
        </w:rPr>
      </w:pPr>
      <w:r w:rsidRPr="00874793">
        <w:rPr>
          <w:rFonts w:cs="Arial"/>
          <w:color w:val="000000" w:themeColor="text1"/>
          <w:szCs w:val="22"/>
        </w:rPr>
        <w:t>O TCE-PE incluiu um bloco adicional que não afeta o resultado: (i) questões novas sobre sustentabilidade ambiental na TI e inteligência artificial, e (</w:t>
      </w:r>
      <w:proofErr w:type="spellStart"/>
      <w:r w:rsidRPr="00874793">
        <w:rPr>
          <w:rFonts w:cs="Arial"/>
          <w:color w:val="000000" w:themeColor="text1"/>
          <w:szCs w:val="22"/>
        </w:rPr>
        <w:t>ii</w:t>
      </w:r>
      <w:proofErr w:type="spellEnd"/>
      <w:r w:rsidRPr="00874793">
        <w:rPr>
          <w:rFonts w:cs="Arial"/>
          <w:color w:val="000000" w:themeColor="text1"/>
          <w:szCs w:val="22"/>
        </w:rPr>
        <w:t xml:space="preserve">) questões de perfil organizacional (43–47). </w:t>
      </w:r>
    </w:p>
    <w:p w:rsidRPr="00EA5417" w:rsidR="00EA5417" w:rsidP="00EA5417" w:rsidRDefault="00EA5417" w14:paraId="591E3C43" w14:textId="4D8E84E4">
      <w:pPr>
        <w:spacing w:line="360" w:lineRule="auto"/>
        <w:ind w:firstLine="708"/>
        <w:jc w:val="both"/>
        <w:rPr>
          <w:rFonts w:cs="Arial"/>
          <w:color w:val="000000" w:themeColor="text1"/>
          <w:szCs w:val="22"/>
        </w:rPr>
      </w:pPr>
      <w:r w:rsidRPr="00EA5417">
        <w:rPr>
          <w:rFonts w:cs="Arial"/>
          <w:color w:val="000000" w:themeColor="text1"/>
          <w:szCs w:val="22"/>
        </w:rPr>
        <w:t>Isso é uma solução prática para “testar tema emergente” sem contaminar a série histórica/índice.</w:t>
      </w:r>
    </w:p>
    <w:p w:rsidRPr="00EA5417" w:rsidR="00EA5417" w:rsidP="00627A82" w:rsidRDefault="00627A82" w14:paraId="674B661F" w14:textId="198F1287">
      <w:pPr>
        <w:pStyle w:val="Ttulo2"/>
      </w:pPr>
      <w:r>
        <w:t>2.2.3.</w:t>
      </w:r>
      <w:r w:rsidRPr="00EA5417" w:rsidR="00EA5417">
        <w:t xml:space="preserve"> Principais riscos identificados (derivados do objeto avaliado)</w:t>
      </w:r>
    </w:p>
    <w:p w:rsidRPr="004B6C35" w:rsidR="00EA5417" w:rsidP="00EA5417" w:rsidRDefault="00EA5417" w14:paraId="5299AAC6" w14:textId="77777777">
      <w:pPr>
        <w:spacing w:line="360" w:lineRule="auto"/>
        <w:ind w:firstLine="708"/>
        <w:jc w:val="both"/>
        <w:rPr>
          <w:rFonts w:cs="Arial"/>
          <w:color w:val="000000" w:themeColor="text1"/>
          <w:szCs w:val="22"/>
        </w:rPr>
      </w:pPr>
      <w:r w:rsidRPr="004B6C35">
        <w:rPr>
          <w:rFonts w:cs="Arial"/>
          <w:color w:val="000000" w:themeColor="text1"/>
          <w:szCs w:val="22"/>
        </w:rPr>
        <w:t>Como o material analisado é essencialmente instrumental (questionário + guias), os riscos aqui são os que o próprio desenho do iGovTI-TCE-PE procura capturar e mitigar, com forte aderência ao que costuma ser mais crítico em entes com baixa maturidade:</w:t>
      </w:r>
    </w:p>
    <w:p w:rsidRPr="00EA5417" w:rsidR="00EA5417" w:rsidP="00D716B8" w:rsidRDefault="00EA5417" w14:paraId="6C393CE7" w14:textId="77777777">
      <w:pPr>
        <w:numPr>
          <w:ilvl w:val="0"/>
          <w:numId w:val="42"/>
        </w:numPr>
        <w:spacing w:line="360" w:lineRule="auto"/>
        <w:jc w:val="both"/>
        <w:rPr>
          <w:rFonts w:cs="Arial"/>
          <w:color w:val="000000" w:themeColor="text1"/>
          <w:szCs w:val="22"/>
        </w:rPr>
      </w:pPr>
      <w:r w:rsidRPr="00EA5417">
        <w:rPr>
          <w:rFonts w:cs="Arial"/>
          <w:b/>
          <w:bCs/>
          <w:color w:val="000000" w:themeColor="text1"/>
          <w:szCs w:val="22"/>
        </w:rPr>
        <w:t>Risco de desalinhamento e baixa direção pela alta administração</w:t>
      </w:r>
      <w:r w:rsidRPr="00EA5417">
        <w:rPr>
          <w:rFonts w:cs="Arial"/>
          <w:color w:val="000000" w:themeColor="text1"/>
          <w:szCs w:val="22"/>
        </w:rPr>
        <w:t xml:space="preserve"> (governança frágil), com impacto em priorização, investimentos e </w:t>
      </w:r>
      <w:proofErr w:type="spellStart"/>
      <w:r w:rsidRPr="00EA5417">
        <w:rPr>
          <w:rFonts w:cs="Arial"/>
          <w:color w:val="000000" w:themeColor="text1"/>
          <w:szCs w:val="22"/>
        </w:rPr>
        <w:t>accountability</w:t>
      </w:r>
      <w:proofErr w:type="spellEnd"/>
      <w:r w:rsidRPr="00EA5417">
        <w:rPr>
          <w:rFonts w:cs="Arial"/>
          <w:color w:val="000000" w:themeColor="text1"/>
          <w:szCs w:val="22"/>
        </w:rPr>
        <w:t xml:space="preserve">; a própria cartilha reforça que governança depende da alta administração para direcionar e controlar. </w:t>
      </w:r>
    </w:p>
    <w:p w:rsidRPr="00EA5417" w:rsidR="00EA5417" w:rsidP="00D716B8" w:rsidRDefault="00EA5417" w14:paraId="07E35D7B" w14:textId="77777777">
      <w:pPr>
        <w:numPr>
          <w:ilvl w:val="0"/>
          <w:numId w:val="42"/>
        </w:numPr>
        <w:spacing w:line="360" w:lineRule="auto"/>
        <w:jc w:val="both"/>
        <w:rPr>
          <w:rFonts w:cs="Arial"/>
          <w:color w:val="000000" w:themeColor="text1"/>
          <w:szCs w:val="22"/>
        </w:rPr>
      </w:pPr>
      <w:r w:rsidRPr="00EA5417">
        <w:rPr>
          <w:rFonts w:cs="Arial"/>
          <w:b/>
          <w:bCs/>
          <w:color w:val="000000" w:themeColor="text1"/>
          <w:szCs w:val="22"/>
        </w:rPr>
        <w:t>Risco de desperdício e baixa eficiência no uso de recursos</w:t>
      </w:r>
      <w:r w:rsidRPr="00EA5417">
        <w:rPr>
          <w:rFonts w:cs="Arial"/>
          <w:color w:val="000000" w:themeColor="text1"/>
          <w:szCs w:val="22"/>
        </w:rPr>
        <w:t xml:space="preserve"> (sem planejamento, sem critérios, sem métricas), ponto enfatizado como motivador para governança de TI no setor público. </w:t>
      </w:r>
    </w:p>
    <w:p w:rsidRPr="00EA5417" w:rsidR="00EA5417" w:rsidP="00D716B8" w:rsidRDefault="00EA5417" w14:paraId="074776CA" w14:textId="77777777">
      <w:pPr>
        <w:numPr>
          <w:ilvl w:val="0"/>
          <w:numId w:val="42"/>
        </w:numPr>
        <w:spacing w:line="360" w:lineRule="auto"/>
        <w:jc w:val="both"/>
        <w:rPr>
          <w:rFonts w:cs="Arial"/>
          <w:color w:val="000000" w:themeColor="text1"/>
          <w:szCs w:val="22"/>
        </w:rPr>
      </w:pPr>
      <w:r w:rsidRPr="00EA5417">
        <w:rPr>
          <w:rFonts w:cs="Arial"/>
          <w:b/>
          <w:bCs/>
          <w:color w:val="000000" w:themeColor="text1"/>
          <w:szCs w:val="22"/>
        </w:rPr>
        <w:t>Risco de baixa transparência/controle</w:t>
      </w:r>
      <w:r w:rsidRPr="00EA5417">
        <w:rPr>
          <w:rFonts w:cs="Arial"/>
          <w:color w:val="000000" w:themeColor="text1"/>
          <w:szCs w:val="22"/>
        </w:rPr>
        <w:t xml:space="preserve"> e fragilidade de prestação de contas sobre decisões e gastos de TI. </w:t>
      </w:r>
    </w:p>
    <w:p w:rsidRPr="00EA5417" w:rsidR="00EA5417" w:rsidP="00D716B8" w:rsidRDefault="00EA5417" w14:paraId="60406BA8" w14:textId="77777777">
      <w:pPr>
        <w:numPr>
          <w:ilvl w:val="0"/>
          <w:numId w:val="42"/>
        </w:numPr>
        <w:spacing w:line="360" w:lineRule="auto"/>
        <w:jc w:val="both"/>
        <w:rPr>
          <w:rFonts w:cs="Arial"/>
          <w:color w:val="000000" w:themeColor="text1"/>
          <w:szCs w:val="22"/>
        </w:rPr>
      </w:pPr>
      <w:r w:rsidRPr="00EA5417">
        <w:rPr>
          <w:rFonts w:cs="Arial"/>
          <w:b/>
          <w:bCs/>
          <w:color w:val="000000" w:themeColor="text1"/>
          <w:szCs w:val="22"/>
        </w:rPr>
        <w:t>Risco operacional e de continuidade</w:t>
      </w:r>
      <w:r w:rsidRPr="00EA5417">
        <w:rPr>
          <w:rFonts w:cs="Arial"/>
          <w:color w:val="000000" w:themeColor="text1"/>
          <w:szCs w:val="22"/>
        </w:rPr>
        <w:t xml:space="preserve"> (mudanças, configuração, incidentes, continuidade do negócio e de serviços de TI) e </w:t>
      </w:r>
      <w:r w:rsidRPr="00EA5417">
        <w:rPr>
          <w:rFonts w:cs="Arial"/>
          <w:b/>
          <w:bCs/>
          <w:color w:val="000000" w:themeColor="text1"/>
          <w:szCs w:val="22"/>
        </w:rPr>
        <w:t>riscos cibernéticos</w:t>
      </w:r>
      <w:r w:rsidRPr="00EA5417">
        <w:rPr>
          <w:rFonts w:cs="Arial"/>
          <w:color w:val="000000" w:themeColor="text1"/>
          <w:szCs w:val="22"/>
        </w:rPr>
        <w:t xml:space="preserve"> (segurança da informação, acesso, incidentes). </w:t>
      </w:r>
    </w:p>
    <w:p w:rsidRPr="00EA5417" w:rsidR="00EA5417" w:rsidP="00D716B8" w:rsidRDefault="00EA5417" w14:paraId="17F8F9B3" w14:textId="77777777">
      <w:pPr>
        <w:numPr>
          <w:ilvl w:val="0"/>
          <w:numId w:val="42"/>
        </w:numPr>
        <w:spacing w:line="360" w:lineRule="auto"/>
        <w:jc w:val="both"/>
        <w:rPr>
          <w:rFonts w:cs="Arial"/>
          <w:color w:val="000000" w:themeColor="text1"/>
          <w:szCs w:val="22"/>
        </w:rPr>
      </w:pPr>
      <w:r w:rsidRPr="00EA5417">
        <w:rPr>
          <w:rFonts w:cs="Arial"/>
          <w:b/>
          <w:bCs/>
          <w:color w:val="000000" w:themeColor="text1"/>
          <w:szCs w:val="22"/>
        </w:rPr>
        <w:t>Risco de incapacidade instalada insuficiente</w:t>
      </w:r>
      <w:r w:rsidRPr="00EA5417">
        <w:rPr>
          <w:rFonts w:cs="Arial"/>
          <w:color w:val="000000" w:themeColor="text1"/>
          <w:szCs w:val="22"/>
        </w:rPr>
        <w:t xml:space="preserve"> (pessoas, competências, seleção de gestores, dimensionamento), levando a terceirização descontrolada, dependência e falhas de execução. </w:t>
      </w:r>
    </w:p>
    <w:p w:rsidRPr="00EA5417" w:rsidR="00EA5417" w:rsidP="00D716B8" w:rsidRDefault="00EA5417" w14:paraId="3E90E278" w14:textId="77777777">
      <w:pPr>
        <w:numPr>
          <w:ilvl w:val="0"/>
          <w:numId w:val="42"/>
        </w:numPr>
        <w:spacing w:line="360" w:lineRule="auto"/>
        <w:jc w:val="both"/>
        <w:rPr>
          <w:rFonts w:cs="Arial"/>
          <w:color w:val="000000" w:themeColor="text1"/>
          <w:szCs w:val="22"/>
        </w:rPr>
      </w:pPr>
      <w:r w:rsidRPr="00EA5417">
        <w:rPr>
          <w:rFonts w:cs="Arial"/>
          <w:b/>
          <w:bCs/>
          <w:color w:val="000000" w:themeColor="text1"/>
          <w:szCs w:val="22"/>
        </w:rPr>
        <w:t>Risco de contratações inefetivas/ineficientes</w:t>
      </w:r>
      <w:r w:rsidRPr="00EA5417">
        <w:rPr>
          <w:rFonts w:cs="Arial"/>
          <w:color w:val="000000" w:themeColor="text1"/>
          <w:szCs w:val="22"/>
        </w:rPr>
        <w:t xml:space="preserve"> (sem análise de riscos, sem métricas objetivas e sem gestão de prorrogações), com potencial de baixa entrega e baixa mensuração de resultados. </w:t>
      </w:r>
    </w:p>
    <w:p w:rsidRPr="00EA5417" w:rsidR="00EA5417" w:rsidP="00EA5417" w:rsidRDefault="00EA5417" w14:paraId="3BFD98D8" w14:textId="6F04EA61">
      <w:pPr>
        <w:spacing w:line="360" w:lineRule="auto"/>
        <w:ind w:firstLine="708"/>
        <w:jc w:val="both"/>
        <w:rPr>
          <w:rFonts w:cs="Arial"/>
          <w:color w:val="000000" w:themeColor="text1"/>
          <w:szCs w:val="22"/>
        </w:rPr>
      </w:pPr>
    </w:p>
    <w:p w:rsidRPr="00EA5417" w:rsidR="00EA5417" w:rsidP="006D565E" w:rsidRDefault="006D565E" w14:paraId="0ADD691E" w14:textId="2CF0C923">
      <w:pPr>
        <w:pStyle w:val="Ttulo2"/>
      </w:pPr>
      <w:r>
        <w:t>2.2.4.</w:t>
      </w:r>
      <w:r w:rsidRPr="00EA5417" w:rsidR="00EA5417">
        <w:t xml:space="preserve"> O que pode ser aproveitado no iGovTI 2026</w:t>
      </w:r>
    </w:p>
    <w:p w:rsidRPr="00EA5417" w:rsidR="00EA5417" w:rsidP="004B6C35" w:rsidRDefault="00EA5417" w14:paraId="6B1664C9" w14:textId="70E98E8F">
      <w:pPr>
        <w:spacing w:line="360" w:lineRule="auto"/>
        <w:jc w:val="both"/>
        <w:rPr>
          <w:rFonts w:cs="Arial"/>
          <w:b/>
          <w:bCs/>
          <w:color w:val="000000" w:themeColor="text1"/>
          <w:szCs w:val="22"/>
        </w:rPr>
      </w:pPr>
      <w:r w:rsidRPr="00EA5417">
        <w:rPr>
          <w:rFonts w:cs="Arial"/>
          <w:b/>
          <w:bCs/>
          <w:color w:val="000000" w:themeColor="text1"/>
          <w:szCs w:val="22"/>
        </w:rPr>
        <w:t>A decisão de “voltar ao TI-específico” (trade-off muito favorável)</w:t>
      </w:r>
    </w:p>
    <w:p w:rsidRPr="00EA5417" w:rsidR="00EA5417" w:rsidP="00EA5417" w:rsidRDefault="00EA5417" w14:paraId="55255866" w14:textId="77777777">
      <w:pPr>
        <w:spacing w:line="360" w:lineRule="auto"/>
        <w:ind w:firstLine="708"/>
        <w:jc w:val="both"/>
        <w:rPr>
          <w:rFonts w:cs="Arial"/>
          <w:color w:val="000000" w:themeColor="text1"/>
        </w:rPr>
      </w:pPr>
      <w:r w:rsidRPr="0835ADA6">
        <w:rPr>
          <w:rFonts w:cs="Arial"/>
          <w:color w:val="000000" w:themeColor="text1"/>
        </w:rPr>
        <w:t xml:space="preserve">A principal lição estruturante é a que você já capturou: usar o </w:t>
      </w:r>
      <w:proofErr w:type="spellStart"/>
      <w:r w:rsidRPr="0835ADA6">
        <w:rPr>
          <w:rFonts w:cs="Arial"/>
          <w:color w:val="000000" w:themeColor="text1"/>
        </w:rPr>
        <w:t>iGG</w:t>
      </w:r>
      <w:proofErr w:type="spellEnd"/>
      <w:r w:rsidRPr="0835ADA6">
        <w:rPr>
          <w:rFonts w:cs="Arial"/>
          <w:color w:val="000000" w:themeColor="text1"/>
        </w:rPr>
        <w:t xml:space="preserve"> 2021 como referência, mas recortar e reescrever para TI, reduzindo ambiguidade e custo de resposta/análise. Isso está formalizado no próprio material do TCE-PE (seleção das questões iGovTI do </w:t>
      </w:r>
      <w:proofErr w:type="spellStart"/>
      <w:r w:rsidRPr="0835ADA6">
        <w:rPr>
          <w:rFonts w:cs="Arial"/>
          <w:color w:val="000000" w:themeColor="text1"/>
        </w:rPr>
        <w:t>iGG</w:t>
      </w:r>
      <w:proofErr w:type="spellEnd"/>
      <w:r w:rsidRPr="0835ADA6">
        <w:rPr>
          <w:rFonts w:cs="Arial"/>
          <w:color w:val="000000" w:themeColor="text1"/>
        </w:rPr>
        <w:t xml:space="preserve"> 2021 e adaptações para direcionar à TI). </w:t>
      </w:r>
    </w:p>
    <w:p w:rsidRPr="00EA5417" w:rsidR="00EA5417" w:rsidP="00EA5417" w:rsidRDefault="00EA5417" w14:paraId="37764504" w14:textId="77777777">
      <w:pPr>
        <w:spacing w:line="360" w:lineRule="auto"/>
        <w:ind w:firstLine="708"/>
        <w:jc w:val="both"/>
        <w:rPr>
          <w:rFonts w:cs="Arial"/>
          <w:color w:val="000000" w:themeColor="text1"/>
          <w:szCs w:val="22"/>
        </w:rPr>
      </w:pPr>
      <w:r w:rsidRPr="00EA5417">
        <w:rPr>
          <w:rFonts w:cs="Arial"/>
          <w:color w:val="000000" w:themeColor="text1"/>
          <w:szCs w:val="22"/>
        </w:rPr>
        <w:t>Para o TCE-RJ, isso se conecta diretamente à ideia de 2026 com:</w:t>
      </w:r>
    </w:p>
    <w:p w:rsidRPr="00EA5417" w:rsidR="00EA5417" w:rsidP="00D716B8" w:rsidRDefault="00EA5417" w14:paraId="4F427156" w14:textId="77777777">
      <w:pPr>
        <w:numPr>
          <w:ilvl w:val="0"/>
          <w:numId w:val="43"/>
        </w:numPr>
        <w:spacing w:line="360" w:lineRule="auto"/>
        <w:jc w:val="both"/>
        <w:rPr>
          <w:rFonts w:cs="Arial"/>
          <w:color w:val="000000" w:themeColor="text1"/>
          <w:szCs w:val="22"/>
        </w:rPr>
      </w:pPr>
      <w:r w:rsidRPr="00EA5417">
        <w:rPr>
          <w:rFonts w:cs="Arial"/>
          <w:b/>
          <w:bCs/>
          <w:color w:val="000000" w:themeColor="text1"/>
          <w:szCs w:val="22"/>
        </w:rPr>
        <w:t>núcleo comum</w:t>
      </w:r>
      <w:r w:rsidRPr="00EA5417">
        <w:rPr>
          <w:rFonts w:cs="Arial"/>
          <w:color w:val="000000" w:themeColor="text1"/>
          <w:szCs w:val="22"/>
        </w:rPr>
        <w:t xml:space="preserve"> (governança e gestão de TI) e</w:t>
      </w:r>
    </w:p>
    <w:p w:rsidR="00EA5417" w:rsidP="00D716B8" w:rsidRDefault="00EA5417" w14:paraId="4302C3A3" w14:textId="77777777">
      <w:pPr>
        <w:numPr>
          <w:ilvl w:val="0"/>
          <w:numId w:val="43"/>
        </w:numPr>
        <w:spacing w:line="360" w:lineRule="auto"/>
        <w:jc w:val="both"/>
        <w:rPr>
          <w:rFonts w:cs="Arial"/>
          <w:color w:val="000000" w:themeColor="text1"/>
          <w:szCs w:val="22"/>
        </w:rPr>
      </w:pPr>
      <w:r w:rsidRPr="00EA5417">
        <w:rPr>
          <w:rFonts w:cs="Arial"/>
          <w:b/>
          <w:bCs/>
          <w:color w:val="000000" w:themeColor="text1"/>
          <w:szCs w:val="22"/>
        </w:rPr>
        <w:t>módulos por contexto</w:t>
      </w:r>
      <w:r w:rsidRPr="00EA5417">
        <w:rPr>
          <w:rFonts w:cs="Arial"/>
          <w:color w:val="000000" w:themeColor="text1"/>
          <w:szCs w:val="22"/>
        </w:rPr>
        <w:t xml:space="preserve"> (municípios x SETIC), sem “inflar” o núcleo com temas organizacionais genéricos.</w:t>
      </w:r>
    </w:p>
    <w:p w:rsidRPr="00EA5417" w:rsidR="004B6C35" w:rsidP="004B6C35" w:rsidRDefault="004B6C35" w14:paraId="386BAD8C" w14:textId="77777777">
      <w:pPr>
        <w:spacing w:line="360" w:lineRule="auto"/>
        <w:ind w:left="720"/>
        <w:jc w:val="both"/>
        <w:rPr>
          <w:rFonts w:cs="Arial"/>
          <w:color w:val="000000" w:themeColor="text1"/>
          <w:szCs w:val="22"/>
        </w:rPr>
      </w:pPr>
    </w:p>
    <w:p w:rsidRPr="00EA5417" w:rsidR="00EA5417" w:rsidP="004B6C35" w:rsidRDefault="00EA5417" w14:paraId="5C18246C" w14:textId="3B2F49E0">
      <w:pPr>
        <w:spacing w:line="360" w:lineRule="auto"/>
        <w:jc w:val="both"/>
        <w:rPr>
          <w:rFonts w:cs="Arial"/>
          <w:b/>
          <w:bCs/>
          <w:color w:val="000000" w:themeColor="text1"/>
          <w:szCs w:val="22"/>
        </w:rPr>
      </w:pPr>
      <w:r w:rsidRPr="00EA5417">
        <w:rPr>
          <w:rFonts w:cs="Arial"/>
          <w:b/>
          <w:bCs/>
          <w:color w:val="000000" w:themeColor="text1"/>
          <w:szCs w:val="22"/>
        </w:rPr>
        <w:t>Engenharia de questionário “pronta para uso” (melhora qualidade do dado)</w:t>
      </w:r>
    </w:p>
    <w:p w:rsidRPr="00EA5417" w:rsidR="00EA5417" w:rsidP="00EA5417" w:rsidRDefault="00EA5417" w14:paraId="253A25C4" w14:textId="77777777">
      <w:pPr>
        <w:spacing w:line="360" w:lineRule="auto"/>
        <w:ind w:firstLine="708"/>
        <w:jc w:val="both"/>
        <w:rPr>
          <w:rFonts w:cs="Arial"/>
          <w:color w:val="000000" w:themeColor="text1"/>
          <w:szCs w:val="22"/>
        </w:rPr>
      </w:pPr>
      <w:r w:rsidRPr="00EA5417">
        <w:rPr>
          <w:rFonts w:cs="Arial"/>
          <w:color w:val="000000" w:themeColor="text1"/>
          <w:szCs w:val="22"/>
        </w:rPr>
        <w:t>Três elementos do TCE-PE valem copiar quase sem adaptação:</w:t>
      </w:r>
    </w:p>
    <w:p w:rsidRPr="00EA5417" w:rsidR="00EA5417" w:rsidP="00D716B8" w:rsidRDefault="00EA5417" w14:paraId="42C7A493" w14:textId="77777777">
      <w:pPr>
        <w:numPr>
          <w:ilvl w:val="0"/>
          <w:numId w:val="44"/>
        </w:numPr>
        <w:spacing w:line="360" w:lineRule="auto"/>
        <w:jc w:val="both"/>
        <w:rPr>
          <w:rFonts w:cs="Arial"/>
          <w:color w:val="000000" w:themeColor="text1"/>
          <w:szCs w:val="22"/>
        </w:rPr>
      </w:pPr>
      <w:r w:rsidRPr="00EA5417">
        <w:rPr>
          <w:rFonts w:cs="Arial"/>
          <w:b/>
          <w:bCs/>
          <w:color w:val="000000" w:themeColor="text1"/>
          <w:szCs w:val="22"/>
        </w:rPr>
        <w:t>escala com definições operacionais por percentual</w:t>
      </w:r>
      <w:r w:rsidRPr="00EA5417">
        <w:rPr>
          <w:rFonts w:cs="Arial"/>
          <w:color w:val="000000" w:themeColor="text1"/>
          <w:szCs w:val="22"/>
        </w:rPr>
        <w:t xml:space="preserve"> (15%/85%), evitando “adoção parcial” virar resposta “coringa”; </w:t>
      </w:r>
    </w:p>
    <w:p w:rsidRPr="00EA5417" w:rsidR="00EA5417" w:rsidP="00D716B8" w:rsidRDefault="00EA5417" w14:paraId="5043FC7E" w14:textId="77777777">
      <w:pPr>
        <w:numPr>
          <w:ilvl w:val="0"/>
          <w:numId w:val="44"/>
        </w:numPr>
        <w:spacing w:line="360" w:lineRule="auto"/>
        <w:jc w:val="both"/>
        <w:rPr>
          <w:rFonts w:cs="Arial"/>
          <w:color w:val="000000" w:themeColor="text1"/>
          <w:szCs w:val="22"/>
        </w:rPr>
      </w:pPr>
      <w:r w:rsidRPr="00EA5417">
        <w:rPr>
          <w:rFonts w:cs="Arial"/>
          <w:b/>
          <w:bCs/>
          <w:color w:val="000000" w:themeColor="text1"/>
          <w:szCs w:val="22"/>
        </w:rPr>
        <w:t>exigência de evidência</w:t>
      </w:r>
      <w:r w:rsidRPr="00EA5417">
        <w:rPr>
          <w:rFonts w:cs="Arial"/>
          <w:color w:val="000000" w:themeColor="text1"/>
          <w:szCs w:val="22"/>
        </w:rPr>
        <w:t xml:space="preserve"> quando há alegação de adoção; </w:t>
      </w:r>
    </w:p>
    <w:p w:rsidR="00EA5417" w:rsidP="00D716B8" w:rsidRDefault="00EA5417" w14:paraId="65C3329A" w14:textId="77777777">
      <w:pPr>
        <w:numPr>
          <w:ilvl w:val="0"/>
          <w:numId w:val="44"/>
        </w:numPr>
        <w:spacing w:line="360" w:lineRule="auto"/>
        <w:jc w:val="both"/>
        <w:rPr>
          <w:rFonts w:cs="Arial"/>
          <w:color w:val="000000" w:themeColor="text1"/>
          <w:szCs w:val="22"/>
        </w:rPr>
      </w:pPr>
      <w:r w:rsidRPr="00EA5417">
        <w:rPr>
          <w:rFonts w:cs="Arial"/>
          <w:b/>
          <w:bCs/>
          <w:color w:val="000000" w:themeColor="text1"/>
          <w:szCs w:val="22"/>
        </w:rPr>
        <w:t>subitens confirmatórios</w:t>
      </w:r>
      <w:r w:rsidRPr="00EA5417">
        <w:rPr>
          <w:rFonts w:cs="Arial"/>
          <w:color w:val="000000" w:themeColor="text1"/>
          <w:szCs w:val="22"/>
        </w:rPr>
        <w:t xml:space="preserve"> (múltipla escolha) para tornar a resposta mais auditável e reduzir subjetividade. </w:t>
      </w:r>
    </w:p>
    <w:p w:rsidRPr="00EA5417" w:rsidR="004B6C35" w:rsidP="004B6C35" w:rsidRDefault="004B6C35" w14:paraId="01C056BE" w14:textId="77777777">
      <w:pPr>
        <w:spacing w:line="360" w:lineRule="auto"/>
        <w:ind w:left="720"/>
        <w:jc w:val="both"/>
        <w:rPr>
          <w:rFonts w:cs="Arial"/>
          <w:color w:val="000000" w:themeColor="text1"/>
          <w:szCs w:val="22"/>
        </w:rPr>
      </w:pPr>
    </w:p>
    <w:p w:rsidRPr="00EA5417" w:rsidR="00EA5417" w:rsidP="004B6C35" w:rsidRDefault="00EA5417" w14:paraId="1F2A4DD2" w14:textId="7DC3AB3D">
      <w:pPr>
        <w:spacing w:line="360" w:lineRule="auto"/>
        <w:jc w:val="both"/>
        <w:rPr>
          <w:rFonts w:cs="Arial"/>
          <w:b/>
          <w:bCs/>
          <w:color w:val="000000" w:themeColor="text1"/>
          <w:szCs w:val="22"/>
        </w:rPr>
      </w:pPr>
      <w:r w:rsidRPr="00EA5417">
        <w:rPr>
          <w:rFonts w:cs="Arial"/>
          <w:b/>
          <w:bCs/>
          <w:color w:val="000000" w:themeColor="text1"/>
          <w:szCs w:val="22"/>
        </w:rPr>
        <w:t>“Não se aplica” com tipificação (e custo de análise controlado)</w:t>
      </w:r>
    </w:p>
    <w:p w:rsidRPr="00EA5417" w:rsidR="00EA5417" w:rsidP="006D565E" w:rsidRDefault="00EA5417" w14:paraId="3884EF09" w14:textId="239AA2E6">
      <w:pPr>
        <w:spacing w:line="360" w:lineRule="auto"/>
        <w:ind w:firstLine="708"/>
        <w:jc w:val="both"/>
        <w:rPr>
          <w:rFonts w:cs="Arial"/>
          <w:color w:val="000000" w:themeColor="text1"/>
          <w:szCs w:val="22"/>
        </w:rPr>
      </w:pPr>
      <w:r w:rsidRPr="00EA5417">
        <w:rPr>
          <w:rFonts w:cs="Arial"/>
          <w:color w:val="000000" w:themeColor="text1"/>
          <w:szCs w:val="22"/>
        </w:rPr>
        <w:t xml:space="preserve">O desenho de “não se aplica” do TCE-PE é um bom meio-termo: mantém a opção, mas exige justificativas </w:t>
      </w:r>
      <w:r w:rsidRPr="00EA5417">
        <w:rPr>
          <w:rFonts w:cs="Arial"/>
          <w:b/>
          <w:bCs/>
          <w:color w:val="000000" w:themeColor="text1"/>
          <w:szCs w:val="22"/>
        </w:rPr>
        <w:t>tipificadas e verificáveis</w:t>
      </w:r>
      <w:r w:rsidRPr="00EA5417">
        <w:rPr>
          <w:rFonts w:cs="Arial"/>
          <w:color w:val="000000" w:themeColor="text1"/>
          <w:szCs w:val="22"/>
        </w:rPr>
        <w:t xml:space="preserve"> (lei externa, estudo de viabilidade, outras razões), e ainda orienta o que </w:t>
      </w:r>
      <w:r w:rsidRPr="00EA5417">
        <w:rPr>
          <w:rFonts w:cs="Arial"/>
          <w:b/>
          <w:bCs/>
          <w:color w:val="000000" w:themeColor="text1"/>
          <w:szCs w:val="22"/>
        </w:rPr>
        <w:t>não</w:t>
      </w:r>
      <w:r w:rsidRPr="00EA5417">
        <w:rPr>
          <w:rFonts w:cs="Arial"/>
          <w:color w:val="000000" w:themeColor="text1"/>
          <w:szCs w:val="22"/>
        </w:rPr>
        <w:t xml:space="preserve"> é justificativa aceitável. No iGovTI 2026, dá para:</w:t>
      </w:r>
    </w:p>
    <w:p w:rsidRPr="00EA5417" w:rsidR="00EA5417" w:rsidP="00D716B8" w:rsidRDefault="00EA5417" w14:paraId="5ED2F579" w14:textId="77777777">
      <w:pPr>
        <w:numPr>
          <w:ilvl w:val="0"/>
          <w:numId w:val="45"/>
        </w:numPr>
        <w:spacing w:line="360" w:lineRule="auto"/>
        <w:jc w:val="both"/>
        <w:rPr>
          <w:rFonts w:cs="Arial"/>
          <w:color w:val="000000" w:themeColor="text1"/>
          <w:szCs w:val="22"/>
        </w:rPr>
      </w:pPr>
      <w:r w:rsidRPr="00EA5417">
        <w:rPr>
          <w:rFonts w:cs="Arial"/>
          <w:color w:val="000000" w:themeColor="text1"/>
          <w:szCs w:val="22"/>
        </w:rPr>
        <w:t>manter esse modelo (se a equipe quiser preservar N/A), ou</w:t>
      </w:r>
    </w:p>
    <w:p w:rsidRPr="00EA5417" w:rsidR="00EA5417" w:rsidP="00D716B8" w:rsidRDefault="00EA5417" w14:paraId="5E200E8D" w14:textId="77777777">
      <w:pPr>
        <w:numPr>
          <w:ilvl w:val="0"/>
          <w:numId w:val="45"/>
        </w:numPr>
        <w:spacing w:line="360" w:lineRule="auto"/>
        <w:jc w:val="both"/>
        <w:rPr>
          <w:rFonts w:cs="Arial"/>
          <w:color w:val="000000" w:themeColor="text1"/>
          <w:szCs w:val="22"/>
        </w:rPr>
      </w:pPr>
      <w:r w:rsidRPr="00EA5417">
        <w:rPr>
          <w:rFonts w:cs="Arial"/>
          <w:color w:val="000000" w:themeColor="text1"/>
          <w:szCs w:val="22"/>
        </w:rPr>
        <w:t>usar o aprendizado do TCU/</w:t>
      </w:r>
      <w:proofErr w:type="spellStart"/>
      <w:r w:rsidRPr="00EA5417">
        <w:rPr>
          <w:rFonts w:cs="Arial"/>
          <w:color w:val="000000" w:themeColor="text1"/>
          <w:szCs w:val="22"/>
        </w:rPr>
        <w:t>iESGo</w:t>
      </w:r>
      <w:proofErr w:type="spellEnd"/>
      <w:r w:rsidRPr="00EA5417">
        <w:rPr>
          <w:rFonts w:cs="Arial"/>
          <w:color w:val="000000" w:themeColor="text1"/>
          <w:szCs w:val="22"/>
        </w:rPr>
        <w:t xml:space="preserve"> (remover N/A) </w:t>
      </w:r>
      <w:r w:rsidRPr="00EA5417">
        <w:rPr>
          <w:rFonts w:cs="Arial"/>
          <w:b/>
          <w:bCs/>
          <w:color w:val="000000" w:themeColor="text1"/>
          <w:szCs w:val="22"/>
        </w:rPr>
        <w:t>só se</w:t>
      </w:r>
      <w:r w:rsidRPr="00EA5417">
        <w:rPr>
          <w:rFonts w:cs="Arial"/>
          <w:color w:val="000000" w:themeColor="text1"/>
          <w:szCs w:val="22"/>
        </w:rPr>
        <w:t xml:space="preserve"> isso vier acompanhado de alternativa substituta igualmente clara (para não forçar respostas falsas).</w:t>
      </w:r>
    </w:p>
    <w:p w:rsidR="004B6C35" w:rsidP="004B6C35" w:rsidRDefault="004B6C35" w14:paraId="750EE6ED" w14:textId="77777777">
      <w:pPr>
        <w:spacing w:line="360" w:lineRule="auto"/>
        <w:jc w:val="both"/>
        <w:rPr>
          <w:rFonts w:cs="Arial"/>
          <w:b/>
          <w:bCs/>
          <w:color w:val="000000" w:themeColor="text1"/>
          <w:szCs w:val="22"/>
        </w:rPr>
      </w:pPr>
    </w:p>
    <w:p w:rsidRPr="00EA5417" w:rsidR="00EA5417" w:rsidP="004B6C35" w:rsidRDefault="00EA5417" w14:paraId="0EDB3122" w14:textId="383F7241">
      <w:pPr>
        <w:spacing w:line="360" w:lineRule="auto"/>
        <w:jc w:val="both"/>
        <w:rPr>
          <w:rFonts w:cs="Arial"/>
          <w:b/>
          <w:bCs/>
          <w:color w:val="000000" w:themeColor="text1"/>
          <w:szCs w:val="22"/>
        </w:rPr>
      </w:pPr>
      <w:r w:rsidRPr="00EA5417">
        <w:rPr>
          <w:rFonts w:cs="Arial"/>
          <w:b/>
          <w:bCs/>
          <w:color w:val="000000" w:themeColor="text1"/>
          <w:szCs w:val="22"/>
        </w:rPr>
        <w:t>Materiais de apoio como parte do “mecanismo indutor”</w:t>
      </w:r>
    </w:p>
    <w:p w:rsidRPr="00EA5417" w:rsidR="00EA5417" w:rsidP="006D565E" w:rsidRDefault="00EA5417" w14:paraId="198F27B3" w14:textId="6DF2157F">
      <w:pPr>
        <w:spacing w:line="360" w:lineRule="auto"/>
        <w:ind w:firstLine="708"/>
        <w:jc w:val="both"/>
        <w:rPr>
          <w:rFonts w:cs="Arial"/>
          <w:color w:val="000000" w:themeColor="text1"/>
          <w:szCs w:val="22"/>
        </w:rPr>
      </w:pPr>
      <w:r w:rsidRPr="00EA5417">
        <w:rPr>
          <w:rFonts w:cs="Arial"/>
          <w:color w:val="000000" w:themeColor="text1"/>
          <w:szCs w:val="22"/>
        </w:rPr>
        <w:t xml:space="preserve">O TCE-PE trata manual e cartilha como parte do produto do levantamento: não é só coletar dado; é orientar a melhoria (inclusive com </w:t>
      </w:r>
      <w:r w:rsidRPr="00EA5417">
        <w:rPr>
          <w:rFonts w:cs="Arial"/>
          <w:b/>
          <w:bCs/>
          <w:color w:val="000000" w:themeColor="text1"/>
          <w:szCs w:val="22"/>
        </w:rPr>
        <w:t>Relatório Individual de Autoavaliação</w:t>
      </w:r>
      <w:r w:rsidRPr="00EA5417">
        <w:rPr>
          <w:rFonts w:cs="Arial"/>
          <w:color w:val="000000" w:themeColor="text1"/>
          <w:szCs w:val="22"/>
        </w:rPr>
        <w:t>). Para o iGovTI 2026, isso sugere:</w:t>
      </w:r>
    </w:p>
    <w:p w:rsidRPr="00EA5417" w:rsidR="00EA5417" w:rsidP="00D716B8" w:rsidRDefault="00EA5417" w14:paraId="23F2BEB1" w14:textId="77777777">
      <w:pPr>
        <w:numPr>
          <w:ilvl w:val="0"/>
          <w:numId w:val="46"/>
        </w:numPr>
        <w:spacing w:line="360" w:lineRule="auto"/>
        <w:jc w:val="both"/>
        <w:rPr>
          <w:rFonts w:cs="Arial"/>
          <w:color w:val="000000" w:themeColor="text1"/>
          <w:szCs w:val="22"/>
        </w:rPr>
      </w:pPr>
      <w:r w:rsidRPr="00EA5417">
        <w:rPr>
          <w:rFonts w:cs="Arial"/>
          <w:color w:val="000000" w:themeColor="text1"/>
          <w:szCs w:val="22"/>
        </w:rPr>
        <w:t xml:space="preserve">consolidar um </w:t>
      </w:r>
      <w:r w:rsidRPr="00EA5417">
        <w:rPr>
          <w:rFonts w:cs="Arial"/>
          <w:b/>
          <w:bCs/>
          <w:color w:val="000000" w:themeColor="text1"/>
          <w:szCs w:val="22"/>
        </w:rPr>
        <w:t>guia de evidências mínimas</w:t>
      </w:r>
      <w:r w:rsidRPr="00EA5417">
        <w:rPr>
          <w:rFonts w:cs="Arial"/>
          <w:color w:val="000000" w:themeColor="text1"/>
          <w:szCs w:val="22"/>
        </w:rPr>
        <w:t xml:space="preserve"> por questão (o que conta como evidência forte/fraca),</w:t>
      </w:r>
    </w:p>
    <w:p w:rsidRPr="00EA5417" w:rsidR="00EA5417" w:rsidP="00D716B8" w:rsidRDefault="00EA5417" w14:paraId="328A5CC6" w14:textId="77777777">
      <w:pPr>
        <w:numPr>
          <w:ilvl w:val="0"/>
          <w:numId w:val="46"/>
        </w:numPr>
        <w:spacing w:line="360" w:lineRule="auto"/>
        <w:jc w:val="both"/>
        <w:rPr>
          <w:rFonts w:cs="Arial"/>
          <w:color w:val="000000" w:themeColor="text1"/>
          <w:szCs w:val="22"/>
        </w:rPr>
      </w:pPr>
      <w:r w:rsidRPr="00EA5417">
        <w:rPr>
          <w:rFonts w:cs="Arial"/>
          <w:color w:val="000000" w:themeColor="text1"/>
          <w:szCs w:val="22"/>
        </w:rPr>
        <w:t xml:space="preserve">e padronizar o </w:t>
      </w:r>
      <w:r w:rsidRPr="00EA5417">
        <w:rPr>
          <w:rFonts w:cs="Arial"/>
          <w:b/>
          <w:bCs/>
          <w:color w:val="000000" w:themeColor="text1"/>
          <w:szCs w:val="22"/>
        </w:rPr>
        <w:t>relatório individual</w:t>
      </w:r>
      <w:r w:rsidRPr="00EA5417">
        <w:rPr>
          <w:rFonts w:cs="Arial"/>
          <w:color w:val="000000" w:themeColor="text1"/>
          <w:szCs w:val="22"/>
        </w:rPr>
        <w:t xml:space="preserve"> como devolutiva obrigatória (com trilhas de melhoria por perfil).</w:t>
      </w:r>
    </w:p>
    <w:p w:rsidRPr="00EA5417" w:rsidR="00EA5417" w:rsidP="00EA5417" w:rsidRDefault="00EA5417" w14:paraId="0115F4EB" w14:textId="77777777">
      <w:pPr>
        <w:spacing w:line="360" w:lineRule="auto"/>
        <w:ind w:firstLine="708"/>
        <w:jc w:val="both"/>
        <w:rPr>
          <w:rFonts w:cs="Arial"/>
          <w:b/>
          <w:bCs/>
          <w:color w:val="000000" w:themeColor="text1"/>
          <w:szCs w:val="22"/>
        </w:rPr>
      </w:pPr>
      <w:r w:rsidRPr="00EA5417">
        <w:rPr>
          <w:rFonts w:cs="Arial"/>
          <w:b/>
          <w:bCs/>
          <w:color w:val="000000" w:themeColor="text1"/>
          <w:szCs w:val="22"/>
        </w:rPr>
        <w:t>5.5. Bloco “experimental” para temas emergentes (sem mexer no índice)</w:t>
      </w:r>
    </w:p>
    <w:p w:rsidRPr="00EA5417" w:rsidR="00EA5417" w:rsidP="00EA5417" w:rsidRDefault="00EA5417" w14:paraId="42619ECF" w14:textId="77777777">
      <w:pPr>
        <w:spacing w:line="360" w:lineRule="auto"/>
        <w:ind w:firstLine="708"/>
        <w:jc w:val="both"/>
        <w:rPr>
          <w:rFonts w:cs="Arial"/>
          <w:color w:val="000000" w:themeColor="text1"/>
          <w:szCs w:val="22"/>
        </w:rPr>
      </w:pPr>
      <w:r w:rsidRPr="00EA5417">
        <w:rPr>
          <w:rFonts w:cs="Arial"/>
          <w:color w:val="000000" w:themeColor="text1"/>
          <w:szCs w:val="22"/>
        </w:rPr>
        <w:t xml:space="preserve">A estratégia de incluir temas novos fora da pontuação (como sustentabilidade ambiental na TI e IA) é especialmente útil para 2026: permite testar aderência, interpretação e comportamento estatístico </w:t>
      </w:r>
      <w:r w:rsidRPr="00EA5417">
        <w:rPr>
          <w:rFonts w:cs="Arial"/>
          <w:b/>
          <w:bCs/>
          <w:color w:val="000000" w:themeColor="text1"/>
          <w:szCs w:val="22"/>
        </w:rPr>
        <w:t>antes</w:t>
      </w:r>
      <w:r w:rsidRPr="00EA5417">
        <w:rPr>
          <w:rFonts w:cs="Arial"/>
          <w:color w:val="000000" w:themeColor="text1"/>
          <w:szCs w:val="22"/>
        </w:rPr>
        <w:t xml:space="preserve"> de incorporar ao índice/série histórica. </w:t>
      </w:r>
    </w:p>
    <w:p w:rsidR="002511C3" w:rsidRDefault="002511C3" w14:paraId="3035FE1E" w14:textId="77777777">
      <w:pPr>
        <w:spacing w:after="200" w:line="276" w:lineRule="auto"/>
        <w:rPr>
          <w:rFonts w:asciiTheme="majorHAnsi" w:hAnsiTheme="majorHAnsi" w:eastAsiaTheme="majorEastAsia" w:cstheme="majorBidi"/>
          <w:b/>
          <w:bCs/>
          <w:color w:val="365F91" w:themeColor="accent1" w:themeShade="BF"/>
          <w:sz w:val="28"/>
          <w:szCs w:val="28"/>
        </w:rPr>
      </w:pPr>
      <w:r>
        <w:br w:type="page"/>
      </w:r>
    </w:p>
    <w:p w:rsidRPr="004F7713" w:rsidR="00FB2929" w:rsidP="00FB2929" w:rsidRDefault="00CF0947" w14:paraId="0113C1C6" w14:textId="471FF63B">
      <w:pPr>
        <w:pStyle w:val="Ttulo1"/>
      </w:pPr>
      <w:r>
        <w:t xml:space="preserve">2.3. </w:t>
      </w:r>
      <w:r w:rsidRPr="00AE4713" w:rsidR="00AE4713">
        <w:t>Censo do Acompanhamento de Contratações da CAD-TI 2025</w:t>
      </w:r>
    </w:p>
    <w:p w:rsidRPr="00FE4224" w:rsidR="00FE4224" w:rsidP="00FE4224" w:rsidRDefault="00FE4224" w14:paraId="6A682490" w14:textId="77777777">
      <w:pPr>
        <w:spacing w:line="360" w:lineRule="auto"/>
        <w:ind w:firstLine="708"/>
        <w:jc w:val="both"/>
        <w:rPr>
          <w:rFonts w:cs="Arial"/>
          <w:szCs w:val="22"/>
        </w:rPr>
      </w:pPr>
      <w:r w:rsidRPr="00FE4224">
        <w:rPr>
          <w:rFonts w:cs="Arial"/>
          <w:szCs w:val="22"/>
        </w:rPr>
        <w:t>Esta seção consolida a análise do Censo do Acompanhamento de Contratações da CAD-TI (2025), composto por dois questionários (um voltado à esfera municipal e outro à esfera estadual) e por cadernos de análise com a consolidação das respostas. O objetivo é registrar, em nível macro, o que foi avaliado, como o instrumento foi estruturado (dimensões/itens), o que os resultados indicam sobre gargalos e riscos recorrentes em contratações de TIC e quais elementos são reaproveitáveis no iGovTI 2026.</w:t>
      </w:r>
    </w:p>
    <w:p w:rsidRPr="00CB1906" w:rsidR="004A0A34" w:rsidP="004A0A34" w:rsidRDefault="004A0A34" w14:paraId="2695CF60" w14:textId="77259997">
      <w:pPr>
        <w:pStyle w:val="Ttulo2"/>
      </w:pPr>
      <w:r>
        <w:t>2.</w:t>
      </w:r>
      <w:r w:rsidR="00704205">
        <w:t>3</w:t>
      </w:r>
      <w:r>
        <w:t>.</w:t>
      </w:r>
      <w:r w:rsidRPr="00CB1906">
        <w:t>1</w:t>
      </w:r>
      <w:r>
        <w:t>.</w:t>
      </w:r>
      <w:r w:rsidRPr="00CB1906">
        <w:t xml:space="preserve"> Escopo e objetivo do trabalho analisado</w:t>
      </w:r>
    </w:p>
    <w:p w:rsidRPr="00843775" w:rsidR="00843775" w:rsidP="00843775" w:rsidRDefault="00843775" w14:paraId="7746BCE6" w14:textId="77777777">
      <w:pPr>
        <w:spacing w:line="360" w:lineRule="auto"/>
        <w:ind w:firstLine="708"/>
        <w:jc w:val="both"/>
        <w:rPr>
          <w:rFonts w:cs="Arial"/>
          <w:szCs w:val="22"/>
        </w:rPr>
      </w:pPr>
      <w:r w:rsidRPr="00843775">
        <w:rPr>
          <w:rFonts w:cs="Arial"/>
          <w:szCs w:val="22"/>
        </w:rPr>
        <w:t xml:space="preserve">O trabalho foi desenvolvido no contexto do controle concomitante da regularidade dos atos de contratações de TI, com a intenção de melhorar práticas de governança e gestão de TI, priorizando ações pedagógicas, orientativas e consensuais. </w:t>
      </w:r>
    </w:p>
    <w:p w:rsidRPr="00843775" w:rsidR="00843775" w:rsidP="00843775" w:rsidRDefault="00843775" w14:paraId="26B325E7" w14:textId="77777777">
      <w:pPr>
        <w:spacing w:line="360" w:lineRule="auto"/>
        <w:ind w:firstLine="708"/>
        <w:jc w:val="both"/>
        <w:rPr>
          <w:rFonts w:cs="Arial"/>
          <w:szCs w:val="22"/>
        </w:rPr>
      </w:pPr>
      <w:r w:rsidRPr="00843775">
        <w:rPr>
          <w:rFonts w:cs="Arial"/>
          <w:szCs w:val="22"/>
        </w:rPr>
        <w:t xml:space="preserve">No questionário municipal, a CAD-TI explicita que o instrumento visa obter uma visão abrangente dos principais desafios no planejamento e na execução das contratações de TIC, para subsidiar o planejamento de ações futuras da Coordenadoria, ressaltando que o resultado é indicativo, não determinístico. </w:t>
      </w:r>
    </w:p>
    <w:p w:rsidRPr="00843775" w:rsidR="00843775" w:rsidP="00843775" w:rsidRDefault="00843775" w14:paraId="44DD853D" w14:textId="77777777">
      <w:pPr>
        <w:spacing w:line="360" w:lineRule="auto"/>
        <w:ind w:firstLine="708"/>
        <w:jc w:val="both"/>
        <w:rPr>
          <w:rFonts w:cs="Arial"/>
          <w:szCs w:val="22"/>
        </w:rPr>
      </w:pPr>
      <w:r w:rsidRPr="00843775">
        <w:rPr>
          <w:rFonts w:cs="Arial"/>
          <w:szCs w:val="22"/>
        </w:rPr>
        <w:t xml:space="preserve">No questionário estadual, a mensagem de abertura reforça a mesma finalidade: vislumbrar, “em grandes linhas”, os desafios enfrentados no planejamento e execução das contratações de TIC como fonte de dados para definição de ações futuras. </w:t>
      </w:r>
    </w:p>
    <w:p w:rsidRPr="00675AF1" w:rsidR="00675AF1" w:rsidP="00675AF1" w:rsidRDefault="00675AF1" w14:paraId="60220376" w14:textId="0F2B3778">
      <w:pPr>
        <w:pStyle w:val="Ttulo2"/>
      </w:pPr>
      <w:r w:rsidRPr="00675AF1">
        <w:t>2.3</w:t>
      </w:r>
      <w:r w:rsidR="00704205">
        <w:t>.2.</w:t>
      </w:r>
      <w:r w:rsidRPr="00675AF1">
        <w:t xml:space="preserve"> Dimensões avaliadas e questões (visão macro)</w:t>
      </w:r>
    </w:p>
    <w:p w:rsidRPr="00391BB6" w:rsidR="00391BB6" w:rsidP="00391BB6" w:rsidRDefault="00391BB6" w14:paraId="2666C88D" w14:textId="77777777">
      <w:pPr>
        <w:spacing w:line="360" w:lineRule="auto"/>
        <w:ind w:firstLine="708"/>
        <w:jc w:val="both"/>
        <w:rPr>
          <w:rFonts w:cs="Arial"/>
          <w:szCs w:val="22"/>
        </w:rPr>
      </w:pPr>
      <w:r w:rsidRPr="00391BB6">
        <w:rPr>
          <w:rFonts w:cs="Arial"/>
          <w:szCs w:val="22"/>
        </w:rPr>
        <w:t xml:space="preserve">A estrutura dos dois questionários é convergente: </w:t>
      </w:r>
      <w:r w:rsidRPr="00391BB6">
        <w:rPr>
          <w:rFonts w:cs="Arial"/>
          <w:b/>
          <w:bCs/>
          <w:szCs w:val="22"/>
        </w:rPr>
        <w:t>Seção A</w:t>
      </w:r>
      <w:r w:rsidRPr="00391BB6">
        <w:rPr>
          <w:rFonts w:cs="Arial"/>
          <w:szCs w:val="22"/>
        </w:rPr>
        <w:t xml:space="preserve"> (desafios na contratação, capacidade/conhecimento e principais desafios) e </w:t>
      </w:r>
      <w:r w:rsidRPr="00391BB6">
        <w:rPr>
          <w:rFonts w:cs="Arial"/>
          <w:b/>
          <w:bCs/>
          <w:szCs w:val="22"/>
        </w:rPr>
        <w:t>Seção B</w:t>
      </w:r>
      <w:r w:rsidRPr="00391BB6">
        <w:rPr>
          <w:rFonts w:cs="Arial"/>
          <w:szCs w:val="22"/>
        </w:rPr>
        <w:t xml:space="preserve"> (estrutura/papel da TI e maturidade de processos). A versão municipal adiciona perguntas sobre </w:t>
      </w:r>
      <w:r w:rsidRPr="00391BB6">
        <w:rPr>
          <w:rFonts w:cs="Arial"/>
          <w:b/>
          <w:bCs/>
          <w:szCs w:val="22"/>
        </w:rPr>
        <w:t>centralização/descentralização da TI na prefeitura</w:t>
      </w:r>
      <w:r w:rsidRPr="00391BB6">
        <w:rPr>
          <w:rFonts w:cs="Arial"/>
          <w:szCs w:val="22"/>
        </w:rPr>
        <w:t>.</w:t>
      </w:r>
    </w:p>
    <w:p w:rsidRPr="00391BB6" w:rsidR="00391BB6" w:rsidP="00D62C16" w:rsidRDefault="00391BB6" w14:paraId="50289FD7" w14:textId="77777777">
      <w:pPr>
        <w:spacing w:line="360" w:lineRule="auto"/>
        <w:jc w:val="both"/>
        <w:rPr>
          <w:rFonts w:cs="Arial"/>
          <w:b/>
          <w:bCs/>
          <w:szCs w:val="22"/>
        </w:rPr>
      </w:pPr>
      <w:r w:rsidRPr="00391BB6">
        <w:rPr>
          <w:rFonts w:cs="Arial"/>
          <w:b/>
          <w:bCs/>
          <w:szCs w:val="22"/>
        </w:rPr>
        <w:t>A) Seção A — Desafios nas contratações de TIC (ciclo de vida completo)</w:t>
      </w:r>
    </w:p>
    <w:p w:rsidRPr="00391BB6" w:rsidR="00391BB6" w:rsidP="00391BB6" w:rsidRDefault="00391BB6" w14:paraId="4188D40C" w14:textId="77777777">
      <w:pPr>
        <w:spacing w:line="360" w:lineRule="auto"/>
        <w:ind w:firstLine="708"/>
        <w:jc w:val="both"/>
        <w:rPr>
          <w:rFonts w:cs="Arial"/>
          <w:szCs w:val="22"/>
        </w:rPr>
      </w:pPr>
      <w:r w:rsidRPr="00391BB6">
        <w:rPr>
          <w:rFonts w:cs="Arial"/>
          <w:szCs w:val="22"/>
        </w:rPr>
        <w:t xml:space="preserve">A Seção A explicita que trata dos desafios em aquisições de TIC considerando </w:t>
      </w:r>
      <w:r w:rsidRPr="00391BB6">
        <w:rPr>
          <w:rFonts w:cs="Arial"/>
          <w:b/>
          <w:bCs/>
          <w:szCs w:val="22"/>
        </w:rPr>
        <w:t>todo o ciclo de vida</w:t>
      </w:r>
      <w:r w:rsidRPr="00391BB6">
        <w:rPr>
          <w:rFonts w:cs="Arial"/>
          <w:szCs w:val="22"/>
        </w:rPr>
        <w:t xml:space="preserve"> “do levantamento ao encerramento do contrato”. </w:t>
      </w:r>
    </w:p>
    <w:p w:rsidRPr="00391BB6" w:rsidR="00391BB6" w:rsidP="00391BB6" w:rsidRDefault="00391BB6" w14:paraId="3EBB7232" w14:textId="77777777">
      <w:pPr>
        <w:spacing w:line="360" w:lineRule="auto"/>
        <w:ind w:firstLine="708"/>
        <w:jc w:val="both"/>
        <w:rPr>
          <w:rFonts w:cs="Arial"/>
          <w:szCs w:val="22"/>
        </w:rPr>
      </w:pPr>
      <w:r w:rsidRPr="00391BB6">
        <w:rPr>
          <w:rFonts w:cs="Arial"/>
          <w:b/>
          <w:bCs/>
          <w:szCs w:val="22"/>
        </w:rPr>
        <w:t>A1 — “Como isso acontece na prática?” (escala 1–5 de concordância)</w:t>
      </w:r>
      <w:r w:rsidRPr="00391BB6">
        <w:rPr>
          <w:rFonts w:cs="Arial"/>
          <w:szCs w:val="22"/>
        </w:rPr>
        <w:br/>
      </w:r>
      <w:r w:rsidRPr="00391BB6">
        <w:rPr>
          <w:rFonts w:cs="Arial"/>
          <w:szCs w:val="22"/>
        </w:rPr>
        <w:t xml:space="preserve">Conjunto de afirmações para medir condições do processo de contratação, como: clareza do documento de demanda, completude da solução, amplitude do levantamento de alternativas, convergência do levantamento para a solução escolhida, capacidade de custo-benefício, apoio técnico à estimativa de preços, revisão técnica da pesquisa de preços, uso de pagamento por resultados, preparo de competências antes de iniciar, designação de pessoal com conhecimento para fiscalizar, e comparação de resultados com objetivos do planejamento. </w:t>
      </w:r>
    </w:p>
    <w:p w:rsidRPr="00391BB6" w:rsidR="00391BB6" w:rsidP="00391BB6" w:rsidRDefault="00391BB6" w14:paraId="266D6DD8" w14:textId="77777777">
      <w:pPr>
        <w:spacing w:line="360" w:lineRule="auto"/>
        <w:ind w:firstLine="708"/>
        <w:jc w:val="both"/>
        <w:rPr>
          <w:rFonts w:cs="Arial"/>
          <w:szCs w:val="22"/>
        </w:rPr>
      </w:pPr>
      <w:r w:rsidRPr="00391BB6">
        <w:rPr>
          <w:rFonts w:cs="Arial"/>
          <w:b/>
          <w:bCs/>
          <w:szCs w:val="22"/>
        </w:rPr>
        <w:t>A2 — “Capacidade técnica disponível” (escala 1–5 de conhecimento)</w:t>
      </w:r>
      <w:r w:rsidRPr="00391BB6">
        <w:rPr>
          <w:rFonts w:cs="Arial"/>
          <w:szCs w:val="22"/>
        </w:rPr>
        <w:br/>
      </w:r>
      <w:r w:rsidRPr="00391BB6">
        <w:rPr>
          <w:rFonts w:cs="Arial"/>
          <w:szCs w:val="22"/>
        </w:rPr>
        <w:t xml:space="preserve">Autoavaliação do conhecimento da organização para planejar/executar contratações em temas como aquisição/locação de equipamentos (usuário e infraestrutura), desenvolvimento/manutenção de sistemas, licenças, conectividade, outsourcing de impressão, nuvem, testes/monitoramento de segurança, privacidade/LGPD, IoT e BI/IA/dados. </w:t>
      </w:r>
    </w:p>
    <w:p w:rsidRPr="00391BB6" w:rsidR="00391BB6" w:rsidP="00391BB6" w:rsidRDefault="00391BB6" w14:paraId="73F57206" w14:textId="77777777">
      <w:pPr>
        <w:spacing w:line="360" w:lineRule="auto"/>
        <w:ind w:firstLine="708"/>
        <w:jc w:val="both"/>
        <w:rPr>
          <w:rFonts w:cs="Arial"/>
          <w:szCs w:val="22"/>
        </w:rPr>
      </w:pPr>
      <w:r w:rsidRPr="00391BB6">
        <w:rPr>
          <w:rFonts w:cs="Arial"/>
          <w:b/>
          <w:bCs/>
          <w:szCs w:val="22"/>
        </w:rPr>
        <w:t>A3 — “O que é mais desafiador?” (escala 1–5 de desafio)</w:t>
      </w:r>
      <w:r w:rsidRPr="00391BB6">
        <w:rPr>
          <w:rFonts w:cs="Arial"/>
          <w:szCs w:val="22"/>
        </w:rPr>
        <w:br/>
      </w:r>
      <w:r w:rsidRPr="00391BB6">
        <w:rPr>
          <w:rFonts w:cs="Arial"/>
          <w:szCs w:val="22"/>
        </w:rPr>
        <w:t xml:space="preserve">Mede a intensidade dos obstáculos: tempo para definir solução, conhecimentos para levantamento de soluções, custo-benefício, gestão de riscos, especificação do objeto, pesquisa de preços ampla, metas para pagamento por resultados, segurança/privacidade e governança/gestão de serviços. </w:t>
      </w:r>
    </w:p>
    <w:p w:rsidRPr="00391BB6" w:rsidR="00391BB6" w:rsidP="00D62C16" w:rsidRDefault="00391BB6" w14:paraId="4A8C1B0C" w14:textId="77777777">
      <w:pPr>
        <w:spacing w:line="360" w:lineRule="auto"/>
        <w:jc w:val="both"/>
        <w:rPr>
          <w:rFonts w:cs="Arial"/>
          <w:b/>
          <w:bCs/>
          <w:szCs w:val="22"/>
        </w:rPr>
      </w:pPr>
      <w:r w:rsidRPr="00391BB6">
        <w:rPr>
          <w:rFonts w:cs="Arial"/>
          <w:b/>
          <w:bCs/>
          <w:szCs w:val="22"/>
        </w:rPr>
        <w:t>B) Seção B — Estrutura da TI e maturidade de processos (governança operacional)</w:t>
      </w:r>
    </w:p>
    <w:p w:rsidRPr="00391BB6" w:rsidR="00391BB6" w:rsidP="00391BB6" w:rsidRDefault="00391BB6" w14:paraId="7BF66922" w14:textId="794329A4">
      <w:pPr>
        <w:spacing w:line="360" w:lineRule="auto"/>
        <w:ind w:firstLine="708"/>
        <w:jc w:val="both"/>
        <w:rPr>
          <w:rFonts w:cs="Arial"/>
          <w:szCs w:val="22"/>
        </w:rPr>
      </w:pPr>
      <w:r w:rsidRPr="00391BB6">
        <w:rPr>
          <w:rFonts w:cs="Arial"/>
          <w:b/>
          <w:bCs/>
          <w:szCs w:val="22"/>
        </w:rPr>
        <w:t>Versão municipal (prefeituras):</w:t>
      </w:r>
      <w:r w:rsidR="00D62C16">
        <w:rPr>
          <w:rFonts w:cs="Arial"/>
          <w:b/>
          <w:bCs/>
          <w:szCs w:val="22"/>
        </w:rPr>
        <w:t xml:space="preserve"> </w:t>
      </w:r>
      <w:r w:rsidRPr="00391BB6">
        <w:rPr>
          <w:rFonts w:cs="Arial"/>
          <w:szCs w:val="22"/>
        </w:rPr>
        <w:t xml:space="preserve">Inclui diagnóstico de </w:t>
      </w:r>
      <w:r w:rsidRPr="00391BB6">
        <w:rPr>
          <w:rFonts w:cs="Arial"/>
          <w:b/>
          <w:bCs/>
          <w:szCs w:val="22"/>
        </w:rPr>
        <w:t>organização da TI</w:t>
      </w:r>
      <w:r w:rsidRPr="00391BB6">
        <w:rPr>
          <w:rFonts w:cs="Arial"/>
          <w:szCs w:val="22"/>
        </w:rPr>
        <w:t xml:space="preserve"> (grau de centralização/descentralização), identificação de quem presta serviços quando há centralização, e o </w:t>
      </w:r>
      <w:r w:rsidRPr="00391BB6">
        <w:rPr>
          <w:rFonts w:cs="Arial"/>
          <w:b/>
          <w:bCs/>
          <w:szCs w:val="22"/>
        </w:rPr>
        <w:t>papel da TI no planejamento</w:t>
      </w:r>
      <w:r w:rsidRPr="00391BB6">
        <w:rPr>
          <w:rFonts w:cs="Arial"/>
          <w:szCs w:val="22"/>
        </w:rPr>
        <w:t xml:space="preserve"> e na </w:t>
      </w:r>
      <w:r w:rsidRPr="00391BB6">
        <w:rPr>
          <w:rFonts w:cs="Arial"/>
          <w:b/>
          <w:bCs/>
          <w:szCs w:val="22"/>
        </w:rPr>
        <w:t>execução/fiscalização</w:t>
      </w:r>
      <w:r w:rsidRPr="00391BB6">
        <w:rPr>
          <w:rFonts w:cs="Arial"/>
          <w:szCs w:val="22"/>
        </w:rPr>
        <w:t xml:space="preserve"> das contratações. </w:t>
      </w:r>
    </w:p>
    <w:p w:rsidRPr="00391BB6" w:rsidR="00391BB6" w:rsidP="00391BB6" w:rsidRDefault="00391BB6" w14:paraId="34A1A099" w14:textId="42460074">
      <w:pPr>
        <w:spacing w:line="360" w:lineRule="auto"/>
        <w:ind w:firstLine="708"/>
        <w:jc w:val="both"/>
        <w:rPr>
          <w:rFonts w:cs="Arial"/>
          <w:szCs w:val="22"/>
        </w:rPr>
      </w:pPr>
      <w:r w:rsidRPr="00391BB6">
        <w:rPr>
          <w:rFonts w:cs="Arial"/>
          <w:szCs w:val="22"/>
        </w:rPr>
        <w:t xml:space="preserve">Também solicita a avaliação do </w:t>
      </w:r>
      <w:r w:rsidRPr="00391BB6">
        <w:rPr>
          <w:rFonts w:cs="Arial"/>
          <w:b/>
          <w:bCs/>
          <w:szCs w:val="22"/>
        </w:rPr>
        <w:t>nível de maturidade</w:t>
      </w:r>
      <w:r w:rsidRPr="00391BB6">
        <w:rPr>
          <w:rFonts w:cs="Arial"/>
          <w:szCs w:val="22"/>
        </w:rPr>
        <w:t xml:space="preserve"> (1 a 5) de processos de TIC, com definição explícita da escala (de “ad hoc” a “otimizado”), cobrindo: </w:t>
      </w:r>
      <w:proofErr w:type="spellStart"/>
      <w:r w:rsidRPr="00391BB6">
        <w:rPr>
          <w:rFonts w:cs="Arial"/>
          <w:szCs w:val="22"/>
        </w:rPr>
        <w:t>service</w:t>
      </w:r>
      <w:proofErr w:type="spellEnd"/>
      <w:r w:rsidRPr="00391BB6">
        <w:rPr>
          <w:rFonts w:cs="Arial"/>
          <w:szCs w:val="22"/>
        </w:rPr>
        <w:t xml:space="preserve"> </w:t>
      </w:r>
      <w:proofErr w:type="spellStart"/>
      <w:r w:rsidRPr="00391BB6">
        <w:rPr>
          <w:rFonts w:cs="Arial"/>
          <w:szCs w:val="22"/>
        </w:rPr>
        <w:t>desk</w:t>
      </w:r>
      <w:proofErr w:type="spellEnd"/>
      <w:r w:rsidRPr="00391BB6">
        <w:rPr>
          <w:rFonts w:cs="Arial"/>
          <w:szCs w:val="22"/>
        </w:rPr>
        <w:t xml:space="preserve">/incidentes, configuração/ativos, segurança, monitoramento de infraestrutura, recuperação de desastres, desenvolvimento de sistemas e gestão de projetos/portfólio. </w:t>
      </w:r>
    </w:p>
    <w:p w:rsidR="00391BB6" w:rsidP="00391BB6" w:rsidRDefault="00391BB6" w14:paraId="2C30E8BB" w14:textId="186F3026">
      <w:pPr>
        <w:spacing w:line="360" w:lineRule="auto"/>
        <w:ind w:firstLine="708"/>
        <w:jc w:val="both"/>
        <w:rPr>
          <w:rFonts w:cs="Arial"/>
          <w:szCs w:val="22"/>
        </w:rPr>
      </w:pPr>
      <w:r w:rsidRPr="00391BB6">
        <w:rPr>
          <w:rFonts w:cs="Arial"/>
          <w:b/>
          <w:bCs/>
          <w:szCs w:val="22"/>
        </w:rPr>
        <w:t>Versão estadual (órgãos/entidades):</w:t>
      </w:r>
      <w:r w:rsidR="00872554">
        <w:rPr>
          <w:rFonts w:cs="Arial"/>
          <w:b/>
          <w:bCs/>
          <w:szCs w:val="22"/>
        </w:rPr>
        <w:t xml:space="preserve"> </w:t>
      </w:r>
      <w:r w:rsidRPr="00391BB6">
        <w:rPr>
          <w:rFonts w:cs="Arial"/>
          <w:szCs w:val="22"/>
        </w:rPr>
        <w:t xml:space="preserve">Foca no </w:t>
      </w:r>
      <w:r w:rsidRPr="00391BB6">
        <w:rPr>
          <w:rFonts w:cs="Arial"/>
          <w:b/>
          <w:bCs/>
          <w:szCs w:val="22"/>
        </w:rPr>
        <w:t>papel da TI no planejamento</w:t>
      </w:r>
      <w:r w:rsidRPr="00391BB6">
        <w:rPr>
          <w:rFonts w:cs="Arial"/>
          <w:szCs w:val="22"/>
        </w:rPr>
        <w:t xml:space="preserve"> e na </w:t>
      </w:r>
      <w:r w:rsidRPr="00391BB6">
        <w:rPr>
          <w:rFonts w:cs="Arial"/>
          <w:b/>
          <w:bCs/>
          <w:szCs w:val="22"/>
        </w:rPr>
        <w:t>execução</w:t>
      </w:r>
      <w:r w:rsidRPr="00391BB6">
        <w:rPr>
          <w:rFonts w:cs="Arial"/>
          <w:szCs w:val="22"/>
        </w:rPr>
        <w:t xml:space="preserve"> das contratações</w:t>
      </w:r>
      <w:r w:rsidR="00D62C16">
        <w:rPr>
          <w:rFonts w:cs="Arial"/>
          <w:szCs w:val="22"/>
        </w:rPr>
        <w:t xml:space="preserve"> </w:t>
      </w:r>
      <w:r w:rsidRPr="00391BB6">
        <w:rPr>
          <w:rFonts w:cs="Arial"/>
          <w:szCs w:val="22"/>
        </w:rPr>
        <w:t>e mede maturidade de processos de TIC com lógica “executa / não executa” + avaliação de maturidade (1 a 5) nos mesmos processos (</w:t>
      </w:r>
      <w:proofErr w:type="spellStart"/>
      <w:r w:rsidRPr="00391BB6">
        <w:rPr>
          <w:rFonts w:cs="Arial"/>
          <w:szCs w:val="22"/>
        </w:rPr>
        <w:t>service</w:t>
      </w:r>
      <w:proofErr w:type="spellEnd"/>
      <w:r w:rsidRPr="00391BB6">
        <w:rPr>
          <w:rFonts w:cs="Arial"/>
          <w:szCs w:val="22"/>
        </w:rPr>
        <w:t xml:space="preserve"> </w:t>
      </w:r>
      <w:proofErr w:type="spellStart"/>
      <w:r w:rsidRPr="00391BB6">
        <w:rPr>
          <w:rFonts w:cs="Arial"/>
          <w:szCs w:val="22"/>
        </w:rPr>
        <w:t>desk</w:t>
      </w:r>
      <w:proofErr w:type="spellEnd"/>
      <w:r w:rsidRPr="00391BB6">
        <w:rPr>
          <w:rFonts w:cs="Arial"/>
          <w:szCs w:val="22"/>
        </w:rPr>
        <w:t xml:space="preserve">, ativos, segurança, monitoramento, recuperação, desenvolvimento e projetos/portfólio). </w:t>
      </w:r>
    </w:p>
    <w:p w:rsidRPr="00704205" w:rsidR="00704205" w:rsidP="00704205" w:rsidRDefault="00704205" w14:paraId="59ECA21B" w14:textId="79092813">
      <w:pPr>
        <w:pStyle w:val="Ttulo2"/>
      </w:pPr>
      <w:r w:rsidRPr="00704205">
        <w:t>2.</w:t>
      </w:r>
      <w:r>
        <w:t>3.3.</w:t>
      </w:r>
      <w:r w:rsidRPr="00704205">
        <w:t xml:space="preserve"> Resultados da pesquisa e principais riscos encontrados (síntese)</w:t>
      </w:r>
    </w:p>
    <w:p w:rsidRPr="000E10DD" w:rsidR="000E10DD" w:rsidP="000E10DD" w:rsidRDefault="000E10DD" w14:paraId="1EA548E0" w14:textId="77777777">
      <w:pPr>
        <w:spacing w:line="360" w:lineRule="auto"/>
        <w:jc w:val="both"/>
        <w:rPr>
          <w:rFonts w:cs="Arial"/>
          <w:szCs w:val="22"/>
        </w:rPr>
      </w:pPr>
      <w:r w:rsidRPr="000E10DD">
        <w:rPr>
          <w:rFonts w:cs="Arial"/>
          <w:b/>
          <w:bCs/>
          <w:szCs w:val="22"/>
        </w:rPr>
        <w:t>Base analisada (cadernos de análise):</w:t>
      </w:r>
    </w:p>
    <w:p w:rsidRPr="000E10DD" w:rsidR="000E10DD" w:rsidP="00D716B8" w:rsidRDefault="000E10DD" w14:paraId="45E97445" w14:textId="77777777">
      <w:pPr>
        <w:numPr>
          <w:ilvl w:val="0"/>
          <w:numId w:val="21"/>
        </w:numPr>
        <w:spacing w:line="360" w:lineRule="auto"/>
        <w:jc w:val="both"/>
        <w:rPr>
          <w:rFonts w:cs="Arial"/>
          <w:szCs w:val="22"/>
        </w:rPr>
      </w:pPr>
      <w:r w:rsidRPr="000E10DD">
        <w:rPr>
          <w:rFonts w:cs="Arial"/>
          <w:b/>
          <w:bCs/>
          <w:szCs w:val="22"/>
        </w:rPr>
        <w:t>Esfera municipal:</w:t>
      </w:r>
      <w:r w:rsidRPr="000E10DD">
        <w:rPr>
          <w:rFonts w:cs="Arial"/>
          <w:szCs w:val="22"/>
        </w:rPr>
        <w:t xml:space="preserve"> 88 respostas.</w:t>
      </w:r>
    </w:p>
    <w:p w:rsidRPr="000E10DD" w:rsidR="000E10DD" w:rsidP="00D716B8" w:rsidRDefault="000E10DD" w14:paraId="281E4C11" w14:textId="77777777">
      <w:pPr>
        <w:numPr>
          <w:ilvl w:val="0"/>
          <w:numId w:val="21"/>
        </w:numPr>
        <w:spacing w:line="360" w:lineRule="auto"/>
        <w:jc w:val="both"/>
        <w:rPr>
          <w:rFonts w:cs="Arial"/>
          <w:szCs w:val="22"/>
        </w:rPr>
      </w:pPr>
      <w:r w:rsidRPr="000E10DD">
        <w:rPr>
          <w:rFonts w:cs="Arial"/>
          <w:b/>
          <w:bCs/>
          <w:szCs w:val="22"/>
        </w:rPr>
        <w:t>Esfera estadual:</w:t>
      </w:r>
      <w:r w:rsidRPr="000E10DD">
        <w:rPr>
          <w:rFonts w:cs="Arial"/>
          <w:szCs w:val="22"/>
        </w:rPr>
        <w:t xml:space="preserve"> 14 respostas.</w:t>
      </w:r>
    </w:p>
    <w:p w:rsidR="00704205" w:rsidP="00391BB6" w:rsidRDefault="00704205" w14:paraId="0ED428C9" w14:textId="77777777">
      <w:pPr>
        <w:spacing w:line="360" w:lineRule="auto"/>
        <w:ind w:firstLine="708"/>
        <w:jc w:val="both"/>
        <w:rPr>
          <w:rFonts w:cs="Arial"/>
          <w:szCs w:val="22"/>
        </w:rPr>
      </w:pPr>
    </w:p>
    <w:p w:rsidRPr="000E10DD" w:rsidR="000E10DD" w:rsidP="000E10DD" w:rsidRDefault="000E10DD" w14:paraId="2DC3A452" w14:textId="57901616">
      <w:pPr>
        <w:spacing w:line="360" w:lineRule="auto"/>
        <w:jc w:val="both"/>
        <w:rPr>
          <w:rFonts w:cs="Arial"/>
          <w:b/>
          <w:bCs/>
          <w:szCs w:val="22"/>
        </w:rPr>
      </w:pPr>
      <w:r w:rsidRPr="000E10DD">
        <w:rPr>
          <w:rFonts w:cs="Arial"/>
          <w:b/>
          <w:bCs/>
          <w:szCs w:val="22"/>
        </w:rPr>
        <w:t>Padrões observados — esfera municipal</w:t>
      </w:r>
    </w:p>
    <w:p w:rsidRPr="000E10DD" w:rsidR="000E10DD" w:rsidP="00471310" w:rsidRDefault="000E10DD" w14:paraId="45839CA7" w14:textId="77777777">
      <w:pPr>
        <w:spacing w:line="360" w:lineRule="auto"/>
        <w:jc w:val="both"/>
        <w:rPr>
          <w:rFonts w:cs="Arial"/>
          <w:szCs w:val="22"/>
        </w:rPr>
      </w:pPr>
      <w:r w:rsidRPr="000E10DD">
        <w:rPr>
          <w:rFonts w:cs="Arial"/>
          <w:b/>
          <w:bCs/>
          <w:szCs w:val="22"/>
        </w:rPr>
        <w:t>Estrutura e papel da TI nas contratações</w:t>
      </w:r>
    </w:p>
    <w:p w:rsidRPr="000E10DD" w:rsidR="000E10DD" w:rsidP="00D716B8" w:rsidRDefault="000E10DD" w14:paraId="651D9BB7" w14:textId="77777777">
      <w:pPr>
        <w:numPr>
          <w:ilvl w:val="0"/>
          <w:numId w:val="22"/>
        </w:numPr>
        <w:spacing w:line="360" w:lineRule="auto"/>
        <w:jc w:val="both"/>
        <w:rPr>
          <w:rFonts w:cs="Arial"/>
          <w:szCs w:val="22"/>
        </w:rPr>
      </w:pPr>
      <w:r w:rsidRPr="000E10DD">
        <w:rPr>
          <w:rFonts w:cs="Arial"/>
          <w:szCs w:val="22"/>
        </w:rPr>
        <w:t>Predomina um modelo parcialmente centralizado (muitas secretarias com TI própria em paralelo), e há casos de ausência de área responsável por TI.</w:t>
      </w:r>
    </w:p>
    <w:p w:rsidRPr="000E10DD" w:rsidR="000E10DD" w:rsidP="00D716B8" w:rsidRDefault="000E10DD" w14:paraId="3BEBAEA5" w14:textId="77777777">
      <w:pPr>
        <w:numPr>
          <w:ilvl w:val="0"/>
          <w:numId w:val="22"/>
        </w:numPr>
        <w:spacing w:line="360" w:lineRule="auto"/>
        <w:jc w:val="both"/>
        <w:rPr>
          <w:rFonts w:cs="Arial"/>
          <w:szCs w:val="22"/>
        </w:rPr>
      </w:pPr>
      <w:r w:rsidRPr="000E10DD">
        <w:rPr>
          <w:rFonts w:cs="Arial"/>
          <w:szCs w:val="22"/>
        </w:rPr>
        <w:t>Na fase de planejamento, a TI aparece majoritariamente como apoio técnico, com poucos casos em que é responsável por conduzir integralmente a fase (planejamento).</w:t>
      </w:r>
    </w:p>
    <w:p w:rsidRPr="000E10DD" w:rsidR="000E10DD" w:rsidP="00D716B8" w:rsidRDefault="000E10DD" w14:paraId="5B97D0BF" w14:textId="77777777">
      <w:pPr>
        <w:numPr>
          <w:ilvl w:val="0"/>
          <w:numId w:val="22"/>
        </w:numPr>
        <w:spacing w:line="360" w:lineRule="auto"/>
        <w:jc w:val="both"/>
        <w:rPr>
          <w:rFonts w:cs="Arial"/>
          <w:szCs w:val="22"/>
        </w:rPr>
      </w:pPr>
      <w:r w:rsidRPr="0835ADA6">
        <w:rPr>
          <w:rFonts w:cs="Arial"/>
        </w:rPr>
        <w:t>Na execução/fiscalização, a TI aparece mais frequentemente como parte técnica da fiscalização ou como apoio, com menor incidência de responsabilidade integral pela gestão/fiscalização.</w:t>
      </w:r>
    </w:p>
    <w:p w:rsidR="0835ADA6" w:rsidP="0835ADA6" w:rsidRDefault="0835ADA6" w14:paraId="6B8654A4" w14:textId="1A16CB57">
      <w:pPr>
        <w:spacing w:line="360" w:lineRule="auto"/>
        <w:ind w:left="720"/>
        <w:jc w:val="both"/>
        <w:rPr>
          <w:rFonts w:cs="Arial"/>
        </w:rPr>
      </w:pPr>
    </w:p>
    <w:p w:rsidRPr="000E10DD" w:rsidR="000E10DD" w:rsidP="00471310" w:rsidRDefault="000E10DD" w14:paraId="6A30234C" w14:textId="77777777">
      <w:pPr>
        <w:spacing w:line="360" w:lineRule="auto"/>
        <w:jc w:val="both"/>
        <w:rPr>
          <w:rFonts w:cs="Arial"/>
          <w:szCs w:val="22"/>
        </w:rPr>
      </w:pPr>
      <w:r w:rsidRPr="000E10DD">
        <w:rPr>
          <w:rFonts w:cs="Arial"/>
          <w:b/>
          <w:bCs/>
          <w:szCs w:val="22"/>
        </w:rPr>
        <w:t>Processos de TIC</w:t>
      </w:r>
    </w:p>
    <w:p w:rsidRPr="000E10DD" w:rsidR="000E10DD" w:rsidP="00D716B8" w:rsidRDefault="000E10DD" w14:paraId="53C71ABC" w14:textId="77777777">
      <w:pPr>
        <w:numPr>
          <w:ilvl w:val="0"/>
          <w:numId w:val="23"/>
        </w:numPr>
        <w:spacing w:line="360" w:lineRule="auto"/>
        <w:jc w:val="both"/>
        <w:rPr>
          <w:rFonts w:cs="Arial"/>
          <w:szCs w:val="22"/>
        </w:rPr>
      </w:pPr>
      <w:r w:rsidRPr="0835ADA6">
        <w:rPr>
          <w:rFonts w:cs="Arial"/>
        </w:rPr>
        <w:t xml:space="preserve">A maturidade média relatada é baixa-moderada (próxima aos níveis 2 e 3), com pontos mais fracos em desenvolvimento de sistemas e gestão de projetos/portfólio, e fragilidades relevantes em segurança, ativos/configuração e recuperação de desastres (em linha com a escala de maturidade adotada). </w:t>
      </w:r>
    </w:p>
    <w:p w:rsidR="0835ADA6" w:rsidP="00D716B8" w:rsidRDefault="0835ADA6" w14:paraId="150C0AA8" w14:textId="40A942B4">
      <w:pPr>
        <w:numPr>
          <w:ilvl w:val="0"/>
          <w:numId w:val="23"/>
        </w:numPr>
        <w:spacing w:line="360" w:lineRule="auto"/>
        <w:jc w:val="both"/>
        <w:rPr>
          <w:rFonts w:cs="Arial"/>
        </w:rPr>
      </w:pPr>
    </w:p>
    <w:p w:rsidRPr="000E10DD" w:rsidR="000E10DD" w:rsidP="00471310" w:rsidRDefault="000E10DD" w14:paraId="3EDDC04C" w14:textId="77777777">
      <w:pPr>
        <w:spacing w:line="360" w:lineRule="auto"/>
        <w:jc w:val="both"/>
        <w:rPr>
          <w:rFonts w:cs="Arial"/>
          <w:szCs w:val="22"/>
        </w:rPr>
      </w:pPr>
      <w:r w:rsidRPr="000E10DD">
        <w:rPr>
          <w:rFonts w:cs="Arial"/>
          <w:b/>
          <w:bCs/>
          <w:szCs w:val="22"/>
        </w:rPr>
        <w:t>Contratações (A1/A2/A3)</w:t>
      </w:r>
    </w:p>
    <w:p w:rsidRPr="000E10DD" w:rsidR="000E10DD" w:rsidP="00D716B8" w:rsidRDefault="000E10DD" w14:paraId="5C26F175" w14:textId="77777777">
      <w:pPr>
        <w:numPr>
          <w:ilvl w:val="0"/>
          <w:numId w:val="24"/>
        </w:numPr>
        <w:spacing w:line="360" w:lineRule="auto"/>
        <w:jc w:val="both"/>
        <w:rPr>
          <w:rFonts w:cs="Arial"/>
          <w:szCs w:val="22"/>
        </w:rPr>
      </w:pPr>
      <w:r w:rsidRPr="000E10DD">
        <w:rPr>
          <w:rFonts w:cs="Arial"/>
          <w:szCs w:val="22"/>
        </w:rPr>
        <w:t>Em A1 (concordância), os itens mais frágeis tendem a se concentrar em: revisão técnica da pesquisa de preços pela TI, pagamento por resultados e ações de capacitação antes do início.</w:t>
      </w:r>
    </w:p>
    <w:p w:rsidRPr="000E10DD" w:rsidR="000E10DD" w:rsidP="00D716B8" w:rsidRDefault="000E10DD" w14:paraId="5D0A0B24" w14:textId="77777777">
      <w:pPr>
        <w:numPr>
          <w:ilvl w:val="0"/>
          <w:numId w:val="24"/>
        </w:numPr>
        <w:spacing w:line="360" w:lineRule="auto"/>
        <w:jc w:val="both"/>
        <w:rPr>
          <w:rFonts w:cs="Arial"/>
          <w:szCs w:val="22"/>
        </w:rPr>
      </w:pPr>
      <w:r w:rsidRPr="000E10DD">
        <w:rPr>
          <w:rFonts w:cs="Arial"/>
          <w:szCs w:val="22"/>
        </w:rPr>
        <w:t xml:space="preserve">Em A2 (conhecimento), os menores níveis se concentram em temas mais especializados: BI/IA/dados, IoT, testes/monitoramento de segurança, privacidade/LGPD e nuvem. </w:t>
      </w:r>
    </w:p>
    <w:p w:rsidRPr="000E10DD" w:rsidR="000E10DD" w:rsidP="00D716B8" w:rsidRDefault="000E10DD" w14:paraId="5308E667" w14:textId="77777777">
      <w:pPr>
        <w:numPr>
          <w:ilvl w:val="0"/>
          <w:numId w:val="24"/>
        </w:numPr>
        <w:spacing w:line="360" w:lineRule="auto"/>
        <w:jc w:val="both"/>
        <w:rPr>
          <w:rFonts w:cs="Arial"/>
          <w:szCs w:val="22"/>
        </w:rPr>
      </w:pPr>
      <w:r w:rsidRPr="000E10DD">
        <w:rPr>
          <w:rFonts w:cs="Arial"/>
          <w:szCs w:val="22"/>
        </w:rPr>
        <w:t xml:space="preserve">Em A3 (desafio), o fator mais crítico aparece como tempo adequado para definição da melhor solução, seguido de lacunas em pagamento por resultados e análises econômico-financeiras (custo-benefício). </w:t>
      </w:r>
    </w:p>
    <w:p w:rsidR="00471310" w:rsidP="00471310" w:rsidRDefault="00471310" w14:paraId="55008067" w14:textId="77777777">
      <w:pPr>
        <w:spacing w:line="360" w:lineRule="auto"/>
        <w:jc w:val="both"/>
        <w:rPr>
          <w:rFonts w:cs="Arial"/>
          <w:b/>
          <w:bCs/>
          <w:szCs w:val="22"/>
        </w:rPr>
      </w:pPr>
    </w:p>
    <w:p w:rsidRPr="000E10DD" w:rsidR="000E10DD" w:rsidP="00471310" w:rsidRDefault="000E10DD" w14:paraId="06D53B71" w14:textId="2D5FF32B">
      <w:pPr>
        <w:spacing w:line="360" w:lineRule="auto"/>
        <w:jc w:val="both"/>
        <w:rPr>
          <w:rFonts w:cs="Arial"/>
          <w:b/>
          <w:bCs/>
          <w:szCs w:val="22"/>
        </w:rPr>
      </w:pPr>
      <w:r w:rsidRPr="000E10DD">
        <w:rPr>
          <w:rFonts w:cs="Arial"/>
          <w:b/>
          <w:bCs/>
          <w:szCs w:val="22"/>
        </w:rPr>
        <w:t>Padrões observados — esfera estadual (14)</w:t>
      </w:r>
    </w:p>
    <w:p w:rsidRPr="000E10DD" w:rsidR="000E10DD" w:rsidP="00D716B8" w:rsidRDefault="000E10DD" w14:paraId="3D561FC3" w14:textId="77777777">
      <w:pPr>
        <w:numPr>
          <w:ilvl w:val="0"/>
          <w:numId w:val="25"/>
        </w:numPr>
        <w:spacing w:line="360" w:lineRule="auto"/>
        <w:jc w:val="both"/>
        <w:rPr>
          <w:rFonts w:cs="Arial"/>
          <w:szCs w:val="22"/>
        </w:rPr>
      </w:pPr>
      <w:r w:rsidRPr="0835ADA6">
        <w:rPr>
          <w:rFonts w:cs="Arial"/>
        </w:rPr>
        <w:t xml:space="preserve">O papel da TI aparece mais robusto: com maior frequência a TI declara ser </w:t>
      </w:r>
      <w:r w:rsidRPr="0835ADA6">
        <w:rPr>
          <w:rFonts w:cs="Arial"/>
          <w:b/>
        </w:rPr>
        <w:t>responsável pela condução do planejamento</w:t>
      </w:r>
      <w:r w:rsidRPr="0835ADA6">
        <w:rPr>
          <w:rFonts w:cs="Arial"/>
        </w:rPr>
        <w:t xml:space="preserve"> e pela </w:t>
      </w:r>
      <w:r w:rsidRPr="0835ADA6">
        <w:rPr>
          <w:rFonts w:cs="Arial"/>
          <w:b/>
        </w:rPr>
        <w:t>gestão/fiscalização</w:t>
      </w:r>
      <w:r w:rsidRPr="0835ADA6">
        <w:rPr>
          <w:rFonts w:cs="Arial"/>
        </w:rPr>
        <w:t xml:space="preserve"> dos contratos (comparativamente à esfera municipal). </w:t>
      </w:r>
    </w:p>
    <w:p w:rsidRPr="000E10DD" w:rsidR="000E10DD" w:rsidP="00D716B8" w:rsidRDefault="000E10DD" w14:paraId="18549219" w14:textId="77777777">
      <w:pPr>
        <w:numPr>
          <w:ilvl w:val="0"/>
          <w:numId w:val="25"/>
        </w:numPr>
        <w:spacing w:line="360" w:lineRule="auto"/>
        <w:jc w:val="both"/>
        <w:rPr>
          <w:rFonts w:cs="Arial"/>
          <w:szCs w:val="22"/>
        </w:rPr>
      </w:pPr>
      <w:r w:rsidRPr="0835ADA6">
        <w:rPr>
          <w:rFonts w:cs="Arial"/>
        </w:rPr>
        <w:t xml:space="preserve">A maturidade média informada tende a ser superior </w:t>
      </w:r>
      <w:proofErr w:type="gramStart"/>
      <w:r w:rsidRPr="0835ADA6">
        <w:rPr>
          <w:rFonts w:cs="Arial"/>
        </w:rPr>
        <w:t>à</w:t>
      </w:r>
      <w:proofErr w:type="gramEnd"/>
      <w:r w:rsidRPr="0835ADA6">
        <w:rPr>
          <w:rFonts w:cs="Arial"/>
        </w:rPr>
        <w:t xml:space="preserve"> municipal, com maior consistência de processos executados; ainda assim, </w:t>
      </w:r>
      <w:r w:rsidRPr="0835ADA6">
        <w:rPr>
          <w:rFonts w:cs="Arial"/>
          <w:b/>
        </w:rPr>
        <w:t>gestão de projetos/portfólio</w:t>
      </w:r>
      <w:r w:rsidRPr="0835ADA6">
        <w:rPr>
          <w:rFonts w:cs="Arial"/>
        </w:rPr>
        <w:t xml:space="preserve"> permanece como ponto mais vulnerável (inclusive com casos declarados como “não executa”). </w:t>
      </w:r>
    </w:p>
    <w:p w:rsidR="008F76DE" w:rsidP="008F76DE" w:rsidRDefault="008F76DE" w14:paraId="4EBB74E5" w14:textId="77777777">
      <w:pPr>
        <w:spacing w:line="360" w:lineRule="auto"/>
        <w:jc w:val="both"/>
        <w:rPr>
          <w:rFonts w:cs="Arial"/>
          <w:b/>
          <w:bCs/>
          <w:szCs w:val="22"/>
        </w:rPr>
      </w:pPr>
    </w:p>
    <w:p w:rsidRPr="000E10DD" w:rsidR="000E10DD" w:rsidP="008F76DE" w:rsidRDefault="000E10DD" w14:paraId="5C65C705" w14:textId="1D152E67">
      <w:pPr>
        <w:spacing w:line="360" w:lineRule="auto"/>
        <w:jc w:val="both"/>
        <w:rPr>
          <w:rFonts w:cs="Arial"/>
          <w:b/>
          <w:bCs/>
          <w:szCs w:val="22"/>
        </w:rPr>
      </w:pPr>
      <w:r w:rsidRPr="000E10DD">
        <w:rPr>
          <w:rFonts w:cs="Arial"/>
          <w:b/>
          <w:bCs/>
          <w:szCs w:val="22"/>
        </w:rPr>
        <w:t>Principais riscos (derivados dos padrões do questionário e das respostas)</w:t>
      </w:r>
    </w:p>
    <w:p w:rsidRPr="000E10DD" w:rsidR="000E10DD" w:rsidP="00D716B8" w:rsidRDefault="000E10DD" w14:paraId="4790FB49" w14:textId="77777777">
      <w:pPr>
        <w:numPr>
          <w:ilvl w:val="0"/>
          <w:numId w:val="26"/>
        </w:numPr>
        <w:spacing w:line="360" w:lineRule="auto"/>
        <w:jc w:val="both"/>
        <w:rPr>
          <w:rFonts w:cs="Arial"/>
          <w:szCs w:val="22"/>
        </w:rPr>
      </w:pPr>
      <w:r w:rsidRPr="000E10DD">
        <w:rPr>
          <w:rFonts w:cs="Arial"/>
          <w:b/>
          <w:bCs/>
          <w:szCs w:val="22"/>
        </w:rPr>
        <w:t>Risco de especificação inadequada e desalinhamento da solução</w:t>
      </w:r>
      <w:r w:rsidRPr="000E10DD">
        <w:rPr>
          <w:rFonts w:cs="Arial"/>
          <w:szCs w:val="22"/>
        </w:rPr>
        <w:t>: fragilidades em levantamento de alternativas, custo-benefício e tempo de planejamento aumentam probabilidade de objeto mal definido, aditivos recorrentes e baixa entrega de valor.</w:t>
      </w:r>
    </w:p>
    <w:p w:rsidRPr="000E10DD" w:rsidR="000E10DD" w:rsidP="00D716B8" w:rsidRDefault="000E10DD" w14:paraId="2004EBA6" w14:textId="77777777">
      <w:pPr>
        <w:numPr>
          <w:ilvl w:val="0"/>
          <w:numId w:val="26"/>
        </w:numPr>
        <w:spacing w:line="360" w:lineRule="auto"/>
        <w:jc w:val="both"/>
        <w:rPr>
          <w:rFonts w:cs="Arial"/>
          <w:szCs w:val="22"/>
        </w:rPr>
      </w:pPr>
      <w:r w:rsidRPr="000E10DD">
        <w:rPr>
          <w:rFonts w:cs="Arial"/>
          <w:b/>
          <w:bCs/>
          <w:szCs w:val="22"/>
        </w:rPr>
        <w:t>Risco de sobrepreço / estimativa de preços frágil</w:t>
      </w:r>
      <w:r w:rsidRPr="000E10DD">
        <w:rPr>
          <w:rFonts w:cs="Arial"/>
          <w:szCs w:val="22"/>
        </w:rPr>
        <w:t xml:space="preserve">: quando há baixa revisão técnica da pesquisa de preços pela TI e dependência de áreas não técnicas, aumenta risco de pesquisa limitada e precificação inadequada. </w:t>
      </w:r>
    </w:p>
    <w:p w:rsidRPr="000E10DD" w:rsidR="000E10DD" w:rsidP="000E10DD" w:rsidRDefault="000E10DD" w14:paraId="77D107C2" w14:textId="77777777">
      <w:pPr>
        <w:spacing w:line="360" w:lineRule="auto"/>
        <w:ind w:firstLine="708"/>
        <w:jc w:val="both"/>
        <w:rPr>
          <w:rFonts w:cs="Arial"/>
          <w:szCs w:val="22"/>
        </w:rPr>
      </w:pPr>
      <w:r w:rsidRPr="000E10DD">
        <w:rPr>
          <w:rFonts w:cs="Arial"/>
          <w:szCs w:val="22"/>
        </w:rPr>
        <w:t>Questionário - Desafios de TIC …</w:t>
      </w:r>
    </w:p>
    <w:p w:rsidRPr="000E10DD" w:rsidR="000E10DD" w:rsidP="00D716B8" w:rsidRDefault="000E10DD" w14:paraId="2923901E" w14:textId="77777777">
      <w:pPr>
        <w:numPr>
          <w:ilvl w:val="0"/>
          <w:numId w:val="26"/>
        </w:numPr>
        <w:spacing w:line="360" w:lineRule="auto"/>
        <w:jc w:val="both"/>
        <w:rPr>
          <w:rFonts w:cs="Arial"/>
          <w:szCs w:val="22"/>
        </w:rPr>
      </w:pPr>
      <w:r w:rsidRPr="000E10DD">
        <w:rPr>
          <w:rFonts w:cs="Arial"/>
          <w:b/>
          <w:bCs/>
          <w:szCs w:val="22"/>
        </w:rPr>
        <w:t>Risco de contratos sem gestão por desempenho</w:t>
      </w:r>
      <w:r w:rsidRPr="000E10DD">
        <w:rPr>
          <w:rFonts w:cs="Arial"/>
          <w:szCs w:val="22"/>
        </w:rPr>
        <w:t>: baixo uso de pagamento por resultados e dificuldade de definir metas/</w:t>
      </w:r>
      <w:proofErr w:type="spellStart"/>
      <w:r w:rsidRPr="000E10DD">
        <w:rPr>
          <w:rFonts w:cs="Arial"/>
          <w:szCs w:val="22"/>
        </w:rPr>
        <w:t>SLAs</w:t>
      </w:r>
      <w:proofErr w:type="spellEnd"/>
      <w:r w:rsidRPr="000E10DD">
        <w:rPr>
          <w:rFonts w:cs="Arial"/>
          <w:szCs w:val="22"/>
        </w:rPr>
        <w:t xml:space="preserve"> elevam risco de contratos “por esforço”, com baixa efetividade e fraca responsabilização do fornecedor.</w:t>
      </w:r>
    </w:p>
    <w:p w:rsidRPr="000E10DD" w:rsidR="000E10DD" w:rsidP="00D716B8" w:rsidRDefault="000E10DD" w14:paraId="545CA571" w14:textId="0645490C">
      <w:pPr>
        <w:numPr>
          <w:ilvl w:val="0"/>
          <w:numId w:val="26"/>
        </w:numPr>
        <w:spacing w:line="360" w:lineRule="auto"/>
        <w:jc w:val="both"/>
        <w:rPr>
          <w:rFonts w:cs="Arial"/>
        </w:rPr>
      </w:pPr>
      <w:r w:rsidRPr="0835ADA6">
        <w:rPr>
          <w:rFonts w:cs="Arial"/>
          <w:b/>
        </w:rPr>
        <w:t>Risco de gestão de riscos meramente formal (compliance-</w:t>
      </w:r>
      <w:proofErr w:type="spellStart"/>
      <w:r w:rsidRPr="0835ADA6">
        <w:rPr>
          <w:rFonts w:cs="Arial"/>
          <w:b/>
        </w:rPr>
        <w:t>driven</w:t>
      </w:r>
      <w:proofErr w:type="spellEnd"/>
      <w:r w:rsidRPr="0835ADA6">
        <w:rPr>
          <w:rFonts w:cs="Arial"/>
          <w:b/>
        </w:rPr>
        <w:t>)</w:t>
      </w:r>
      <w:r w:rsidRPr="0835ADA6">
        <w:rPr>
          <w:rFonts w:cs="Arial"/>
        </w:rPr>
        <w:t>: quando o risco é tratado apenas para cumprir requisitos, perde-se função de mitigação e de tomada de decisão (escolha de solução, estratégia de contratação, fiscalização).</w:t>
      </w:r>
    </w:p>
    <w:p w:rsidRPr="000E10DD" w:rsidR="000E10DD" w:rsidP="00D716B8" w:rsidRDefault="000E10DD" w14:paraId="1D115F15" w14:textId="77777777">
      <w:pPr>
        <w:numPr>
          <w:ilvl w:val="0"/>
          <w:numId w:val="26"/>
        </w:numPr>
        <w:spacing w:line="360" w:lineRule="auto"/>
        <w:jc w:val="both"/>
        <w:rPr>
          <w:rFonts w:cs="Arial"/>
          <w:szCs w:val="22"/>
        </w:rPr>
      </w:pPr>
      <w:r w:rsidRPr="000E10DD">
        <w:rPr>
          <w:rFonts w:cs="Arial"/>
          <w:b/>
          <w:bCs/>
          <w:szCs w:val="22"/>
        </w:rPr>
        <w:t>Risco operacional de TIC (base de processos imatura)</w:t>
      </w:r>
      <w:r w:rsidRPr="000E10DD">
        <w:rPr>
          <w:rFonts w:cs="Arial"/>
          <w:szCs w:val="22"/>
        </w:rPr>
        <w:t xml:space="preserve">: maturidade baixa em ativos, segurança, monitoramento e recuperação de desastres tende a elevar indisponibilidade, incidentes e fragilidade de continuidade, afetando inclusive execução contratual e fiscalização. </w:t>
      </w:r>
    </w:p>
    <w:p w:rsidRPr="00C341FA" w:rsidR="00C341FA" w:rsidP="00C341FA" w:rsidRDefault="00C341FA" w14:paraId="2188E9F8" w14:textId="669C243D">
      <w:pPr>
        <w:pStyle w:val="Ttulo2"/>
      </w:pPr>
      <w:r w:rsidRPr="00C341FA">
        <w:t>2.</w:t>
      </w:r>
      <w:r>
        <w:t>3.4.</w:t>
      </w:r>
      <w:r w:rsidRPr="00C341FA">
        <w:t xml:space="preserve"> O que pode ser aproveitado no iGovTI 2026</w:t>
      </w:r>
    </w:p>
    <w:p w:rsidR="00C341FA" w:rsidP="00C341FA" w:rsidRDefault="00C341FA" w14:paraId="1C8498AD" w14:textId="32D336C8">
      <w:pPr>
        <w:spacing w:line="360" w:lineRule="auto"/>
        <w:ind w:firstLine="708"/>
        <w:jc w:val="both"/>
        <w:rPr>
          <w:rFonts w:cs="Arial"/>
          <w:szCs w:val="22"/>
        </w:rPr>
      </w:pPr>
      <w:r w:rsidRPr="00C341FA">
        <w:rPr>
          <w:rFonts w:cs="Arial"/>
          <w:szCs w:val="22"/>
        </w:rPr>
        <w:t xml:space="preserve">A contribuição mais forte deste censo para o iGovTI 2026 é fornecer um núcleo de perguntas </w:t>
      </w:r>
      <w:r>
        <w:rPr>
          <w:rFonts w:cs="Arial"/>
          <w:szCs w:val="22"/>
        </w:rPr>
        <w:t>auditáveis</w:t>
      </w:r>
      <w:r w:rsidRPr="00C341FA">
        <w:rPr>
          <w:rFonts w:cs="Arial"/>
          <w:szCs w:val="22"/>
        </w:rPr>
        <w:t xml:space="preserve"> sobre governança e capacidade de contratação de TIC, cobrindo o ciclo completo e conectando diretamente com riscos.</w:t>
      </w:r>
    </w:p>
    <w:p w:rsidRPr="00C341FA" w:rsidR="002343D7" w:rsidP="00C341FA" w:rsidRDefault="002343D7" w14:paraId="47AF6B2F" w14:textId="77777777">
      <w:pPr>
        <w:spacing w:line="360" w:lineRule="auto"/>
        <w:ind w:firstLine="708"/>
        <w:jc w:val="both"/>
        <w:rPr>
          <w:rFonts w:cs="Arial"/>
          <w:szCs w:val="22"/>
        </w:rPr>
      </w:pPr>
    </w:p>
    <w:p w:rsidR="002343D7" w:rsidP="002343D7" w:rsidRDefault="00C341FA" w14:paraId="3EFCD321" w14:textId="77777777">
      <w:pPr>
        <w:spacing w:line="360" w:lineRule="auto"/>
        <w:jc w:val="both"/>
        <w:rPr>
          <w:rFonts w:cs="Arial"/>
          <w:szCs w:val="22"/>
        </w:rPr>
      </w:pPr>
      <w:r w:rsidRPr="00C341FA">
        <w:rPr>
          <w:rFonts w:cs="Arial"/>
          <w:b/>
          <w:bCs/>
          <w:szCs w:val="22"/>
        </w:rPr>
        <w:t>(1) Bloco mínimo de Governança das Contratações de TIC (planejamento → execução → resultado)</w:t>
      </w:r>
    </w:p>
    <w:p w:rsidRPr="00C341FA" w:rsidR="00C341FA" w:rsidP="00C341FA" w:rsidRDefault="00C341FA" w14:paraId="25E1E690" w14:textId="50D964CC">
      <w:pPr>
        <w:spacing w:line="360" w:lineRule="auto"/>
        <w:ind w:firstLine="708"/>
        <w:jc w:val="both"/>
        <w:rPr>
          <w:rFonts w:cs="Arial"/>
          <w:szCs w:val="22"/>
        </w:rPr>
      </w:pPr>
      <w:r w:rsidRPr="00C341FA">
        <w:rPr>
          <w:rFonts w:cs="Arial"/>
          <w:szCs w:val="22"/>
        </w:rPr>
        <w:t>Reaproveitar (em versão enxuta) os eixos do A1, especialmente:</w:t>
      </w:r>
    </w:p>
    <w:p w:rsidRPr="00C341FA" w:rsidR="00C341FA" w:rsidP="00D716B8" w:rsidRDefault="00C341FA" w14:paraId="6656E140" w14:textId="77777777">
      <w:pPr>
        <w:numPr>
          <w:ilvl w:val="0"/>
          <w:numId w:val="27"/>
        </w:numPr>
        <w:spacing w:line="360" w:lineRule="auto"/>
        <w:jc w:val="both"/>
        <w:rPr>
          <w:rFonts w:cs="Arial"/>
          <w:szCs w:val="22"/>
        </w:rPr>
      </w:pPr>
      <w:r w:rsidRPr="00C341FA">
        <w:rPr>
          <w:rFonts w:cs="Arial"/>
          <w:szCs w:val="22"/>
        </w:rPr>
        <w:t>clareza do documento de demanda e definição da solução;</w:t>
      </w:r>
    </w:p>
    <w:p w:rsidRPr="00C341FA" w:rsidR="00C341FA" w:rsidP="00D716B8" w:rsidRDefault="00C341FA" w14:paraId="2E0C4445" w14:textId="77777777">
      <w:pPr>
        <w:numPr>
          <w:ilvl w:val="0"/>
          <w:numId w:val="27"/>
        </w:numPr>
        <w:spacing w:line="360" w:lineRule="auto"/>
        <w:jc w:val="both"/>
        <w:rPr>
          <w:rFonts w:cs="Arial"/>
          <w:szCs w:val="22"/>
        </w:rPr>
      </w:pPr>
      <w:r w:rsidRPr="00C341FA">
        <w:rPr>
          <w:rFonts w:cs="Arial"/>
          <w:szCs w:val="22"/>
        </w:rPr>
        <w:t>amplitude do levantamento de alternativas e uso de custo-benefício;</w:t>
      </w:r>
    </w:p>
    <w:p w:rsidRPr="00C341FA" w:rsidR="00C341FA" w:rsidP="00D716B8" w:rsidRDefault="00C341FA" w14:paraId="27A3D3C0" w14:textId="77777777">
      <w:pPr>
        <w:numPr>
          <w:ilvl w:val="0"/>
          <w:numId w:val="27"/>
        </w:numPr>
        <w:spacing w:line="360" w:lineRule="auto"/>
        <w:jc w:val="both"/>
        <w:rPr>
          <w:rFonts w:cs="Arial"/>
          <w:szCs w:val="22"/>
        </w:rPr>
      </w:pPr>
      <w:r w:rsidRPr="00C341FA">
        <w:rPr>
          <w:rFonts w:cs="Arial"/>
          <w:szCs w:val="22"/>
        </w:rPr>
        <w:t>integração TI ↔ área de compras (apoio e revisão técnica da pesquisa de preços);</w:t>
      </w:r>
    </w:p>
    <w:p w:rsidRPr="00C341FA" w:rsidR="00C341FA" w:rsidP="00D716B8" w:rsidRDefault="00C341FA" w14:paraId="52FF2791" w14:textId="77777777">
      <w:pPr>
        <w:numPr>
          <w:ilvl w:val="0"/>
          <w:numId w:val="27"/>
        </w:numPr>
        <w:spacing w:line="360" w:lineRule="auto"/>
        <w:jc w:val="both"/>
        <w:rPr>
          <w:rFonts w:cs="Arial"/>
          <w:szCs w:val="22"/>
        </w:rPr>
      </w:pPr>
      <w:r w:rsidRPr="00C341FA">
        <w:rPr>
          <w:rFonts w:cs="Arial"/>
          <w:szCs w:val="22"/>
        </w:rPr>
        <w:t>mecanismos de gestão por resultados (metas/penalidades/</w:t>
      </w:r>
      <w:proofErr w:type="spellStart"/>
      <w:r w:rsidRPr="00C341FA">
        <w:rPr>
          <w:rFonts w:cs="Arial"/>
          <w:szCs w:val="22"/>
        </w:rPr>
        <w:t>SLAs</w:t>
      </w:r>
      <w:proofErr w:type="spellEnd"/>
      <w:r w:rsidRPr="00C341FA">
        <w:rPr>
          <w:rFonts w:cs="Arial"/>
          <w:szCs w:val="22"/>
        </w:rPr>
        <w:t>);</w:t>
      </w:r>
    </w:p>
    <w:p w:rsidRPr="00C341FA" w:rsidR="00C341FA" w:rsidP="00D716B8" w:rsidRDefault="00C341FA" w14:paraId="219DD612" w14:textId="77777777">
      <w:pPr>
        <w:numPr>
          <w:ilvl w:val="0"/>
          <w:numId w:val="27"/>
        </w:numPr>
        <w:spacing w:line="360" w:lineRule="auto"/>
        <w:jc w:val="both"/>
        <w:rPr>
          <w:rFonts w:cs="Arial"/>
          <w:szCs w:val="22"/>
        </w:rPr>
      </w:pPr>
      <w:r w:rsidRPr="00C341FA">
        <w:rPr>
          <w:rFonts w:cs="Arial"/>
          <w:szCs w:val="22"/>
        </w:rPr>
        <w:t xml:space="preserve">comparação entre resultados alcançados e objetivos do planejamento. </w:t>
      </w:r>
    </w:p>
    <w:p w:rsidR="002343D7" w:rsidP="002343D7" w:rsidRDefault="002343D7" w14:paraId="07ECD7CD" w14:textId="77777777">
      <w:pPr>
        <w:spacing w:line="360" w:lineRule="auto"/>
        <w:jc w:val="both"/>
        <w:rPr>
          <w:rFonts w:cs="Arial"/>
          <w:b/>
          <w:bCs/>
          <w:szCs w:val="22"/>
        </w:rPr>
      </w:pPr>
    </w:p>
    <w:p w:rsidR="002343D7" w:rsidP="002343D7" w:rsidRDefault="00C341FA" w14:paraId="5AF9F290" w14:textId="77777777">
      <w:pPr>
        <w:spacing w:line="360" w:lineRule="auto"/>
        <w:jc w:val="both"/>
        <w:rPr>
          <w:rFonts w:cs="Arial"/>
          <w:szCs w:val="22"/>
        </w:rPr>
      </w:pPr>
      <w:r w:rsidRPr="0835ADA6">
        <w:rPr>
          <w:rFonts w:cs="Arial"/>
          <w:b/>
        </w:rPr>
        <w:t>(2) Papel institucional da TI nas contratações (RACI mínimo)</w:t>
      </w:r>
      <w:r>
        <w:br/>
      </w:r>
      <w:r w:rsidRPr="0835ADA6">
        <w:rPr>
          <w:rFonts w:cs="Arial"/>
        </w:rPr>
        <w:t xml:space="preserve">Incorporar perguntas simples do tipo “quem faz o quê”, para capturar se a TI é: responsável, coexecutora (técnica), apoio consultivo ou ausente — separando </w:t>
      </w:r>
      <w:r w:rsidRPr="0835ADA6">
        <w:rPr>
          <w:rFonts w:cs="Arial"/>
          <w:b/>
        </w:rPr>
        <w:t>planejamento</w:t>
      </w:r>
      <w:r w:rsidRPr="0835ADA6">
        <w:rPr>
          <w:rFonts w:cs="Arial"/>
        </w:rPr>
        <w:t xml:space="preserve"> e </w:t>
      </w:r>
      <w:r w:rsidRPr="0835ADA6">
        <w:rPr>
          <w:rFonts w:cs="Arial"/>
          <w:b/>
        </w:rPr>
        <w:t>execução/fiscalização</w:t>
      </w:r>
      <w:r w:rsidRPr="0835ADA6">
        <w:rPr>
          <w:rFonts w:cs="Arial"/>
        </w:rPr>
        <w:t>.</w:t>
      </w:r>
    </w:p>
    <w:p w:rsidR="0835ADA6" w:rsidP="0835ADA6" w:rsidRDefault="0835ADA6" w14:paraId="1828554C" w14:textId="4090A6DD">
      <w:pPr>
        <w:spacing w:line="360" w:lineRule="auto"/>
        <w:jc w:val="both"/>
        <w:rPr>
          <w:rFonts w:cs="Arial"/>
        </w:rPr>
      </w:pPr>
    </w:p>
    <w:p w:rsidRPr="00C341FA" w:rsidR="00C341FA" w:rsidP="002343D7" w:rsidRDefault="00C341FA" w14:paraId="26676636" w14:textId="42A8A620">
      <w:pPr>
        <w:spacing w:line="360" w:lineRule="auto"/>
        <w:jc w:val="both"/>
        <w:rPr>
          <w:rFonts w:cs="Arial"/>
          <w:szCs w:val="22"/>
        </w:rPr>
      </w:pPr>
      <w:r w:rsidRPr="00C341FA">
        <w:rPr>
          <w:rFonts w:cs="Arial"/>
          <w:b/>
          <w:bCs/>
          <w:szCs w:val="22"/>
        </w:rPr>
        <w:t>(3) Maturidade operacional como “capacidade de sustentar contratações”</w:t>
      </w:r>
      <w:r w:rsidRPr="00C341FA">
        <w:rPr>
          <w:rFonts w:cs="Arial"/>
          <w:szCs w:val="22"/>
        </w:rPr>
        <w:br/>
      </w:r>
      <w:r w:rsidRPr="00C341FA">
        <w:rPr>
          <w:rFonts w:cs="Arial"/>
          <w:szCs w:val="22"/>
        </w:rPr>
        <w:t xml:space="preserve">Usar o bloco de maturidade (processos) como </w:t>
      </w:r>
      <w:r w:rsidRPr="00C341FA">
        <w:rPr>
          <w:rFonts w:cs="Arial"/>
          <w:b/>
          <w:bCs/>
          <w:szCs w:val="22"/>
        </w:rPr>
        <w:t>leitura obrigatória</w:t>
      </w:r>
      <w:r w:rsidRPr="00C341FA">
        <w:rPr>
          <w:rFonts w:cs="Arial"/>
          <w:szCs w:val="22"/>
        </w:rPr>
        <w:t xml:space="preserve"> de capacidade: se segurança/ativos/monitoramento/DR são “ad hoc”, isso explica fragilidades na contratação e eleva o risco de execução ruim e dependência de fornecedor.</w:t>
      </w:r>
    </w:p>
    <w:p w:rsidR="002343D7" w:rsidP="002343D7" w:rsidRDefault="002343D7" w14:paraId="1A4F999F" w14:textId="77777777">
      <w:pPr>
        <w:spacing w:line="360" w:lineRule="auto"/>
        <w:jc w:val="both"/>
        <w:rPr>
          <w:rFonts w:cs="Arial"/>
          <w:b/>
          <w:bCs/>
          <w:szCs w:val="22"/>
        </w:rPr>
      </w:pPr>
    </w:p>
    <w:p w:rsidRPr="00C341FA" w:rsidR="00C341FA" w:rsidP="002343D7" w:rsidRDefault="00C341FA" w14:paraId="67C8FF87" w14:textId="41DB6F74">
      <w:pPr>
        <w:spacing w:line="360" w:lineRule="auto"/>
        <w:jc w:val="both"/>
        <w:rPr>
          <w:rFonts w:cs="Arial"/>
          <w:szCs w:val="22"/>
        </w:rPr>
      </w:pPr>
      <w:r w:rsidRPr="00C341FA">
        <w:rPr>
          <w:rFonts w:cs="Arial"/>
          <w:b/>
          <w:bCs/>
          <w:szCs w:val="22"/>
        </w:rPr>
        <w:t>(4) Mapa de lacunas de competência (para orientar ações pedagógicas e trilhas de auditoria)</w:t>
      </w:r>
      <w:r w:rsidRPr="00C341FA">
        <w:rPr>
          <w:rFonts w:cs="Arial"/>
          <w:szCs w:val="22"/>
        </w:rPr>
        <w:br/>
      </w:r>
      <w:r w:rsidRPr="00C341FA">
        <w:rPr>
          <w:rFonts w:cs="Arial"/>
          <w:szCs w:val="22"/>
        </w:rPr>
        <w:t xml:space="preserve">O A2 permite identificar temas com menor “capacidade instalada” (nuvem, segurança, LGPD, BI/IA) e pode virar um item agregado no iGovTI 2026 (ex.: “a organização tem competências para contratar e gerir X?”), sem precisar replicar todos os subitens. </w:t>
      </w:r>
    </w:p>
    <w:p w:rsidR="002343D7" w:rsidP="002343D7" w:rsidRDefault="002343D7" w14:paraId="7A2EDB6B" w14:textId="77777777">
      <w:pPr>
        <w:spacing w:line="360" w:lineRule="auto"/>
        <w:jc w:val="both"/>
        <w:rPr>
          <w:rFonts w:cs="Arial"/>
          <w:b/>
          <w:bCs/>
          <w:szCs w:val="22"/>
        </w:rPr>
      </w:pPr>
    </w:p>
    <w:p w:rsidRPr="00391BB6" w:rsidR="000E10DD" w:rsidP="002343D7" w:rsidRDefault="00C341FA" w14:paraId="3CCFDE09" w14:textId="26A00DEE">
      <w:pPr>
        <w:spacing w:line="360" w:lineRule="auto"/>
        <w:jc w:val="both"/>
        <w:rPr>
          <w:rFonts w:cs="Arial"/>
          <w:szCs w:val="22"/>
        </w:rPr>
      </w:pPr>
      <w:r w:rsidRPr="00C341FA">
        <w:rPr>
          <w:rFonts w:cs="Arial"/>
          <w:b/>
          <w:bCs/>
          <w:szCs w:val="22"/>
        </w:rPr>
        <w:t>(5) Conexão direta com o Levantamento de Riscos do iGovTI 2026</w:t>
      </w:r>
      <w:r w:rsidRPr="00C341FA">
        <w:rPr>
          <w:rFonts w:cs="Arial"/>
          <w:szCs w:val="22"/>
        </w:rPr>
        <w:br/>
      </w:r>
      <w:r w:rsidRPr="00C341FA">
        <w:rPr>
          <w:rFonts w:cs="Arial"/>
          <w:szCs w:val="22"/>
        </w:rPr>
        <w:t xml:space="preserve">Os resultados do censo já “apontam” riscos operacionais e de governança de contratação. Isso facilita converter perguntas em </w:t>
      </w:r>
      <w:r w:rsidRPr="00C341FA">
        <w:rPr>
          <w:rFonts w:cs="Arial"/>
          <w:b/>
          <w:bCs/>
          <w:szCs w:val="22"/>
        </w:rPr>
        <w:t>riscos típicos</w:t>
      </w:r>
      <w:r w:rsidRPr="00C341FA">
        <w:rPr>
          <w:rFonts w:cs="Arial"/>
          <w:szCs w:val="22"/>
        </w:rPr>
        <w:t xml:space="preserve"> do iGovTI 2026 (ex.: sobrepreço, baixa entrega, falhas de fiscalização, continuidade e segurança).</w:t>
      </w:r>
    </w:p>
    <w:p w:rsidR="002511C3" w:rsidRDefault="002511C3" w14:paraId="37CA7FE0" w14:textId="77777777">
      <w:pPr>
        <w:spacing w:after="200" w:line="276" w:lineRule="auto"/>
        <w:rPr>
          <w:rFonts w:asciiTheme="majorHAnsi" w:hAnsiTheme="majorHAnsi" w:eastAsiaTheme="majorEastAsia" w:cstheme="majorBidi"/>
          <w:b/>
          <w:bCs/>
          <w:color w:val="365F91" w:themeColor="accent1" w:themeShade="BF"/>
          <w:sz w:val="28"/>
          <w:szCs w:val="28"/>
        </w:rPr>
      </w:pPr>
      <w:r>
        <w:br w:type="page"/>
      </w:r>
    </w:p>
    <w:p w:rsidRPr="004F7713" w:rsidR="00FB2929" w:rsidP="00FB2929" w:rsidRDefault="00CF0947" w14:paraId="669A3671" w14:textId="6ABCC0BB">
      <w:pPr>
        <w:pStyle w:val="Ttulo1"/>
      </w:pPr>
      <w:r>
        <w:t xml:space="preserve">2.4. </w:t>
      </w:r>
      <w:r w:rsidR="00171386">
        <w:t xml:space="preserve">TCE-RS </w:t>
      </w:r>
      <w:r w:rsidR="00F6493D">
        <w:t>Levantamento</w:t>
      </w:r>
      <w:r w:rsidRPr="004F7713" w:rsidR="00FB2929">
        <w:t xml:space="preserve"> </w:t>
      </w:r>
      <w:r w:rsidR="00171386">
        <w:t>de Governança de TI 2025</w:t>
      </w:r>
    </w:p>
    <w:p w:rsidRPr="00C8796C" w:rsidR="00C8796C" w:rsidP="00C8796C" w:rsidRDefault="00C8796C" w14:paraId="03D98B43" w14:textId="77777777">
      <w:pPr>
        <w:spacing w:line="360" w:lineRule="auto"/>
        <w:ind w:firstLine="708"/>
        <w:jc w:val="both"/>
        <w:rPr>
          <w:rFonts w:cs="Arial"/>
          <w:szCs w:val="22"/>
        </w:rPr>
      </w:pPr>
      <w:r w:rsidRPr="00C8796C">
        <w:rPr>
          <w:rFonts w:cs="Arial"/>
          <w:szCs w:val="22"/>
        </w:rPr>
        <w:t>Esta seção registra os principais aspectos levantados pelo TCE-RS no diagnóstico de referência, com ênfase em escopo, abordagem, dimensões avaliadas, instrumento utilizado e elementos metodológicos que podem fortalecer o desenho do iGovTI 2026, sobretudo quanto à clareza das perguntas, às evidências esperadas e à rastreabilidade entre pergunta–critério–risco–achado.</w:t>
      </w:r>
    </w:p>
    <w:p w:rsidRPr="00CB1906" w:rsidR="00CB1906" w:rsidP="00CB1906" w:rsidRDefault="00FC0B9C" w14:paraId="70FA8869" w14:textId="203F95F4">
      <w:pPr>
        <w:pStyle w:val="Ttulo2"/>
      </w:pPr>
      <w:r>
        <w:t>2.4.</w:t>
      </w:r>
      <w:r w:rsidRPr="00CB1906" w:rsidR="00CB1906">
        <w:t>1</w:t>
      </w:r>
      <w:r>
        <w:t>.</w:t>
      </w:r>
      <w:r w:rsidRPr="00CB1906" w:rsidR="00CB1906">
        <w:t xml:space="preserve"> Escopo e objetivo do trabalho analisado</w:t>
      </w:r>
    </w:p>
    <w:p w:rsidRPr="00CB1906" w:rsidR="00CB1906" w:rsidP="00FC0B9C" w:rsidRDefault="00CB1906" w14:paraId="5A644987" w14:textId="0160D2AF">
      <w:pPr>
        <w:spacing w:line="360" w:lineRule="auto"/>
        <w:ind w:firstLine="708"/>
        <w:jc w:val="both"/>
        <w:rPr>
          <w:rFonts w:cs="Arial"/>
          <w:szCs w:val="22"/>
        </w:rPr>
      </w:pPr>
      <w:r w:rsidRPr="00CB1906">
        <w:rPr>
          <w:rFonts w:cs="Arial"/>
          <w:szCs w:val="22"/>
        </w:rPr>
        <w:t>O TCE-RS realizou, em 2025, um levantamento para conhecer a estrutura básica de TI dos 497 executivos municipais gaúchos, conduzido pelo Centro Especializado de Auditoria de Tecnologia da Informação (CETI), com a finalidade declarada de produzir diagnóstico para subsidiar ações futuras de fiscalização e orientação.</w:t>
      </w:r>
    </w:p>
    <w:p w:rsidRPr="00CB1906" w:rsidR="00CB1906" w:rsidP="00CB1906" w:rsidRDefault="00CB1906" w14:paraId="5465A6FE" w14:textId="77777777">
      <w:pPr>
        <w:spacing w:line="360" w:lineRule="auto"/>
        <w:ind w:firstLine="708"/>
        <w:jc w:val="both"/>
        <w:rPr>
          <w:rFonts w:cs="Arial"/>
          <w:szCs w:val="22"/>
        </w:rPr>
      </w:pPr>
      <w:r w:rsidRPr="00CB1906">
        <w:rPr>
          <w:rFonts w:cs="Arial"/>
          <w:szCs w:val="22"/>
        </w:rPr>
        <w:t xml:space="preserve">O diagnóstico delimita o escopo de análise em duas dimensões: “Estrutura e Equipe de TI” e “Governança de TI”, buscando mapear o estágio atual e desafios recorrentes nesses domínios. </w:t>
      </w:r>
    </w:p>
    <w:p w:rsidRPr="00CB1906" w:rsidR="00CB1906" w:rsidP="00CB1906" w:rsidRDefault="00D53433" w14:paraId="0AD2A080" w14:textId="2BDAF30F">
      <w:pPr>
        <w:spacing w:line="360" w:lineRule="auto"/>
        <w:ind w:firstLine="708"/>
        <w:jc w:val="both"/>
        <w:rPr>
          <w:rFonts w:cs="Arial"/>
          <w:szCs w:val="22"/>
        </w:rPr>
      </w:pPr>
      <w:r w:rsidRPr="006947E8">
        <w:rPr>
          <w:rFonts w:cs="Arial"/>
          <w:szCs w:val="22"/>
        </w:rPr>
        <w:t xml:space="preserve">A </w:t>
      </w:r>
      <w:r w:rsidRPr="00CB1906" w:rsidR="00CB1906">
        <w:rPr>
          <w:rFonts w:cs="Arial"/>
          <w:szCs w:val="22"/>
        </w:rPr>
        <w:t xml:space="preserve">análise </w:t>
      </w:r>
      <w:r w:rsidRPr="006947E8">
        <w:rPr>
          <w:rFonts w:cs="Arial"/>
          <w:szCs w:val="22"/>
        </w:rPr>
        <w:t xml:space="preserve">foi realizada </w:t>
      </w:r>
      <w:r w:rsidRPr="00CB1906" w:rsidR="00CB1906">
        <w:rPr>
          <w:rFonts w:cs="Arial"/>
          <w:szCs w:val="22"/>
        </w:rPr>
        <w:t xml:space="preserve">com base nas respostas aos questionamentos aplicados, gerando um índice para cada dimensão, e classificando os municípios em quatro níveis de maturidade (Inicial, Básico, Aprimorado e Otimizado), com faixas percentuais associadas. </w:t>
      </w:r>
    </w:p>
    <w:p w:rsidRPr="00CB1906" w:rsidR="00CB1906" w:rsidP="00D53433" w:rsidRDefault="00CB1906" w14:paraId="24600A59" w14:textId="68D5CD87">
      <w:pPr>
        <w:spacing w:line="360" w:lineRule="auto"/>
        <w:ind w:firstLine="708"/>
        <w:jc w:val="both"/>
        <w:rPr>
          <w:rFonts w:cs="Arial"/>
          <w:szCs w:val="22"/>
        </w:rPr>
      </w:pPr>
      <w:r w:rsidRPr="00CB1906">
        <w:rPr>
          <w:rFonts w:cs="Arial"/>
          <w:szCs w:val="22"/>
        </w:rPr>
        <w:t xml:space="preserve">Para permitir comparabilidade entre entes semelhantes, o relatório segmenta resultados por porte populacional, adotando a metodologia do IBGE (Metrópole, Grande Porte, Médio Porte, Pequeno Porte II e Pequeno Porte I). </w:t>
      </w:r>
    </w:p>
    <w:p w:rsidRPr="00EE37E2" w:rsidR="00EE37E2" w:rsidP="006947E8" w:rsidRDefault="006947E8" w14:paraId="2FBA0A6C" w14:textId="277EEE90">
      <w:pPr>
        <w:pStyle w:val="Ttulo2"/>
      </w:pPr>
      <w:r>
        <w:t xml:space="preserve">2.4.2. </w:t>
      </w:r>
      <w:r w:rsidRPr="00EE37E2" w:rsidR="00EE37E2">
        <w:t>Dimensões avaliadas</w:t>
      </w:r>
    </w:p>
    <w:p w:rsidRPr="00EE37E2" w:rsidR="00EE37E2" w:rsidP="003519CE" w:rsidRDefault="00EE37E2" w14:paraId="4BD19A2E" w14:textId="6DFF1547">
      <w:pPr>
        <w:spacing w:line="360" w:lineRule="auto"/>
        <w:jc w:val="both"/>
        <w:rPr>
          <w:rFonts w:cs="Arial"/>
          <w:b/>
          <w:bCs/>
          <w:szCs w:val="22"/>
        </w:rPr>
      </w:pPr>
      <w:r w:rsidRPr="00EE37E2">
        <w:rPr>
          <w:rFonts w:cs="Arial"/>
          <w:b/>
          <w:bCs/>
          <w:szCs w:val="22"/>
        </w:rPr>
        <w:t>Estrutura e Equipe de TI</w:t>
      </w:r>
    </w:p>
    <w:p w:rsidRPr="00EE37E2" w:rsidR="00EE37E2" w:rsidP="00EE37E2" w:rsidRDefault="00EE37E2" w14:paraId="4314A7B5" w14:textId="77777777">
      <w:pPr>
        <w:spacing w:line="360" w:lineRule="auto"/>
        <w:ind w:firstLine="708"/>
        <w:jc w:val="both"/>
        <w:rPr>
          <w:rFonts w:cs="Arial"/>
          <w:szCs w:val="22"/>
        </w:rPr>
      </w:pPr>
      <w:r w:rsidRPr="00EE37E2">
        <w:rPr>
          <w:rFonts w:cs="Arial"/>
          <w:szCs w:val="22"/>
        </w:rPr>
        <w:t xml:space="preserve">O diagnóstico trata “Estrutura e Equipe” como pré-condição para que a TI deixe de ser apenas suporte e tenha capacidade institucional mínima; nessa dimensão, o TCE-RS concentra-se em três tópicos: formalização, capital humano e posicionamento hierárquico/organizacional. </w:t>
      </w:r>
    </w:p>
    <w:p w:rsidRPr="00EE37E2" w:rsidR="00EE37E2" w:rsidP="00EE37E2" w:rsidRDefault="00A02BBA" w14:paraId="6D29757B" w14:textId="6DCF1936">
      <w:pPr>
        <w:spacing w:line="360" w:lineRule="auto"/>
        <w:ind w:firstLine="708"/>
        <w:jc w:val="both"/>
        <w:rPr>
          <w:rFonts w:cs="Arial"/>
          <w:szCs w:val="22"/>
        </w:rPr>
      </w:pPr>
      <w:r>
        <w:rPr>
          <w:rFonts w:cs="Arial"/>
          <w:szCs w:val="22"/>
        </w:rPr>
        <w:t xml:space="preserve">Itens </w:t>
      </w:r>
      <w:r w:rsidRPr="00EE37E2" w:rsidR="00EE37E2">
        <w:rPr>
          <w:rFonts w:cs="Arial"/>
          <w:szCs w:val="22"/>
        </w:rPr>
        <w:t>avaliad</w:t>
      </w:r>
      <w:r>
        <w:rPr>
          <w:rFonts w:cs="Arial"/>
          <w:szCs w:val="22"/>
        </w:rPr>
        <w:t>o</w:t>
      </w:r>
      <w:r w:rsidRPr="00EE37E2" w:rsidR="00EE37E2">
        <w:rPr>
          <w:rFonts w:cs="Arial"/>
          <w:szCs w:val="22"/>
        </w:rPr>
        <w:t>s:</w:t>
      </w:r>
    </w:p>
    <w:p w:rsidRPr="00EE37E2" w:rsidR="00EE37E2" w:rsidP="00D716B8" w:rsidRDefault="00EE37E2" w14:paraId="6A8CDE6D" w14:textId="77777777">
      <w:pPr>
        <w:numPr>
          <w:ilvl w:val="0"/>
          <w:numId w:val="8"/>
        </w:numPr>
        <w:spacing w:line="360" w:lineRule="auto"/>
        <w:jc w:val="both"/>
        <w:rPr>
          <w:rFonts w:cs="Arial"/>
          <w:szCs w:val="22"/>
        </w:rPr>
      </w:pPr>
      <w:r w:rsidRPr="00EE37E2">
        <w:rPr>
          <w:rFonts w:cs="Arial"/>
          <w:b/>
          <w:bCs/>
          <w:szCs w:val="22"/>
        </w:rPr>
        <w:t>Formalização da área de TI</w:t>
      </w:r>
      <w:r w:rsidRPr="00EE37E2">
        <w:rPr>
          <w:rFonts w:cs="Arial"/>
          <w:szCs w:val="22"/>
        </w:rPr>
        <w:t xml:space="preserve">: existência de criação formal do setor (lei/decreto), como base para legitimidade, responsabilidades e recursos. </w:t>
      </w:r>
    </w:p>
    <w:p w:rsidRPr="00EE37E2" w:rsidR="00EE37E2" w:rsidP="00D716B8" w:rsidRDefault="00EE37E2" w14:paraId="16E3DC53" w14:textId="77777777">
      <w:pPr>
        <w:numPr>
          <w:ilvl w:val="0"/>
          <w:numId w:val="8"/>
        </w:numPr>
        <w:spacing w:line="360" w:lineRule="auto"/>
        <w:jc w:val="both"/>
        <w:rPr>
          <w:rFonts w:cs="Arial"/>
          <w:szCs w:val="22"/>
        </w:rPr>
      </w:pPr>
      <w:r w:rsidRPr="00EE37E2">
        <w:rPr>
          <w:rFonts w:cs="Arial"/>
          <w:b/>
          <w:bCs/>
          <w:szCs w:val="22"/>
        </w:rPr>
        <w:t>Quantidade de colaboradores de TI</w:t>
      </w:r>
      <w:r w:rsidRPr="00EE37E2">
        <w:rPr>
          <w:rFonts w:cs="Arial"/>
          <w:szCs w:val="22"/>
        </w:rPr>
        <w:t xml:space="preserve">: tamanho mínimo de equipe como indicador de capacidade operacional e de continuidade. </w:t>
      </w:r>
    </w:p>
    <w:p w:rsidRPr="00EE37E2" w:rsidR="00EE37E2" w:rsidP="00D716B8" w:rsidRDefault="00EE37E2" w14:paraId="05FD1775" w14:textId="77777777">
      <w:pPr>
        <w:numPr>
          <w:ilvl w:val="0"/>
          <w:numId w:val="8"/>
        </w:numPr>
        <w:spacing w:line="360" w:lineRule="auto"/>
        <w:jc w:val="both"/>
        <w:rPr>
          <w:rFonts w:cs="Arial"/>
          <w:szCs w:val="22"/>
        </w:rPr>
      </w:pPr>
      <w:r w:rsidRPr="00EE37E2">
        <w:rPr>
          <w:rFonts w:cs="Arial"/>
          <w:b/>
          <w:bCs/>
          <w:szCs w:val="22"/>
        </w:rPr>
        <w:t>Composição da equipe por vínculo/formação</w:t>
      </w:r>
      <w:r w:rsidRPr="00EE37E2">
        <w:rPr>
          <w:rFonts w:cs="Arial"/>
          <w:szCs w:val="22"/>
        </w:rPr>
        <w:t xml:space="preserve"> (no relatório, aparece vinculada ao debate de capacidade interna </w:t>
      </w:r>
      <w:proofErr w:type="spellStart"/>
      <w:r w:rsidRPr="00EE37E2">
        <w:rPr>
          <w:rFonts w:cs="Arial"/>
          <w:szCs w:val="22"/>
        </w:rPr>
        <w:t>vs</w:t>
      </w:r>
      <w:proofErr w:type="spellEnd"/>
      <w:r w:rsidRPr="00EE37E2">
        <w:rPr>
          <w:rFonts w:cs="Arial"/>
          <w:szCs w:val="22"/>
        </w:rPr>
        <w:t xml:space="preserve"> dependência de vínculos não permanentes). </w:t>
      </w:r>
    </w:p>
    <w:p w:rsidRPr="00EE37E2" w:rsidR="00EE37E2" w:rsidP="00D716B8" w:rsidRDefault="00EE37E2" w14:paraId="2657873D" w14:textId="77777777">
      <w:pPr>
        <w:numPr>
          <w:ilvl w:val="0"/>
          <w:numId w:val="8"/>
        </w:numPr>
        <w:spacing w:line="360" w:lineRule="auto"/>
        <w:jc w:val="both"/>
        <w:rPr>
          <w:rFonts w:cs="Arial"/>
          <w:szCs w:val="22"/>
        </w:rPr>
      </w:pPr>
      <w:r w:rsidRPr="00EE37E2">
        <w:rPr>
          <w:rFonts w:cs="Arial"/>
          <w:b/>
          <w:bCs/>
          <w:szCs w:val="22"/>
        </w:rPr>
        <w:t>Posicionamento da TI no organograma</w:t>
      </w:r>
      <w:r w:rsidRPr="00EE37E2">
        <w:rPr>
          <w:rFonts w:cs="Arial"/>
          <w:szCs w:val="22"/>
        </w:rPr>
        <w:t xml:space="preserve">: onde a TI se reporta (ex.: gabinete/secretarias) como proxy de influência em decisões e articulação estratégica. </w:t>
      </w:r>
    </w:p>
    <w:p w:rsidRPr="00EE37E2" w:rsidR="00EE37E2" w:rsidP="00EE37E2" w:rsidRDefault="00EE37E2" w14:paraId="27925D24" w14:textId="77777777">
      <w:pPr>
        <w:spacing w:line="360" w:lineRule="auto"/>
        <w:ind w:firstLine="708"/>
        <w:jc w:val="both"/>
        <w:rPr>
          <w:rFonts w:cs="Arial"/>
          <w:szCs w:val="22"/>
        </w:rPr>
      </w:pPr>
      <w:r w:rsidRPr="00EE37E2">
        <w:rPr>
          <w:rFonts w:cs="Arial"/>
          <w:szCs w:val="22"/>
        </w:rPr>
        <w:t>Evidências esperadas (implícitas e fáceis de verificar): ato normativo (lei/decreto), organograma, dados de RH (quantitativo e perfil de vínculos).</w:t>
      </w:r>
    </w:p>
    <w:p w:rsidRPr="00EE37E2" w:rsidR="00EE37E2" w:rsidP="003519CE" w:rsidRDefault="00EE37E2" w14:paraId="350BEF57" w14:textId="65A12ECF">
      <w:pPr>
        <w:spacing w:line="360" w:lineRule="auto"/>
        <w:jc w:val="both"/>
        <w:rPr>
          <w:rFonts w:cs="Arial"/>
          <w:b/>
          <w:bCs/>
          <w:szCs w:val="22"/>
        </w:rPr>
      </w:pPr>
      <w:r w:rsidRPr="00EE37E2">
        <w:rPr>
          <w:rFonts w:cs="Arial"/>
          <w:b/>
          <w:bCs/>
          <w:szCs w:val="22"/>
        </w:rPr>
        <w:t>Governança de TI</w:t>
      </w:r>
    </w:p>
    <w:p w:rsidRPr="00EE37E2" w:rsidR="00EE37E2" w:rsidP="00EE37E2" w:rsidRDefault="00EE37E2" w14:paraId="25E9BE77" w14:textId="77777777">
      <w:pPr>
        <w:spacing w:line="360" w:lineRule="auto"/>
        <w:ind w:firstLine="708"/>
        <w:jc w:val="both"/>
        <w:rPr>
          <w:rFonts w:cs="Arial"/>
          <w:szCs w:val="22"/>
        </w:rPr>
      </w:pPr>
      <w:r w:rsidRPr="00EE37E2">
        <w:rPr>
          <w:rFonts w:cs="Arial"/>
          <w:szCs w:val="22"/>
        </w:rPr>
        <w:t xml:space="preserve">O relatório define governança como o conjunto de estruturas, processos e mecanismos que asseguram que a TI agregue valor, alinhe-se aos objetivos e gerencie riscos; e operacionaliza essa dimensão com perguntas objetivas sobre instrumentos e instâncias mínimas. </w:t>
      </w:r>
    </w:p>
    <w:p w:rsidRPr="00EE37E2" w:rsidR="00EE37E2" w:rsidP="00EE37E2" w:rsidRDefault="00AC08EC" w14:paraId="168338AF" w14:textId="09B4A5AA">
      <w:pPr>
        <w:spacing w:line="360" w:lineRule="auto"/>
        <w:ind w:firstLine="708"/>
        <w:jc w:val="both"/>
        <w:rPr>
          <w:rFonts w:cs="Arial"/>
          <w:szCs w:val="22"/>
        </w:rPr>
      </w:pPr>
      <w:r>
        <w:rPr>
          <w:rFonts w:cs="Arial"/>
          <w:szCs w:val="22"/>
        </w:rPr>
        <w:t>Itens avaliados:</w:t>
      </w:r>
    </w:p>
    <w:p w:rsidRPr="00EE37E2" w:rsidR="00EE37E2" w:rsidP="00D716B8" w:rsidRDefault="00EE37E2" w14:paraId="43226186" w14:textId="77777777">
      <w:pPr>
        <w:numPr>
          <w:ilvl w:val="0"/>
          <w:numId w:val="9"/>
        </w:numPr>
        <w:spacing w:line="360" w:lineRule="auto"/>
        <w:jc w:val="both"/>
        <w:rPr>
          <w:rFonts w:cs="Arial"/>
          <w:szCs w:val="22"/>
        </w:rPr>
      </w:pPr>
      <w:r w:rsidRPr="00EE37E2">
        <w:rPr>
          <w:rFonts w:cs="Arial"/>
          <w:b/>
          <w:bCs/>
          <w:szCs w:val="22"/>
        </w:rPr>
        <w:t>Formalização do PDTI</w:t>
      </w:r>
      <w:r w:rsidRPr="00EE37E2">
        <w:rPr>
          <w:rFonts w:cs="Arial"/>
          <w:szCs w:val="22"/>
        </w:rPr>
        <w:t xml:space="preserve">: existência do principal instrumento de planejamento estratégico de TI (como tradução de objetivos em ações/projetos/investimentos). </w:t>
      </w:r>
    </w:p>
    <w:p w:rsidRPr="00EE37E2" w:rsidR="00EE37E2" w:rsidP="00D716B8" w:rsidRDefault="00EE37E2" w14:paraId="4EEF8B88" w14:textId="77777777">
      <w:pPr>
        <w:numPr>
          <w:ilvl w:val="0"/>
          <w:numId w:val="9"/>
        </w:numPr>
        <w:spacing w:line="360" w:lineRule="auto"/>
        <w:jc w:val="both"/>
        <w:rPr>
          <w:rFonts w:cs="Arial"/>
          <w:szCs w:val="22"/>
        </w:rPr>
      </w:pPr>
      <w:r w:rsidRPr="00EE37E2">
        <w:rPr>
          <w:rFonts w:cs="Arial"/>
          <w:b/>
          <w:bCs/>
          <w:szCs w:val="22"/>
        </w:rPr>
        <w:t>Formalização de Comitê/Conselho de Governança de TI</w:t>
      </w:r>
      <w:r w:rsidRPr="00EE37E2">
        <w:rPr>
          <w:rFonts w:cs="Arial"/>
          <w:szCs w:val="22"/>
        </w:rPr>
        <w:t xml:space="preserve">: existência da instância colegiada de direcionamento/monitoramento/avaliação, com participação multidisciplinar. </w:t>
      </w:r>
    </w:p>
    <w:p w:rsidRPr="00EE37E2" w:rsidR="00EE37E2" w:rsidP="00D716B8" w:rsidRDefault="00EE37E2" w14:paraId="6FF69987" w14:textId="77777777">
      <w:pPr>
        <w:numPr>
          <w:ilvl w:val="0"/>
          <w:numId w:val="9"/>
        </w:numPr>
        <w:spacing w:line="360" w:lineRule="auto"/>
        <w:jc w:val="both"/>
        <w:rPr>
          <w:rFonts w:cs="Arial"/>
          <w:szCs w:val="22"/>
        </w:rPr>
      </w:pPr>
      <w:r w:rsidRPr="00EE37E2">
        <w:rPr>
          <w:rFonts w:cs="Arial"/>
          <w:b/>
          <w:bCs/>
          <w:szCs w:val="22"/>
        </w:rPr>
        <w:t>Funcionamento, composição e atribuições do Comitê</w:t>
      </w:r>
      <w:r w:rsidRPr="00EE37E2">
        <w:rPr>
          <w:rFonts w:cs="Arial"/>
          <w:szCs w:val="22"/>
        </w:rPr>
        <w:t xml:space="preserve"> (quando existente): periodicidade, presença de atores essenciais e escopo decisório. </w:t>
      </w:r>
    </w:p>
    <w:p w:rsidRPr="00EE37E2" w:rsidR="00EE37E2" w:rsidP="00D716B8" w:rsidRDefault="00EE37E2" w14:paraId="00D4915D" w14:textId="77777777">
      <w:pPr>
        <w:numPr>
          <w:ilvl w:val="0"/>
          <w:numId w:val="9"/>
        </w:numPr>
        <w:spacing w:line="360" w:lineRule="auto"/>
        <w:jc w:val="both"/>
        <w:rPr>
          <w:rFonts w:cs="Arial"/>
          <w:szCs w:val="22"/>
        </w:rPr>
      </w:pPr>
      <w:r w:rsidRPr="00EE37E2">
        <w:rPr>
          <w:rFonts w:cs="Arial"/>
          <w:b/>
          <w:bCs/>
          <w:szCs w:val="22"/>
        </w:rPr>
        <w:t>Capacidade técnica do Controle Interno para avaliar TI</w:t>
      </w:r>
      <w:r w:rsidRPr="00EE37E2">
        <w:rPr>
          <w:rFonts w:cs="Arial"/>
          <w:szCs w:val="22"/>
        </w:rPr>
        <w:t xml:space="preserve">: se há competência própria, apoio interno, consultoria externa ou inexistência de capacidade para auditorias/avaliações em TI. </w:t>
      </w:r>
    </w:p>
    <w:p w:rsidRPr="00EE37E2" w:rsidR="00EE37E2" w:rsidP="00D716B8" w:rsidRDefault="00EE37E2" w14:paraId="2BD2188F" w14:textId="77777777">
      <w:pPr>
        <w:numPr>
          <w:ilvl w:val="0"/>
          <w:numId w:val="9"/>
        </w:numPr>
        <w:spacing w:line="360" w:lineRule="auto"/>
        <w:jc w:val="both"/>
        <w:rPr>
          <w:rFonts w:cs="Arial"/>
          <w:szCs w:val="22"/>
        </w:rPr>
      </w:pPr>
      <w:r w:rsidRPr="00EE37E2">
        <w:rPr>
          <w:rFonts w:cs="Arial"/>
          <w:b/>
          <w:bCs/>
          <w:szCs w:val="22"/>
        </w:rPr>
        <w:t>Percepção de alinhamento da TI com objetivos estratégicos do órgão</w:t>
      </w:r>
      <w:r w:rsidRPr="00EE37E2">
        <w:rPr>
          <w:rFonts w:cs="Arial"/>
          <w:szCs w:val="22"/>
        </w:rPr>
        <w:t xml:space="preserve">: pergunta de percepção, inclusive com alternativa “não se aplica” quando inexistem instrumentos de planejamento (estratégico geral e/ou PDTI). </w:t>
      </w:r>
    </w:p>
    <w:p w:rsidRPr="00EE37E2" w:rsidR="00EE37E2" w:rsidP="00EE37E2" w:rsidRDefault="00EE37E2" w14:paraId="772C4D31" w14:textId="77777777">
      <w:pPr>
        <w:spacing w:line="360" w:lineRule="auto"/>
        <w:ind w:firstLine="708"/>
        <w:jc w:val="both"/>
        <w:rPr>
          <w:rFonts w:cs="Arial"/>
          <w:szCs w:val="22"/>
        </w:rPr>
      </w:pPr>
      <w:r w:rsidRPr="00EE37E2">
        <w:rPr>
          <w:rFonts w:cs="Arial"/>
          <w:szCs w:val="22"/>
        </w:rPr>
        <w:t>Evidências esperadas (implícitas e fáceis de verificar): PDTI (documento vigente e ato de aprovação), ato de criação do comitê + regimento/atribuições + atas/calendário, matriz de competências/currículos do controle interno e/ou procedimentos de auditoria em TI, planejamento estratégico institucional (quando existir).</w:t>
      </w:r>
    </w:p>
    <w:p w:rsidRPr="002F1F1A" w:rsidR="002F1F1A" w:rsidP="00424490" w:rsidRDefault="00424490" w14:paraId="39BB2A5F" w14:textId="05F7570D">
      <w:pPr>
        <w:pStyle w:val="Ttulo2"/>
      </w:pPr>
      <w:r>
        <w:t>2.4.3.</w:t>
      </w:r>
      <w:r w:rsidRPr="002F1F1A" w:rsidR="002F1F1A">
        <w:t xml:space="preserve"> O que pode ser aproveitado no iGovTI 2026</w:t>
      </w:r>
    </w:p>
    <w:p w:rsidRPr="002F1F1A" w:rsidR="002F1F1A" w:rsidP="002F1F1A" w:rsidRDefault="002F1F1A" w14:paraId="5C555640" w14:textId="77777777">
      <w:pPr>
        <w:spacing w:line="360" w:lineRule="auto"/>
        <w:ind w:firstLine="708"/>
        <w:jc w:val="both"/>
        <w:rPr>
          <w:rFonts w:cs="Arial"/>
          <w:szCs w:val="22"/>
        </w:rPr>
      </w:pPr>
      <w:r w:rsidRPr="002F1F1A">
        <w:rPr>
          <w:rFonts w:cs="Arial"/>
          <w:b/>
          <w:bCs/>
          <w:szCs w:val="22"/>
        </w:rPr>
        <w:t>(1) Estruturação do questionário em “núcleo mínimo verificável” + maturidade.</w:t>
      </w:r>
      <w:r w:rsidRPr="002F1F1A">
        <w:rPr>
          <w:rFonts w:cs="Arial"/>
          <w:szCs w:val="22"/>
        </w:rPr>
        <w:br/>
      </w:r>
      <w:r w:rsidRPr="002F1F1A">
        <w:rPr>
          <w:rFonts w:cs="Arial"/>
          <w:szCs w:val="22"/>
        </w:rPr>
        <w:t>O modelo do TCE-RS privilegia perguntas que geram evidências objetivas (ato normativo, organograma, documentos e instâncias colegiadas), e traduz o resultado em níveis de maturidade simples (4 níveis), o que facilita comunicação e comparabilidade entre perfis.</w:t>
      </w:r>
    </w:p>
    <w:p w:rsidRPr="002F1F1A" w:rsidR="002F1F1A" w:rsidP="002F1F1A" w:rsidRDefault="002F1F1A" w14:paraId="50DAC9FD" w14:textId="77777777">
      <w:pPr>
        <w:spacing w:line="360" w:lineRule="auto"/>
        <w:ind w:firstLine="708"/>
        <w:jc w:val="both"/>
        <w:rPr>
          <w:rFonts w:cs="Arial"/>
          <w:szCs w:val="22"/>
        </w:rPr>
      </w:pPr>
      <w:r w:rsidRPr="002F1F1A">
        <w:rPr>
          <w:rFonts w:cs="Arial"/>
          <w:b/>
          <w:bCs/>
          <w:szCs w:val="22"/>
        </w:rPr>
        <w:t>(2) Bloco de “capacidade instalada” como pré-requisito de governança.</w:t>
      </w:r>
      <w:r w:rsidRPr="002F1F1A">
        <w:rPr>
          <w:rFonts w:cs="Arial"/>
          <w:szCs w:val="22"/>
        </w:rPr>
        <w:br/>
      </w:r>
      <w:r w:rsidRPr="002F1F1A">
        <w:rPr>
          <w:rFonts w:cs="Arial"/>
          <w:szCs w:val="22"/>
        </w:rPr>
        <w:t>O recorte “Estrutura e Equipe” é particularmente útil para o iGovTI 2026 como um bloco inicial (ou filtro) que ajuda a interpretar o restante do diagnóstico: formalização, quadro mínimo de pessoal, composição de vínculos e posição no organograma.</w:t>
      </w:r>
    </w:p>
    <w:p w:rsidRPr="002F1F1A" w:rsidR="002F1F1A" w:rsidP="002F1F1A" w:rsidRDefault="002F1F1A" w14:paraId="7483C899" w14:textId="77777777">
      <w:pPr>
        <w:spacing w:line="360" w:lineRule="auto"/>
        <w:ind w:firstLine="708"/>
        <w:jc w:val="both"/>
        <w:rPr>
          <w:rFonts w:cs="Arial"/>
          <w:szCs w:val="22"/>
        </w:rPr>
      </w:pPr>
      <w:r w:rsidRPr="002F1F1A">
        <w:rPr>
          <w:rFonts w:cs="Arial"/>
          <w:b/>
          <w:bCs/>
          <w:szCs w:val="22"/>
        </w:rPr>
        <w:t>(3) Governança mínima orientada a instrumentos e instâncias (PDTI + Comitê + funcionamento).</w:t>
      </w:r>
      <w:r w:rsidRPr="002F1F1A">
        <w:rPr>
          <w:rFonts w:cs="Arial"/>
          <w:szCs w:val="22"/>
        </w:rPr>
        <w:br/>
      </w:r>
      <w:r w:rsidRPr="002F1F1A">
        <w:rPr>
          <w:rFonts w:cs="Arial"/>
          <w:szCs w:val="22"/>
        </w:rPr>
        <w:t>A sequência PDTI → Comitê → funcionamento/composição/atribuições é uma boa “linha lógica” para o iGovTI 2026, pois conecta: planejamento → decisão/monitoramento → efetividade do mecanismo (não só existência).</w:t>
      </w:r>
    </w:p>
    <w:p w:rsidRPr="002F1F1A" w:rsidR="002F1F1A" w:rsidP="00C74856" w:rsidRDefault="002F1F1A" w14:paraId="473617D8" w14:textId="13A6297C">
      <w:pPr>
        <w:spacing w:line="360" w:lineRule="auto"/>
        <w:ind w:firstLine="708"/>
        <w:jc w:val="both"/>
        <w:rPr>
          <w:rFonts w:cs="Arial"/>
          <w:szCs w:val="22"/>
        </w:rPr>
      </w:pPr>
      <w:r w:rsidRPr="002F1F1A">
        <w:rPr>
          <w:rFonts w:cs="Arial"/>
          <w:b/>
          <w:bCs/>
          <w:szCs w:val="22"/>
        </w:rPr>
        <w:t>(4) Inserir o “controle interno” como variável de risco e de capacidade de governança.</w:t>
      </w:r>
      <w:r w:rsidRPr="002F1F1A">
        <w:rPr>
          <w:rFonts w:cs="Arial"/>
          <w:szCs w:val="22"/>
        </w:rPr>
        <w:br/>
      </w:r>
      <w:r w:rsidRPr="002F1F1A">
        <w:rPr>
          <w:rFonts w:cs="Arial"/>
          <w:szCs w:val="22"/>
        </w:rPr>
        <w:t xml:space="preserve">A pergunta sobre capacidade técnica do controle interno para avaliar TI é diretamente aproveitável como indicador de risco (pelo potencial de reduzir a capacidade de detectar problemas em contratos, processos e sistemas). </w:t>
      </w:r>
    </w:p>
    <w:p w:rsidRPr="002F1F1A" w:rsidR="002F1F1A" w:rsidP="00C74856" w:rsidRDefault="002F1F1A" w14:paraId="3071A495" w14:textId="1177A1E0">
      <w:pPr>
        <w:spacing w:line="360" w:lineRule="auto"/>
        <w:ind w:firstLine="708"/>
        <w:jc w:val="both"/>
        <w:rPr>
          <w:rFonts w:cs="Arial"/>
          <w:szCs w:val="22"/>
        </w:rPr>
      </w:pPr>
      <w:r w:rsidRPr="002F1F1A">
        <w:rPr>
          <w:rFonts w:cs="Arial"/>
          <w:b/>
          <w:bCs/>
          <w:szCs w:val="22"/>
        </w:rPr>
        <w:t>(5) Segmentação por porte populacional como critério de leitura (e não necessariamente de exigência).</w:t>
      </w:r>
      <w:r w:rsidRPr="002F1F1A">
        <w:rPr>
          <w:rFonts w:cs="Arial"/>
          <w:szCs w:val="22"/>
        </w:rPr>
        <w:br/>
      </w:r>
      <w:r w:rsidRPr="002F1F1A">
        <w:rPr>
          <w:rFonts w:cs="Arial"/>
          <w:szCs w:val="22"/>
        </w:rPr>
        <w:t xml:space="preserve">A segmentação por porte (IBGE) é um recurso replicável para análise e priorização por risco, evitando comparação “injusta” entre realidades muito distintas. </w:t>
      </w:r>
    </w:p>
    <w:p w:rsidRPr="007D3E0B" w:rsidR="00C51202" w:rsidP="00C74856" w:rsidRDefault="002F1F1A" w14:paraId="284F80ED" w14:textId="575B221A">
      <w:pPr>
        <w:spacing w:line="360" w:lineRule="auto"/>
        <w:ind w:firstLine="708"/>
        <w:jc w:val="both"/>
        <w:rPr>
          <w:rFonts w:cs="Arial"/>
          <w:szCs w:val="22"/>
        </w:rPr>
      </w:pPr>
      <w:r w:rsidRPr="002F1F1A">
        <w:rPr>
          <w:rFonts w:cs="Arial"/>
          <w:b/>
          <w:bCs/>
          <w:szCs w:val="22"/>
        </w:rPr>
        <w:t>(6) Tratamento explícito de “não se aplica” por ausência de planejamento.</w:t>
      </w:r>
      <w:r w:rsidRPr="002F1F1A">
        <w:rPr>
          <w:rFonts w:cs="Arial"/>
          <w:szCs w:val="22"/>
        </w:rPr>
        <w:br/>
      </w:r>
      <w:r w:rsidRPr="002F1F1A">
        <w:rPr>
          <w:rFonts w:cs="Arial"/>
          <w:szCs w:val="22"/>
        </w:rPr>
        <w:t xml:space="preserve">A alternativa “não se aplica” quando não há planejamento estratégico geral e/ou PDTI é um mecanismo útil para “diagnosticar o vazio” sem forçar respostas artificiais e ainda gerar insumo para trilhas de maturidade. </w:t>
      </w:r>
    </w:p>
    <w:p w:rsidR="00EE10F6" w:rsidRDefault="00EE10F6" w14:paraId="40A3B3A5" w14:textId="77777777">
      <w:pPr>
        <w:spacing w:after="200" w:line="276" w:lineRule="auto"/>
        <w:rPr>
          <w:rFonts w:asciiTheme="majorHAnsi" w:hAnsiTheme="majorHAnsi" w:eastAsiaTheme="majorEastAsia" w:cstheme="majorBidi"/>
          <w:b/>
          <w:bCs/>
          <w:color w:val="365F91" w:themeColor="accent1" w:themeShade="BF"/>
          <w:sz w:val="28"/>
          <w:szCs w:val="28"/>
        </w:rPr>
      </w:pPr>
      <w:r>
        <w:br w:type="page"/>
      </w:r>
    </w:p>
    <w:p w:rsidRPr="00AB10CD" w:rsidR="00AB10CD" w:rsidP="00AB10CD" w:rsidRDefault="00CF0947" w14:paraId="1A41709F" w14:textId="77777777">
      <w:pPr>
        <w:pStyle w:val="Ttulo1"/>
      </w:pPr>
      <w:r>
        <w:t xml:space="preserve">2.5. </w:t>
      </w:r>
      <w:r w:rsidR="00073700">
        <w:t xml:space="preserve">TCU - </w:t>
      </w:r>
      <w:r w:rsidRPr="00AB10CD" w:rsidR="00AB10CD">
        <w:t>Evolução do iGovTI e sua incorporação aos instrumentos integrados (</w:t>
      </w:r>
      <w:proofErr w:type="spellStart"/>
      <w:r w:rsidRPr="00AB10CD" w:rsidR="00AB10CD">
        <w:t>iGG</w:t>
      </w:r>
      <w:proofErr w:type="spellEnd"/>
      <w:r w:rsidRPr="00AB10CD" w:rsidR="00AB10CD">
        <w:t xml:space="preserve"> 2021 e </w:t>
      </w:r>
      <w:proofErr w:type="spellStart"/>
      <w:r w:rsidRPr="00AB10CD" w:rsidR="00AB10CD">
        <w:t>iESGo</w:t>
      </w:r>
      <w:proofErr w:type="spellEnd"/>
      <w:r w:rsidRPr="00AB10CD" w:rsidR="00AB10CD">
        <w:t xml:space="preserve"> 2024)</w:t>
      </w:r>
    </w:p>
    <w:p w:rsidRPr="009B419C" w:rsidR="00EB60BB" w:rsidP="0004118A" w:rsidRDefault="0004118A" w14:paraId="2C326F01" w14:textId="72FFA475">
      <w:pPr>
        <w:spacing w:line="360" w:lineRule="auto"/>
        <w:ind w:firstLine="708"/>
        <w:jc w:val="both"/>
        <w:rPr>
          <w:rFonts w:cs="Arial"/>
          <w:szCs w:val="22"/>
        </w:rPr>
      </w:pPr>
      <w:r w:rsidRPr="0004118A">
        <w:rPr>
          <w:rFonts w:cs="Arial"/>
          <w:szCs w:val="22"/>
        </w:rPr>
        <w:t>Esta seção sistematiza a evolução do modelo do TCU</w:t>
      </w:r>
      <w:r w:rsidRPr="009B419C" w:rsidR="00EB60BB">
        <w:rPr>
          <w:rStyle w:val="Refdenotaderodap"/>
          <w:rFonts w:cs="Arial"/>
          <w:szCs w:val="22"/>
        </w:rPr>
        <w:footnoteReference w:id="2"/>
      </w:r>
      <w:r w:rsidRPr="0004118A">
        <w:rPr>
          <w:rFonts w:cs="Arial"/>
          <w:szCs w:val="22"/>
        </w:rPr>
        <w:t xml:space="preserve"> para avaliar Governança e Gestão de TI, desde os levantamentos temáticos iniciais (2007/2008 e 2010) até a consolidação de um índice sintético (iGovTI) e a posterior integração do tema em instrumentos mais amplos de governança e gestão (</w:t>
      </w:r>
      <w:proofErr w:type="spellStart"/>
      <w:r w:rsidRPr="0004118A">
        <w:rPr>
          <w:rFonts w:cs="Arial"/>
          <w:szCs w:val="22"/>
        </w:rPr>
        <w:t>iGG</w:t>
      </w:r>
      <w:proofErr w:type="spellEnd"/>
      <w:r w:rsidRPr="0004118A">
        <w:rPr>
          <w:rFonts w:cs="Arial"/>
          <w:szCs w:val="22"/>
        </w:rPr>
        <w:t xml:space="preserve"> 2021 e </w:t>
      </w:r>
      <w:proofErr w:type="spellStart"/>
      <w:r w:rsidRPr="0004118A">
        <w:rPr>
          <w:rFonts w:cs="Arial"/>
          <w:szCs w:val="22"/>
        </w:rPr>
        <w:t>iESGo</w:t>
      </w:r>
      <w:proofErr w:type="spellEnd"/>
      <w:r w:rsidRPr="0004118A">
        <w:rPr>
          <w:rFonts w:cs="Arial"/>
          <w:szCs w:val="22"/>
        </w:rPr>
        <w:t xml:space="preserve"> 2024). </w:t>
      </w:r>
    </w:p>
    <w:p w:rsidRPr="009B419C" w:rsidR="0004118A" w:rsidP="0004118A" w:rsidRDefault="0004118A" w14:paraId="270BFDBE" w14:textId="3475F485">
      <w:pPr>
        <w:spacing w:line="360" w:lineRule="auto"/>
        <w:ind w:firstLine="708"/>
        <w:jc w:val="both"/>
        <w:rPr>
          <w:rFonts w:cs="Arial"/>
          <w:szCs w:val="22"/>
        </w:rPr>
      </w:pPr>
      <w:r w:rsidRPr="0004118A">
        <w:rPr>
          <w:rFonts w:cs="Arial"/>
          <w:szCs w:val="22"/>
        </w:rPr>
        <w:t>O objetivo é compreender o que mudou, como mudou e por que mudou, para extrair lições diretamente aplicáveis ao desenho do iGovTI 2026 do TCE-RJ, com foco em: (i) arquitetura do instrumento (núcleo comum e módulos), (</w:t>
      </w:r>
      <w:proofErr w:type="spellStart"/>
      <w:r w:rsidRPr="0004118A">
        <w:rPr>
          <w:rFonts w:cs="Arial"/>
          <w:szCs w:val="22"/>
        </w:rPr>
        <w:t>ii</w:t>
      </w:r>
      <w:proofErr w:type="spellEnd"/>
      <w:r w:rsidRPr="0004118A">
        <w:rPr>
          <w:rFonts w:cs="Arial"/>
          <w:szCs w:val="22"/>
        </w:rPr>
        <w:t>) qualidade e comparabilidade do dado, (</w:t>
      </w:r>
      <w:proofErr w:type="spellStart"/>
      <w:r w:rsidRPr="0004118A">
        <w:rPr>
          <w:rFonts w:cs="Arial"/>
          <w:szCs w:val="22"/>
        </w:rPr>
        <w:t>iii</w:t>
      </w:r>
      <w:proofErr w:type="spellEnd"/>
      <w:r w:rsidRPr="0004118A">
        <w:rPr>
          <w:rFonts w:cs="Arial"/>
          <w:szCs w:val="22"/>
        </w:rPr>
        <w:t>) rastreabilidade entre pergunta–prática–risco–resultado e (</w:t>
      </w:r>
      <w:proofErr w:type="spellStart"/>
      <w:r w:rsidRPr="0004118A">
        <w:rPr>
          <w:rFonts w:cs="Arial"/>
          <w:szCs w:val="22"/>
        </w:rPr>
        <w:t>iv</w:t>
      </w:r>
      <w:proofErr w:type="spellEnd"/>
      <w:r w:rsidRPr="0004118A">
        <w:rPr>
          <w:rFonts w:cs="Arial"/>
          <w:szCs w:val="22"/>
        </w:rPr>
        <w:t>) capacidade indutora (o questionário como mecanismo pedagógico e de priorização).</w:t>
      </w:r>
    </w:p>
    <w:p w:rsidRPr="009B419C" w:rsidR="009B419C" w:rsidP="009B419C" w:rsidRDefault="009B419C" w14:paraId="74384DB9" w14:textId="77777777">
      <w:pPr>
        <w:spacing w:line="360" w:lineRule="auto"/>
        <w:ind w:firstLine="708"/>
        <w:jc w:val="both"/>
        <w:rPr>
          <w:rFonts w:cs="Arial"/>
          <w:szCs w:val="22"/>
        </w:rPr>
      </w:pPr>
      <w:r w:rsidRPr="009B419C">
        <w:rPr>
          <w:rFonts w:cs="Arial"/>
          <w:szCs w:val="22"/>
        </w:rPr>
        <w:t>Como hipótese de trabalho para o contexto do RJ, considera-se plausível que parte dos municípios apresente maturidade igual ou inferior ao cenário federal observado nos ciclos iniciais, o que reforça a necessidade de um núcleo mínimo, verificável e orientado a “multiplicadores” (liderança, planejamento, segurança/continuidade, contratações/contratos e mensuração).</w:t>
      </w:r>
    </w:p>
    <w:p w:rsidRPr="00C70C8C" w:rsidR="00C70C8C" w:rsidP="00C70C8C" w:rsidRDefault="00135257" w14:paraId="66739E88" w14:textId="1594E150">
      <w:pPr>
        <w:pStyle w:val="Ttulo2"/>
      </w:pPr>
      <w:r>
        <w:t>2</w:t>
      </w:r>
      <w:r w:rsidRPr="00C70C8C" w:rsidR="00C70C8C">
        <w:t>.</w:t>
      </w:r>
      <w:r>
        <w:t>5.1</w:t>
      </w:r>
      <w:r w:rsidRPr="00C70C8C" w:rsidR="00C70C8C">
        <w:t>. Escopo e objetivos dos trabalhos analisados (marcos e evolução)</w:t>
      </w:r>
    </w:p>
    <w:p w:rsidR="00083D11" w:rsidP="00083D11" w:rsidRDefault="00083D11" w14:paraId="670CEC16" w14:textId="13FAB07B">
      <w:pPr>
        <w:spacing w:line="360" w:lineRule="auto"/>
        <w:jc w:val="both"/>
        <w:rPr>
          <w:rFonts w:cs="Arial"/>
          <w:b/>
          <w:bCs/>
          <w:szCs w:val="22"/>
        </w:rPr>
      </w:pPr>
      <w:r w:rsidRPr="00083D11">
        <w:rPr>
          <w:rFonts w:cs="Arial"/>
          <w:b/>
          <w:bCs/>
          <w:szCs w:val="22"/>
        </w:rPr>
        <w:t xml:space="preserve">2007/2008 – </w:t>
      </w:r>
      <w:r w:rsidRPr="00083D11" w:rsidR="004F506F">
        <w:rPr>
          <w:rFonts w:cs="Arial"/>
          <w:b/>
          <w:bCs/>
          <w:szCs w:val="22"/>
        </w:rPr>
        <w:t>Diagnóstico-base</w:t>
      </w:r>
      <w:r w:rsidRPr="00083D11">
        <w:rPr>
          <w:rFonts w:cs="Arial"/>
          <w:b/>
          <w:bCs/>
          <w:szCs w:val="22"/>
        </w:rPr>
        <w:t xml:space="preserve"> (linha de base)</w:t>
      </w:r>
    </w:p>
    <w:p w:rsidRPr="00083D11" w:rsidR="00083D11" w:rsidP="00083D11" w:rsidRDefault="00083D11" w14:paraId="71D5A006" w14:textId="606A51B3">
      <w:pPr>
        <w:spacing w:line="360" w:lineRule="auto"/>
        <w:ind w:firstLine="708"/>
        <w:jc w:val="both"/>
        <w:rPr>
          <w:rFonts w:cs="Arial"/>
          <w:szCs w:val="22"/>
        </w:rPr>
      </w:pPr>
      <w:r w:rsidRPr="007E7C29">
        <w:rPr>
          <w:rFonts w:cs="Arial"/>
          <w:szCs w:val="22"/>
        </w:rPr>
        <w:t>O</w:t>
      </w:r>
      <w:r w:rsidRPr="00083D11">
        <w:rPr>
          <w:rFonts w:cs="Arial"/>
          <w:szCs w:val="22"/>
        </w:rPr>
        <w:t xml:space="preserve"> levantamento que resultou no Acórdão 1.603/2008 foi autorizado para coletar informações sobre processos de aquisição de bens e serviços de TI, segurança da informação, gestão de recursos humanos de TI e identificação de principais bases de dados e sistemas da APF. O objetivo declarado foi construir um mapa da situação da governança de TI e identificar áreas críticas para orientar a atuação indutora do TCU. </w:t>
      </w:r>
    </w:p>
    <w:p w:rsidR="00083D11" w:rsidP="00083D11" w:rsidRDefault="00083D11" w14:paraId="7F238BC3" w14:textId="77777777">
      <w:pPr>
        <w:spacing w:line="360" w:lineRule="auto"/>
        <w:jc w:val="both"/>
        <w:rPr>
          <w:rFonts w:cs="Arial"/>
          <w:b/>
          <w:bCs/>
          <w:szCs w:val="22"/>
        </w:rPr>
      </w:pPr>
    </w:p>
    <w:p w:rsidR="00083D11" w:rsidP="00083D11" w:rsidRDefault="00083D11" w14:paraId="0FF6CDEE" w14:textId="24E5B57C">
      <w:pPr>
        <w:spacing w:line="360" w:lineRule="auto"/>
        <w:jc w:val="both"/>
        <w:rPr>
          <w:rFonts w:cs="Arial"/>
          <w:szCs w:val="22"/>
        </w:rPr>
      </w:pPr>
      <w:r w:rsidRPr="00083D11">
        <w:rPr>
          <w:rFonts w:cs="Arial"/>
          <w:b/>
          <w:bCs/>
          <w:szCs w:val="22"/>
        </w:rPr>
        <w:t xml:space="preserve">2010 – </w:t>
      </w:r>
      <w:r w:rsidR="00254CCE">
        <w:rPr>
          <w:rFonts w:cs="Arial"/>
          <w:b/>
          <w:bCs/>
          <w:szCs w:val="22"/>
        </w:rPr>
        <w:t>C</w:t>
      </w:r>
      <w:r w:rsidRPr="00254CCE" w:rsidR="00254CCE">
        <w:rPr>
          <w:rFonts w:cs="Arial"/>
          <w:b/>
          <w:bCs/>
          <w:szCs w:val="22"/>
        </w:rPr>
        <w:t>onsolidação do iGovTI como índice sintético e comparável</w:t>
      </w:r>
      <w:r w:rsidRPr="00083D11">
        <w:rPr>
          <w:rFonts w:cs="Arial"/>
          <w:b/>
          <w:bCs/>
          <w:szCs w:val="22"/>
        </w:rPr>
        <w:t>:</w:t>
      </w:r>
      <w:r w:rsidRPr="00083D11">
        <w:rPr>
          <w:rFonts w:cs="Arial"/>
          <w:szCs w:val="22"/>
        </w:rPr>
        <w:t xml:space="preserve"> </w:t>
      </w:r>
    </w:p>
    <w:p w:rsidRPr="005B4386" w:rsidR="00EF3833" w:rsidP="00EF3833" w:rsidRDefault="00083D11" w14:paraId="0769CB11" w14:textId="5FBEB990">
      <w:pPr>
        <w:spacing w:line="360" w:lineRule="auto"/>
        <w:ind w:firstLine="708"/>
        <w:jc w:val="both"/>
        <w:rPr>
          <w:rFonts w:cs="Arial"/>
          <w:szCs w:val="22"/>
        </w:rPr>
      </w:pPr>
      <w:r w:rsidRPr="005B4386">
        <w:rPr>
          <w:rFonts w:cs="Arial"/>
          <w:szCs w:val="22"/>
        </w:rPr>
        <w:t>Em cumprimento à determinação do próprio Acórdão 1.603/2008, o TCU realizou novo levantamento para verificar a evolução em relação a 2007</w:t>
      </w:r>
      <w:r w:rsidRPr="005B4386" w:rsidR="00EF3833">
        <w:rPr>
          <w:rFonts w:cs="Arial"/>
          <w:szCs w:val="22"/>
        </w:rPr>
        <w:t xml:space="preserve">. Nele o TCU </w:t>
      </w:r>
      <w:r w:rsidRPr="005B4386" w:rsidR="00124CCB">
        <w:rPr>
          <w:rFonts w:cs="Arial"/>
          <w:szCs w:val="22"/>
        </w:rPr>
        <w:t>formaliza um método de cálculo do iGovTI e define faixas de classificação (&lt;40% inicial; 40–59% intermediário; ≥60% aprimorado)</w:t>
      </w:r>
      <w:r w:rsidR="005B4386">
        <w:rPr>
          <w:rFonts w:cs="Arial"/>
          <w:szCs w:val="22"/>
        </w:rPr>
        <w:t xml:space="preserve"> </w:t>
      </w:r>
      <w:r w:rsidRPr="005B4386" w:rsidR="005B4386">
        <w:rPr>
          <w:rFonts w:cs="Arial"/>
          <w:szCs w:val="22"/>
        </w:rPr>
        <w:t xml:space="preserve">e </w:t>
      </w:r>
      <w:r w:rsidRPr="005B4386" w:rsidR="00EF3833">
        <w:rPr>
          <w:rFonts w:cs="Arial"/>
          <w:szCs w:val="22"/>
        </w:rPr>
        <w:t>explicit</w:t>
      </w:r>
      <w:r w:rsidRPr="005B4386" w:rsidR="005B4386">
        <w:rPr>
          <w:rFonts w:cs="Arial"/>
          <w:szCs w:val="22"/>
        </w:rPr>
        <w:t>a</w:t>
      </w:r>
      <w:r w:rsidRPr="005B4386" w:rsidR="00EF3833">
        <w:rPr>
          <w:rFonts w:cs="Arial"/>
          <w:szCs w:val="22"/>
        </w:rPr>
        <w:t xml:space="preserve"> a inclusão do eixo liderança, reforçando que a governança de TI é responsabilidade da alta administração. </w:t>
      </w:r>
    </w:p>
    <w:p w:rsidR="00083D11" w:rsidP="00083D11" w:rsidRDefault="00083D11" w14:paraId="5BD45FB0" w14:textId="77777777">
      <w:pPr>
        <w:spacing w:line="360" w:lineRule="auto"/>
        <w:jc w:val="both"/>
        <w:rPr>
          <w:rFonts w:cs="Arial"/>
          <w:b/>
          <w:bCs/>
          <w:szCs w:val="22"/>
        </w:rPr>
      </w:pPr>
    </w:p>
    <w:p w:rsidR="0084585A" w:rsidP="00083D11" w:rsidRDefault="00083D11" w14:paraId="13A2E7DC" w14:textId="4AEBB69D">
      <w:pPr>
        <w:spacing w:line="360" w:lineRule="auto"/>
        <w:jc w:val="both"/>
        <w:rPr>
          <w:rFonts w:cs="Arial"/>
          <w:b/>
          <w:bCs/>
          <w:szCs w:val="22"/>
        </w:rPr>
      </w:pPr>
      <w:r w:rsidRPr="00083D11">
        <w:rPr>
          <w:rFonts w:cs="Arial"/>
          <w:b/>
          <w:bCs/>
          <w:szCs w:val="22"/>
        </w:rPr>
        <w:t xml:space="preserve">2016 → 2021 </w:t>
      </w:r>
      <w:r w:rsidRPr="00083D11" w:rsidR="00250D40">
        <w:rPr>
          <w:rFonts w:cs="Arial"/>
          <w:b/>
          <w:bCs/>
          <w:szCs w:val="22"/>
        </w:rPr>
        <w:t>–</w:t>
      </w:r>
      <w:r w:rsidR="00250D40">
        <w:rPr>
          <w:rFonts w:cs="Arial"/>
          <w:b/>
          <w:bCs/>
          <w:szCs w:val="22"/>
        </w:rPr>
        <w:t xml:space="preserve"> </w:t>
      </w:r>
      <w:r w:rsidR="00AF2D3E">
        <w:rPr>
          <w:rFonts w:cs="Arial"/>
          <w:b/>
          <w:bCs/>
          <w:szCs w:val="22"/>
        </w:rPr>
        <w:t>I</w:t>
      </w:r>
      <w:r w:rsidRPr="00AF2D3E" w:rsidR="00AF2D3E">
        <w:rPr>
          <w:rFonts w:cs="Arial"/>
          <w:b/>
          <w:bCs/>
          <w:szCs w:val="22"/>
        </w:rPr>
        <w:t xml:space="preserve">ntegração e estabilização do </w:t>
      </w:r>
      <w:proofErr w:type="spellStart"/>
      <w:r w:rsidRPr="00AF2D3E" w:rsidR="00AF2D3E">
        <w:rPr>
          <w:rFonts w:cs="Arial"/>
          <w:b/>
          <w:bCs/>
          <w:szCs w:val="22"/>
        </w:rPr>
        <w:t>iGG</w:t>
      </w:r>
      <w:proofErr w:type="spellEnd"/>
    </w:p>
    <w:p w:rsidRPr="003931FA" w:rsidR="003931FA" w:rsidP="003931FA" w:rsidRDefault="003931FA" w14:paraId="18C9DB3D" w14:textId="77777777">
      <w:pPr>
        <w:spacing w:line="360" w:lineRule="auto"/>
        <w:ind w:firstLine="708"/>
        <w:jc w:val="both"/>
        <w:rPr>
          <w:rFonts w:cs="Arial"/>
          <w:szCs w:val="22"/>
        </w:rPr>
      </w:pPr>
      <w:r w:rsidRPr="003931FA">
        <w:rPr>
          <w:rFonts w:cs="Arial"/>
          <w:szCs w:val="22"/>
        </w:rPr>
        <w:t xml:space="preserve">A partir de 2017, o TCU passa a obter o </w:t>
      </w:r>
      <w:r w:rsidRPr="003931FA">
        <w:rPr>
          <w:rFonts w:cs="Arial"/>
          <w:b/>
          <w:bCs/>
          <w:szCs w:val="22"/>
        </w:rPr>
        <w:t>perfil integrado</w:t>
      </w:r>
      <w:r w:rsidRPr="003931FA">
        <w:rPr>
          <w:rFonts w:cs="Arial"/>
          <w:szCs w:val="22"/>
        </w:rPr>
        <w:t xml:space="preserve"> de governança organizacional e gestão pública por meio do </w:t>
      </w:r>
      <w:proofErr w:type="spellStart"/>
      <w:r w:rsidRPr="003931FA">
        <w:rPr>
          <w:rFonts w:cs="Arial"/>
          <w:szCs w:val="22"/>
        </w:rPr>
        <w:t>iGG</w:t>
      </w:r>
      <w:proofErr w:type="spellEnd"/>
      <w:r w:rsidRPr="003931FA">
        <w:rPr>
          <w:rFonts w:cs="Arial"/>
          <w:szCs w:val="22"/>
        </w:rPr>
        <w:t xml:space="preserve">, reunindo em um único instrumento: governança pública organizacional e governança/gestão de TI, pessoas e contratações. </w:t>
      </w:r>
    </w:p>
    <w:p w:rsidRPr="003931FA" w:rsidR="003931FA" w:rsidP="003931FA" w:rsidRDefault="003931FA" w14:paraId="14B9AF67" w14:textId="77777777">
      <w:pPr>
        <w:spacing w:line="360" w:lineRule="auto"/>
        <w:ind w:firstLine="708"/>
        <w:jc w:val="both"/>
        <w:rPr>
          <w:rFonts w:cs="Arial"/>
          <w:szCs w:val="22"/>
        </w:rPr>
      </w:pPr>
      <w:r w:rsidRPr="003931FA">
        <w:rPr>
          <w:rFonts w:cs="Arial"/>
          <w:szCs w:val="22"/>
        </w:rPr>
        <w:t>Essa integração marca uma inflexão importante: o TCU deixa de avaliar TI como ilha e passa a tratá-la como capacidade de gestão conectada a outras funções críticas.</w:t>
      </w:r>
    </w:p>
    <w:p w:rsidRPr="004F506F" w:rsidR="004F506F" w:rsidP="0022762C" w:rsidRDefault="004F506F" w14:paraId="4BD1D7F5" w14:textId="51C7B41C">
      <w:pPr>
        <w:spacing w:line="360" w:lineRule="auto"/>
        <w:ind w:firstLine="708"/>
        <w:jc w:val="both"/>
        <w:rPr>
          <w:rFonts w:cs="Arial"/>
          <w:szCs w:val="22"/>
        </w:rPr>
      </w:pPr>
      <w:r w:rsidRPr="004F506F">
        <w:rPr>
          <w:rFonts w:cs="Arial"/>
          <w:szCs w:val="22"/>
        </w:rPr>
        <w:t xml:space="preserve">Em 2021, o </w:t>
      </w:r>
      <w:proofErr w:type="spellStart"/>
      <w:r w:rsidRPr="004F506F">
        <w:rPr>
          <w:rFonts w:cs="Arial"/>
          <w:szCs w:val="22"/>
        </w:rPr>
        <w:t>iGG</w:t>
      </w:r>
      <w:proofErr w:type="spellEnd"/>
      <w:r w:rsidRPr="004F506F">
        <w:rPr>
          <w:rFonts w:cs="Arial"/>
          <w:szCs w:val="22"/>
        </w:rPr>
        <w:t xml:space="preserve"> foi aplicado como acompanhamento e teve objetivos explícitos de:</w:t>
      </w:r>
    </w:p>
    <w:p w:rsidRPr="004F506F" w:rsidR="004F506F" w:rsidP="00D716B8" w:rsidRDefault="004F506F" w14:paraId="4C56A88C" w14:textId="77777777">
      <w:pPr>
        <w:numPr>
          <w:ilvl w:val="0"/>
          <w:numId w:val="29"/>
        </w:numPr>
        <w:spacing w:line="360" w:lineRule="auto"/>
        <w:jc w:val="both"/>
        <w:rPr>
          <w:rFonts w:cs="Arial"/>
          <w:szCs w:val="22"/>
        </w:rPr>
      </w:pPr>
      <w:r w:rsidRPr="004F506F">
        <w:rPr>
          <w:rFonts w:cs="Arial"/>
          <w:szCs w:val="22"/>
        </w:rPr>
        <w:t>obter e analisar informações para identificar riscos sistêmicos, subsidiar o planejamento do controle externo e induzir mudança de comportamento;</w:t>
      </w:r>
    </w:p>
    <w:p w:rsidRPr="004F506F" w:rsidR="004F506F" w:rsidP="00D716B8" w:rsidRDefault="004F506F" w14:paraId="338CD4D5" w14:textId="21AA3611">
      <w:pPr>
        <w:numPr>
          <w:ilvl w:val="0"/>
          <w:numId w:val="29"/>
        </w:numPr>
        <w:spacing w:line="360" w:lineRule="auto"/>
        <w:jc w:val="both"/>
        <w:rPr>
          <w:rFonts w:cs="Arial"/>
          <w:szCs w:val="22"/>
        </w:rPr>
      </w:pPr>
      <w:r w:rsidRPr="004F506F">
        <w:rPr>
          <w:rFonts w:cs="Arial"/>
          <w:szCs w:val="22"/>
        </w:rPr>
        <w:t xml:space="preserve">além de implantar solução tecnológica (e-Governança) para </w:t>
      </w:r>
      <w:r w:rsidR="00F754D6">
        <w:rPr>
          <w:rFonts w:cs="Arial"/>
          <w:szCs w:val="22"/>
        </w:rPr>
        <w:t xml:space="preserve">autoavaliação em </w:t>
      </w:r>
      <w:r w:rsidRPr="004F506F">
        <w:rPr>
          <w:rFonts w:cs="Arial"/>
          <w:szCs w:val="22"/>
        </w:rPr>
        <w:t xml:space="preserve">autosserviço. </w:t>
      </w:r>
    </w:p>
    <w:p w:rsidR="00F754D6" w:rsidP="00083D11" w:rsidRDefault="00F754D6" w14:paraId="66C1838A" w14:textId="77777777">
      <w:pPr>
        <w:spacing w:line="360" w:lineRule="auto"/>
        <w:jc w:val="both"/>
        <w:rPr>
          <w:rFonts w:cs="Arial"/>
          <w:b/>
          <w:bCs/>
          <w:szCs w:val="22"/>
        </w:rPr>
      </w:pPr>
    </w:p>
    <w:p w:rsidR="00083D11" w:rsidP="00083D11" w:rsidRDefault="00083D11" w14:paraId="11265FEE" w14:textId="06290994">
      <w:pPr>
        <w:spacing w:line="360" w:lineRule="auto"/>
        <w:jc w:val="both"/>
        <w:rPr>
          <w:rFonts w:cs="Arial"/>
          <w:szCs w:val="22"/>
        </w:rPr>
      </w:pPr>
      <w:r w:rsidRPr="00083D11">
        <w:rPr>
          <w:rFonts w:cs="Arial"/>
          <w:b/>
          <w:bCs/>
          <w:szCs w:val="22"/>
        </w:rPr>
        <w:t>2024 –</w:t>
      </w:r>
      <w:r w:rsidR="00250D40">
        <w:rPr>
          <w:rFonts w:cs="Arial"/>
          <w:b/>
          <w:bCs/>
          <w:szCs w:val="22"/>
        </w:rPr>
        <w:t xml:space="preserve"> </w:t>
      </w:r>
      <w:r w:rsidR="001E449F">
        <w:rPr>
          <w:rFonts w:cs="Arial"/>
          <w:b/>
          <w:bCs/>
          <w:szCs w:val="22"/>
        </w:rPr>
        <w:t xml:space="preserve">Ênfase </w:t>
      </w:r>
      <w:r w:rsidR="00831356">
        <w:rPr>
          <w:rFonts w:cs="Arial"/>
          <w:b/>
          <w:bCs/>
          <w:szCs w:val="22"/>
        </w:rPr>
        <w:t>no ESG</w:t>
      </w:r>
      <w:r w:rsidR="00613654">
        <w:rPr>
          <w:rFonts w:cs="Arial"/>
          <w:b/>
          <w:bCs/>
          <w:szCs w:val="22"/>
        </w:rPr>
        <w:t xml:space="preserve"> e </w:t>
      </w:r>
      <w:r w:rsidRPr="00613654" w:rsidR="00613654">
        <w:rPr>
          <w:rFonts w:cs="Arial"/>
          <w:b/>
          <w:bCs/>
          <w:szCs w:val="22"/>
        </w:rPr>
        <w:t>aperfeiçoamento</w:t>
      </w:r>
      <w:r w:rsidR="00613654">
        <w:rPr>
          <w:rFonts w:cs="Arial"/>
          <w:b/>
          <w:bCs/>
          <w:szCs w:val="22"/>
        </w:rPr>
        <w:t xml:space="preserve"> do questionário</w:t>
      </w:r>
    </w:p>
    <w:p w:rsidRPr="00831356" w:rsidR="00831356" w:rsidP="00831356" w:rsidRDefault="00831356" w14:paraId="67252078" w14:textId="1EB3787D">
      <w:pPr>
        <w:spacing w:line="360" w:lineRule="auto"/>
        <w:ind w:firstLine="708"/>
        <w:jc w:val="both"/>
        <w:rPr>
          <w:rFonts w:cs="Arial"/>
          <w:szCs w:val="22"/>
        </w:rPr>
      </w:pPr>
      <w:r w:rsidRPr="00831356">
        <w:rPr>
          <w:rFonts w:cs="Arial"/>
          <w:szCs w:val="22"/>
        </w:rPr>
        <w:t xml:space="preserve">O </w:t>
      </w:r>
      <w:proofErr w:type="spellStart"/>
      <w:r w:rsidRPr="00831356">
        <w:rPr>
          <w:rFonts w:cs="Arial"/>
          <w:szCs w:val="22"/>
        </w:rPr>
        <w:t>iESGo</w:t>
      </w:r>
      <w:proofErr w:type="spellEnd"/>
      <w:r w:rsidRPr="00831356">
        <w:rPr>
          <w:rFonts w:cs="Arial"/>
          <w:szCs w:val="22"/>
        </w:rPr>
        <w:t xml:space="preserve"> 2024 resulta da remodelagem do </w:t>
      </w:r>
      <w:proofErr w:type="spellStart"/>
      <w:r w:rsidRPr="00831356">
        <w:rPr>
          <w:rFonts w:cs="Arial"/>
          <w:szCs w:val="22"/>
        </w:rPr>
        <w:t>iGG</w:t>
      </w:r>
      <w:proofErr w:type="spellEnd"/>
      <w:r w:rsidRPr="00831356">
        <w:rPr>
          <w:rFonts w:cs="Arial"/>
          <w:szCs w:val="22"/>
        </w:rPr>
        <w:t xml:space="preserve"> para incorporar práticas de ESG e consolidar o instrumento como avaliação de governança + gestão + sustentabilidade, mantendo alinhamento ao R</w:t>
      </w:r>
      <w:r w:rsidRPr="00E73C88" w:rsidR="00E73C88">
        <w:rPr>
          <w:rFonts w:cs="Arial"/>
          <w:szCs w:val="22"/>
        </w:rPr>
        <w:t xml:space="preserve">eferencial Básico de </w:t>
      </w:r>
      <w:r w:rsidRPr="00831356">
        <w:rPr>
          <w:rFonts w:cs="Arial"/>
          <w:szCs w:val="22"/>
        </w:rPr>
        <w:t>G</w:t>
      </w:r>
      <w:r w:rsidRPr="00E73C88" w:rsidR="00E73C88">
        <w:rPr>
          <w:rFonts w:cs="Arial"/>
          <w:szCs w:val="22"/>
        </w:rPr>
        <w:t>overnança</w:t>
      </w:r>
      <w:r w:rsidR="00E73C88">
        <w:rPr>
          <w:rFonts w:cs="Arial"/>
          <w:szCs w:val="22"/>
        </w:rPr>
        <w:t>.</w:t>
      </w:r>
    </w:p>
    <w:p w:rsidRPr="00831356" w:rsidR="00831356" w:rsidP="00831356" w:rsidRDefault="00831356" w14:paraId="530A5791" w14:textId="77777777">
      <w:pPr>
        <w:spacing w:line="360" w:lineRule="auto"/>
        <w:ind w:firstLine="708"/>
        <w:jc w:val="both"/>
        <w:rPr>
          <w:rFonts w:cs="Arial"/>
          <w:szCs w:val="22"/>
        </w:rPr>
      </w:pPr>
      <w:r w:rsidRPr="00831356">
        <w:rPr>
          <w:rFonts w:cs="Arial"/>
          <w:szCs w:val="22"/>
        </w:rPr>
        <w:t xml:space="preserve">O Acórdão 1.913/2024 (Plenário) formaliza encaminhamentos relevantes de transparência e disseminação do instrumento. </w:t>
      </w:r>
    </w:p>
    <w:p w:rsidRPr="007E7C29" w:rsidR="007E7C29" w:rsidP="007E7C29" w:rsidRDefault="00135257" w14:paraId="1C8FDBC6" w14:textId="080F009E">
      <w:pPr>
        <w:pStyle w:val="Ttulo2"/>
      </w:pPr>
      <w:r>
        <w:t>2</w:t>
      </w:r>
      <w:r w:rsidRPr="00C70C8C">
        <w:t>.</w:t>
      </w:r>
      <w:r>
        <w:t>5.2.</w:t>
      </w:r>
      <w:r w:rsidRPr="007E7C29" w:rsidR="007E7C29">
        <w:t xml:space="preserve"> Dimensões avaliadas e lógica das questões (macrovisão)</w:t>
      </w:r>
    </w:p>
    <w:p w:rsidRPr="008E0952" w:rsidR="008E0952" w:rsidP="008E0952" w:rsidRDefault="008E0952" w14:paraId="7000C502" w14:textId="77777777">
      <w:pPr>
        <w:spacing w:line="360" w:lineRule="auto"/>
        <w:jc w:val="both"/>
        <w:rPr>
          <w:rFonts w:cs="Arial"/>
          <w:b/>
          <w:bCs/>
          <w:szCs w:val="22"/>
        </w:rPr>
      </w:pPr>
      <w:r w:rsidRPr="008E0952">
        <w:rPr>
          <w:rFonts w:cs="Arial"/>
          <w:b/>
          <w:bCs/>
          <w:szCs w:val="22"/>
        </w:rPr>
        <w:t>a) 2007/2008 – foco em existência de práticas e processos essenciais (9 eixos)</w:t>
      </w:r>
    </w:p>
    <w:p w:rsidRPr="008E0952" w:rsidR="008E0952" w:rsidP="008E0952" w:rsidRDefault="008E0952" w14:paraId="4BA7462C" w14:textId="77777777">
      <w:pPr>
        <w:spacing w:line="360" w:lineRule="auto"/>
        <w:ind w:firstLine="708"/>
        <w:jc w:val="both"/>
        <w:rPr>
          <w:rFonts w:cs="Arial"/>
          <w:szCs w:val="22"/>
        </w:rPr>
      </w:pPr>
      <w:r w:rsidRPr="008E0952">
        <w:rPr>
          <w:rFonts w:cs="Arial"/>
          <w:szCs w:val="22"/>
        </w:rPr>
        <w:t xml:space="preserve">O levantamento de 2007 estruturou a análise em </w:t>
      </w:r>
      <w:r w:rsidRPr="008E0952">
        <w:rPr>
          <w:rFonts w:cs="Arial"/>
          <w:b/>
          <w:bCs/>
          <w:szCs w:val="22"/>
        </w:rPr>
        <w:t>nove conjuntos</w:t>
      </w:r>
      <w:r w:rsidRPr="008E0952">
        <w:rPr>
          <w:rFonts w:cs="Arial"/>
          <w:szCs w:val="22"/>
        </w:rPr>
        <w:t xml:space="preserve">, cobrindo: planejamento institucional e de TI; pessoal; segurança; desenvolvimento de sistemas; níveis de serviço; contratação; gestão de contratos; orçamento; auditoria de TI. </w:t>
      </w:r>
    </w:p>
    <w:p w:rsidR="008E0952" w:rsidP="008E0952" w:rsidRDefault="008E0952" w14:paraId="75E93216" w14:textId="155B0256">
      <w:pPr>
        <w:spacing w:line="360" w:lineRule="auto"/>
        <w:ind w:firstLine="708"/>
        <w:jc w:val="both"/>
        <w:rPr>
          <w:rFonts w:cs="Arial"/>
          <w:szCs w:val="22"/>
        </w:rPr>
      </w:pPr>
      <w:r w:rsidRPr="008E0952">
        <w:rPr>
          <w:rFonts w:cs="Arial"/>
          <w:szCs w:val="22"/>
        </w:rPr>
        <w:t xml:space="preserve">As questões de auditoria explicitadas no relatório (Q1 a Q9) reforçam a lógica: “existe e é feito?” (planejamento; segurança; metodologia de software; gestão de níveis de serviço; processos de contratação e gestão contratual; orçamento; auditoria). </w:t>
      </w:r>
    </w:p>
    <w:p w:rsidRPr="008E0952" w:rsidR="00A60576" w:rsidP="008E0952" w:rsidRDefault="00A60576" w14:paraId="6AF05110" w14:textId="77777777">
      <w:pPr>
        <w:spacing w:line="360" w:lineRule="auto"/>
        <w:ind w:firstLine="708"/>
        <w:jc w:val="both"/>
        <w:rPr>
          <w:rFonts w:cs="Arial"/>
          <w:szCs w:val="22"/>
        </w:rPr>
      </w:pPr>
    </w:p>
    <w:p w:rsidRPr="00154DD5" w:rsidR="00154DD5" w:rsidP="00154DD5" w:rsidRDefault="00154DD5" w14:paraId="04352417" w14:textId="77777777">
      <w:pPr>
        <w:tabs>
          <w:tab w:val="left" w:pos="1155"/>
        </w:tabs>
        <w:spacing w:line="360" w:lineRule="auto"/>
        <w:jc w:val="both"/>
        <w:rPr>
          <w:rFonts w:cs="Arial"/>
          <w:b/>
          <w:bCs/>
          <w:szCs w:val="22"/>
        </w:rPr>
      </w:pPr>
      <w:r w:rsidRPr="00154DD5">
        <w:rPr>
          <w:rFonts w:cs="Arial"/>
          <w:b/>
          <w:bCs/>
          <w:szCs w:val="22"/>
        </w:rPr>
        <w:t>b) 2010 – estruturação multidimensional + introdução de “liderança” e criação do iGovTI</w:t>
      </w:r>
    </w:p>
    <w:p w:rsidRPr="00154DD5" w:rsidR="00154DD5" w:rsidP="00154DD5" w:rsidRDefault="00154DD5" w14:paraId="418F09F3" w14:textId="72C97F29">
      <w:pPr>
        <w:spacing w:line="360" w:lineRule="auto"/>
        <w:ind w:firstLine="708"/>
        <w:jc w:val="both"/>
        <w:rPr>
          <w:rFonts w:cs="Arial"/>
          <w:szCs w:val="22"/>
        </w:rPr>
      </w:pPr>
      <w:r w:rsidRPr="00154DD5">
        <w:rPr>
          <w:rFonts w:cs="Arial"/>
          <w:szCs w:val="22"/>
        </w:rPr>
        <w:t xml:space="preserve">Em 2010, o questionário foi redesenhado: 30 questões / 152 itens, organizadas segundo dimensões do </w:t>
      </w:r>
      <w:proofErr w:type="spellStart"/>
      <w:r w:rsidRPr="00154DD5">
        <w:rPr>
          <w:rFonts w:cs="Arial"/>
          <w:szCs w:val="22"/>
        </w:rPr>
        <w:t>Gespública</w:t>
      </w:r>
      <w:proofErr w:type="spellEnd"/>
      <w:r w:rsidRPr="00154DD5">
        <w:rPr>
          <w:rFonts w:cs="Arial"/>
          <w:szCs w:val="22"/>
        </w:rPr>
        <w:t xml:space="preserve"> (liderança, estratégias e planos, cidadãos, sociedade, informações e conhecimento, pessoas e processos). Também foi utilizado um conjunto de referenciais (</w:t>
      </w:r>
      <w:proofErr w:type="spellStart"/>
      <w:r w:rsidRPr="00154DD5">
        <w:rPr>
          <w:rFonts w:cs="Arial"/>
          <w:szCs w:val="22"/>
        </w:rPr>
        <w:t>Cobit</w:t>
      </w:r>
      <w:proofErr w:type="spellEnd"/>
      <w:r w:rsidRPr="00154DD5">
        <w:rPr>
          <w:rFonts w:cs="Arial"/>
          <w:szCs w:val="22"/>
        </w:rPr>
        <w:t xml:space="preserve"> 4.1, ISO/IEC 27002 e ISO/IEC 38500) como base. </w:t>
      </w:r>
    </w:p>
    <w:p w:rsidRPr="00154DD5" w:rsidR="00154DD5" w:rsidP="00154DD5" w:rsidRDefault="00154DD5" w14:paraId="1386D228" w14:textId="77777777">
      <w:pPr>
        <w:spacing w:line="360" w:lineRule="auto"/>
        <w:ind w:firstLine="708"/>
        <w:jc w:val="both"/>
        <w:rPr>
          <w:rFonts w:cs="Arial"/>
          <w:szCs w:val="22"/>
        </w:rPr>
      </w:pPr>
      <w:r w:rsidRPr="00154DD5">
        <w:rPr>
          <w:rFonts w:cs="Arial"/>
          <w:szCs w:val="22"/>
        </w:rPr>
        <w:t xml:space="preserve">O salto central foi que o TCU passou a medir não só “existência”, mas a qualidade da governança em camadas, com ênfase explícita na responsabilidade da alta administração e na mensuração da governança por um indicador. </w:t>
      </w:r>
    </w:p>
    <w:p w:rsidR="007E7C29" w:rsidP="00D83425" w:rsidRDefault="00D83425" w14:paraId="4A7E9563" w14:textId="5DE47BFB">
      <w:pPr>
        <w:spacing w:line="360" w:lineRule="auto"/>
        <w:ind w:firstLine="708"/>
        <w:jc w:val="both"/>
        <w:rPr>
          <w:rFonts w:cs="Arial"/>
          <w:szCs w:val="22"/>
        </w:rPr>
      </w:pPr>
      <w:r>
        <w:rPr>
          <w:rFonts w:cs="Arial"/>
          <w:szCs w:val="22"/>
        </w:rPr>
        <w:t>O</w:t>
      </w:r>
      <w:r w:rsidRPr="00D83425">
        <w:rPr>
          <w:rFonts w:cs="Arial"/>
          <w:szCs w:val="22"/>
        </w:rPr>
        <w:t xml:space="preserve"> acórdão descreve a classificação do iGovTI em faixas: </w:t>
      </w:r>
      <w:r w:rsidRPr="00D83425">
        <w:rPr>
          <w:rFonts w:cs="Arial"/>
          <w:b/>
          <w:bCs/>
          <w:szCs w:val="22"/>
        </w:rPr>
        <w:t>&lt;40% (inicial)</w:t>
      </w:r>
      <w:r w:rsidRPr="00D83425">
        <w:rPr>
          <w:rFonts w:cs="Arial"/>
          <w:szCs w:val="22"/>
        </w:rPr>
        <w:t xml:space="preserve">, </w:t>
      </w:r>
      <w:r w:rsidRPr="00D83425">
        <w:rPr>
          <w:rFonts w:cs="Arial"/>
          <w:b/>
          <w:bCs/>
          <w:szCs w:val="22"/>
        </w:rPr>
        <w:t>40–59% (intermediário)</w:t>
      </w:r>
      <w:r w:rsidRPr="00D83425">
        <w:rPr>
          <w:rFonts w:cs="Arial"/>
          <w:szCs w:val="22"/>
        </w:rPr>
        <w:t xml:space="preserve"> e </w:t>
      </w:r>
      <w:r w:rsidRPr="00D83425">
        <w:rPr>
          <w:rFonts w:cs="Arial"/>
          <w:b/>
          <w:bCs/>
          <w:szCs w:val="22"/>
        </w:rPr>
        <w:t>≥60% (aprimorado)</w:t>
      </w:r>
      <w:r w:rsidR="004B449D">
        <w:rPr>
          <w:rFonts w:cs="Arial"/>
          <w:szCs w:val="22"/>
        </w:rPr>
        <w:t>. Ainda,</w:t>
      </w:r>
      <w:r w:rsidRPr="00D83425">
        <w:rPr>
          <w:rFonts w:cs="Arial"/>
          <w:szCs w:val="22"/>
        </w:rPr>
        <w:t xml:space="preserve"> registra limitação importante: por se tratar de autodeclaração, sem mecanismo validador, não é possível garantir o quão bem a nota descreve a realidade de cada instituição.</w:t>
      </w:r>
    </w:p>
    <w:p w:rsidR="00A60576" w:rsidP="00A60576" w:rsidRDefault="00A60576" w14:paraId="09A51972" w14:textId="77777777">
      <w:pPr>
        <w:spacing w:line="360" w:lineRule="auto"/>
        <w:jc w:val="both"/>
        <w:rPr>
          <w:rFonts w:cs="Arial"/>
          <w:szCs w:val="22"/>
        </w:rPr>
      </w:pPr>
    </w:p>
    <w:p w:rsidRPr="00C21E74" w:rsidR="00C21E74" w:rsidP="00C21E74" w:rsidRDefault="00C21E74" w14:paraId="1BF1A310" w14:textId="77777777">
      <w:pPr>
        <w:spacing w:line="360" w:lineRule="auto"/>
        <w:jc w:val="both"/>
        <w:rPr>
          <w:rFonts w:cs="Arial"/>
          <w:b/>
          <w:bCs/>
          <w:szCs w:val="22"/>
        </w:rPr>
      </w:pPr>
      <w:r w:rsidRPr="00C21E74">
        <w:rPr>
          <w:rFonts w:cs="Arial"/>
          <w:b/>
          <w:bCs/>
          <w:szCs w:val="22"/>
        </w:rPr>
        <w:t>c) 2012–2016 – (síntese) transição para resultado/maturidade e agenda de governo digital</w:t>
      </w:r>
    </w:p>
    <w:p w:rsidRPr="004B449D" w:rsidR="004B449D" w:rsidP="004B449D" w:rsidRDefault="004B449D" w14:paraId="79E11A17" w14:textId="1EE1DA38">
      <w:pPr>
        <w:spacing w:line="360" w:lineRule="auto"/>
        <w:ind w:firstLine="708"/>
        <w:jc w:val="both"/>
        <w:rPr>
          <w:rFonts w:cs="Arial"/>
          <w:szCs w:val="22"/>
        </w:rPr>
      </w:pPr>
      <w:r w:rsidRPr="004B449D">
        <w:rPr>
          <w:rFonts w:cs="Arial"/>
          <w:szCs w:val="22"/>
        </w:rPr>
        <w:t xml:space="preserve">A síntese histórica descreve a trajetória do modelo como um movimento de diagnóstico de existência para monitoramento/resultados e, depois, para capacidade/controle/auditoria, acompanhando o amadurecimento do TCU como agente indutor. </w:t>
      </w:r>
    </w:p>
    <w:p w:rsidRPr="004F2FE8" w:rsidR="004F2FE8" w:rsidP="004F2FE8" w:rsidRDefault="004F2FE8" w14:paraId="390F25F5" w14:textId="77777777">
      <w:pPr>
        <w:spacing w:line="360" w:lineRule="auto"/>
        <w:ind w:firstLine="708"/>
        <w:jc w:val="both"/>
        <w:rPr>
          <w:rFonts w:cs="Arial"/>
          <w:szCs w:val="22"/>
        </w:rPr>
      </w:pPr>
      <w:r w:rsidRPr="004F2FE8">
        <w:rPr>
          <w:rFonts w:cs="Arial"/>
          <w:szCs w:val="22"/>
        </w:rPr>
        <w:t>Na prática, a leitura comparada apresentada (2010/2012/2014/2016) aponta duas inflexões que importam para o iGovTI 2026:</w:t>
      </w:r>
    </w:p>
    <w:p w:rsidRPr="004F2FE8" w:rsidR="004F2FE8" w:rsidP="00D716B8" w:rsidRDefault="004F2FE8" w14:paraId="152FEE97" w14:textId="77777777">
      <w:pPr>
        <w:numPr>
          <w:ilvl w:val="0"/>
          <w:numId w:val="28"/>
        </w:numPr>
        <w:spacing w:line="360" w:lineRule="auto"/>
        <w:jc w:val="both"/>
        <w:rPr>
          <w:rFonts w:cs="Arial"/>
          <w:b/>
          <w:bCs/>
          <w:szCs w:val="22"/>
        </w:rPr>
      </w:pPr>
      <w:r w:rsidRPr="004F2FE8">
        <w:rPr>
          <w:rFonts w:cs="Arial"/>
          <w:b/>
          <w:bCs/>
          <w:szCs w:val="22"/>
        </w:rPr>
        <w:t>migração do instrumento de inventário factual para grau de adoção/maturidade (permitindo medir “estágio”);</w:t>
      </w:r>
    </w:p>
    <w:p w:rsidRPr="004F2FE8" w:rsidR="004F2FE8" w:rsidP="00D716B8" w:rsidRDefault="004F2FE8" w14:paraId="6AE0DC03" w14:textId="77777777">
      <w:pPr>
        <w:numPr>
          <w:ilvl w:val="0"/>
          <w:numId w:val="28"/>
        </w:numPr>
        <w:spacing w:line="360" w:lineRule="auto"/>
        <w:jc w:val="both"/>
        <w:rPr>
          <w:rFonts w:cs="Arial"/>
          <w:b/>
          <w:bCs/>
          <w:szCs w:val="22"/>
        </w:rPr>
      </w:pPr>
      <w:r w:rsidRPr="004F2FE8">
        <w:rPr>
          <w:rFonts w:cs="Arial"/>
          <w:b/>
          <w:bCs/>
          <w:szCs w:val="22"/>
        </w:rPr>
        <w:t>incorporação progressiva da agenda de transparência, dados e serviços digitais como parte do valor público entregue pela TI (o “para quem” a TI serve).</w:t>
      </w:r>
    </w:p>
    <w:p w:rsidRPr="00083D11" w:rsidR="004B449D" w:rsidP="00D83425" w:rsidRDefault="004B449D" w14:paraId="296561A4" w14:textId="77777777">
      <w:pPr>
        <w:spacing w:line="360" w:lineRule="auto"/>
        <w:ind w:firstLine="708"/>
        <w:jc w:val="both"/>
        <w:rPr>
          <w:rFonts w:cs="Arial"/>
          <w:szCs w:val="22"/>
        </w:rPr>
      </w:pPr>
    </w:p>
    <w:p w:rsidR="00207D07" w:rsidP="00207D07" w:rsidRDefault="00207D07" w14:paraId="0072D14F" w14:textId="4FE5C7C0">
      <w:pPr>
        <w:spacing w:after="200"/>
        <w:rPr>
          <w:b/>
          <w:bCs/>
        </w:rPr>
      </w:pPr>
      <w:r w:rsidRPr="00207D07">
        <w:rPr>
          <w:b/>
          <w:bCs/>
        </w:rPr>
        <w:t>d) 2021–2024 – iGovTI como componente e o salto “</w:t>
      </w:r>
      <w:proofErr w:type="spellStart"/>
      <w:r w:rsidRPr="00207D07">
        <w:rPr>
          <w:b/>
          <w:bCs/>
        </w:rPr>
        <w:t>iESGo</w:t>
      </w:r>
      <w:proofErr w:type="spellEnd"/>
      <w:r w:rsidRPr="00207D07">
        <w:rPr>
          <w:b/>
          <w:bCs/>
        </w:rPr>
        <w:t>”</w:t>
      </w:r>
    </w:p>
    <w:p w:rsidR="00AD2D62" w:rsidP="00AD2D62" w:rsidRDefault="00AD2D62" w14:paraId="6CE68AFD" w14:textId="77777777">
      <w:pPr>
        <w:spacing w:line="360" w:lineRule="auto"/>
        <w:jc w:val="both"/>
        <w:rPr>
          <w:b/>
          <w:bCs/>
        </w:rPr>
      </w:pPr>
      <w:r w:rsidRPr="00AD2D62">
        <w:rPr>
          <w:b/>
          <w:bCs/>
        </w:rPr>
        <w:t>Estrutura conceitual (RBG: Liderança–Estratégia–Controle + Funções de gestão)</w:t>
      </w:r>
    </w:p>
    <w:p w:rsidR="00AD2D62" w:rsidP="00AD2D62" w:rsidRDefault="00AD2D62" w14:paraId="5F657A4C" w14:textId="45949CB7">
      <w:pPr>
        <w:spacing w:line="360" w:lineRule="auto"/>
        <w:ind w:firstLine="708"/>
        <w:jc w:val="both"/>
        <w:rPr>
          <w:rFonts w:cs="Arial"/>
          <w:szCs w:val="22"/>
        </w:rPr>
      </w:pPr>
      <w:r w:rsidRPr="00AD2D62">
        <w:rPr>
          <w:rFonts w:cs="Arial"/>
          <w:szCs w:val="22"/>
        </w:rPr>
        <w:t xml:space="preserve">O </w:t>
      </w:r>
      <w:proofErr w:type="spellStart"/>
      <w:r w:rsidRPr="00AD2D62">
        <w:rPr>
          <w:rFonts w:cs="Arial"/>
          <w:szCs w:val="22"/>
        </w:rPr>
        <w:t>iGG</w:t>
      </w:r>
      <w:proofErr w:type="spellEnd"/>
      <w:r w:rsidRPr="00AD2D62">
        <w:rPr>
          <w:rFonts w:cs="Arial"/>
          <w:szCs w:val="22"/>
        </w:rPr>
        <w:t xml:space="preserve"> 2021 estrutura governança como Liderança, Estratégia e Controle, e posiciona funções de gestão (incluindo TI e segurança) como capacidades a serem alinhadas e monitoradas. </w:t>
      </w:r>
    </w:p>
    <w:p w:rsidRPr="00152029" w:rsidR="00152029" w:rsidP="00152029" w:rsidRDefault="00776E41" w14:paraId="7CFEC82B" w14:textId="491E147D">
      <w:pPr>
        <w:spacing w:line="360" w:lineRule="auto"/>
        <w:ind w:firstLine="708"/>
        <w:jc w:val="both"/>
        <w:rPr>
          <w:rFonts w:cs="Arial"/>
          <w:szCs w:val="22"/>
        </w:rPr>
      </w:pPr>
      <w:r>
        <w:rPr>
          <w:rFonts w:cs="Arial"/>
          <w:szCs w:val="22"/>
        </w:rPr>
        <w:t>Organiza</w:t>
      </w:r>
      <w:r w:rsidRPr="00152029" w:rsidR="00152029">
        <w:rPr>
          <w:rFonts w:cs="Arial"/>
          <w:szCs w:val="22"/>
        </w:rPr>
        <w:t xml:space="preserve"> o questionário por temas e perfis, incluindo explicitamente </w:t>
      </w:r>
      <w:r w:rsidRPr="00152029" w:rsidR="00152029">
        <w:rPr>
          <w:rFonts w:cs="Arial"/>
          <w:b/>
          <w:bCs/>
          <w:szCs w:val="22"/>
        </w:rPr>
        <w:t>Governança pública; Gestão de pessoas; Gestão de TI e segurança da informação; Gestão de contratações; e Gestão orçamentária</w:t>
      </w:r>
      <w:r w:rsidRPr="00152029" w:rsidR="00152029">
        <w:rPr>
          <w:rFonts w:cs="Arial"/>
          <w:szCs w:val="22"/>
        </w:rPr>
        <w:t xml:space="preserve">. </w:t>
      </w:r>
    </w:p>
    <w:p w:rsidR="00CC646C" w:rsidP="00CC646C" w:rsidRDefault="00CC646C" w14:paraId="084951D8" w14:textId="77777777">
      <w:pPr>
        <w:spacing w:line="360" w:lineRule="auto"/>
        <w:ind w:firstLine="708"/>
        <w:jc w:val="both"/>
        <w:rPr>
          <w:rFonts w:cs="Arial"/>
          <w:szCs w:val="22"/>
        </w:rPr>
      </w:pPr>
      <w:r w:rsidRPr="00A60576">
        <w:rPr>
          <w:rFonts w:cs="Arial"/>
          <w:szCs w:val="22"/>
        </w:rPr>
        <w:t xml:space="preserve">O </w:t>
      </w:r>
      <w:proofErr w:type="spellStart"/>
      <w:r w:rsidRPr="00A60576">
        <w:rPr>
          <w:rFonts w:cs="Arial"/>
          <w:szCs w:val="22"/>
        </w:rPr>
        <w:t>iESGo</w:t>
      </w:r>
      <w:proofErr w:type="spellEnd"/>
      <w:r w:rsidRPr="00A60576">
        <w:rPr>
          <w:rFonts w:cs="Arial"/>
          <w:szCs w:val="22"/>
        </w:rPr>
        <w:t xml:space="preserve"> 2024 mantém os blocos de governança e gestão e acrescenta Sustentabilidade Ambiental e Sustentabilidade Social, com agrupamento por: governança pública; pessoas; TI e segurança; contratações; orçamento; sustentabilidade. </w:t>
      </w:r>
    </w:p>
    <w:p w:rsidRPr="00A60576" w:rsidR="00A60576" w:rsidP="00CC646C" w:rsidRDefault="00A60576" w14:paraId="7ED75936" w14:textId="77777777">
      <w:pPr>
        <w:spacing w:line="360" w:lineRule="auto"/>
        <w:ind w:firstLine="708"/>
        <w:jc w:val="both"/>
        <w:rPr>
          <w:rFonts w:cs="Arial"/>
          <w:szCs w:val="22"/>
        </w:rPr>
      </w:pPr>
    </w:p>
    <w:p w:rsidR="00CC646C" w:rsidP="00CC646C" w:rsidRDefault="00CC646C" w14:paraId="289CA249" w14:textId="5CAF8D5B">
      <w:pPr>
        <w:spacing w:line="360" w:lineRule="auto"/>
        <w:jc w:val="both"/>
        <w:rPr>
          <w:rFonts w:cs="Arial"/>
          <w:b/>
          <w:bCs/>
          <w:szCs w:val="22"/>
        </w:rPr>
      </w:pPr>
      <w:r>
        <w:rPr>
          <w:rFonts w:cs="Arial"/>
          <w:b/>
          <w:bCs/>
          <w:szCs w:val="22"/>
        </w:rPr>
        <w:t>e</w:t>
      </w:r>
      <w:r w:rsidRPr="00CC646C">
        <w:rPr>
          <w:rFonts w:cs="Arial"/>
          <w:b/>
          <w:bCs/>
          <w:szCs w:val="22"/>
        </w:rPr>
        <w:t>) Mudanças relevantes no “desenho” das questões (</w:t>
      </w:r>
      <w:proofErr w:type="spellStart"/>
      <w:r w:rsidRPr="00CC646C">
        <w:rPr>
          <w:rFonts w:cs="Arial"/>
          <w:b/>
          <w:bCs/>
          <w:szCs w:val="22"/>
        </w:rPr>
        <w:t>iGG</w:t>
      </w:r>
      <w:proofErr w:type="spellEnd"/>
      <w:r w:rsidRPr="00CC646C">
        <w:rPr>
          <w:rFonts w:cs="Arial"/>
          <w:b/>
          <w:bCs/>
          <w:szCs w:val="22"/>
        </w:rPr>
        <w:t xml:space="preserve"> 2021 → </w:t>
      </w:r>
      <w:proofErr w:type="spellStart"/>
      <w:r w:rsidRPr="00CC646C">
        <w:rPr>
          <w:rFonts w:cs="Arial"/>
          <w:b/>
          <w:bCs/>
          <w:szCs w:val="22"/>
        </w:rPr>
        <w:t>iESGo</w:t>
      </w:r>
      <w:proofErr w:type="spellEnd"/>
      <w:r w:rsidRPr="00CC646C">
        <w:rPr>
          <w:rFonts w:cs="Arial"/>
          <w:b/>
          <w:bCs/>
          <w:szCs w:val="22"/>
        </w:rPr>
        <w:t xml:space="preserve"> 2024)</w:t>
      </w:r>
    </w:p>
    <w:p w:rsidRPr="00CC646C" w:rsidR="00CC646C" w:rsidP="00CC646C" w:rsidRDefault="00CC646C" w14:paraId="6CDB1B03" w14:textId="55CEBAB1">
      <w:pPr>
        <w:spacing w:line="360" w:lineRule="auto"/>
        <w:ind w:firstLine="708"/>
        <w:jc w:val="both"/>
        <w:rPr>
          <w:rFonts w:cs="Arial"/>
          <w:szCs w:val="22"/>
        </w:rPr>
      </w:pPr>
      <w:r w:rsidRPr="00CC646C">
        <w:rPr>
          <w:rFonts w:cs="Arial"/>
          <w:szCs w:val="22"/>
        </w:rPr>
        <w:t>A remodelagem não foi apenas temática; trouxe mudanças de engenharia do questionário, com impacto direto na qualidade do dado:</w:t>
      </w:r>
    </w:p>
    <w:p w:rsidRPr="005E67ED" w:rsidR="005E67ED" w:rsidP="00D716B8" w:rsidRDefault="003623BD" w14:paraId="0375B1DC" w14:textId="7E6BC3B1">
      <w:pPr>
        <w:pStyle w:val="PargrafodaLista"/>
        <w:numPr>
          <w:ilvl w:val="0"/>
          <w:numId w:val="30"/>
        </w:numPr>
        <w:spacing w:after="100" w:afterAutospacing="1" w:line="360" w:lineRule="auto"/>
        <w:jc w:val="both"/>
        <w:rPr>
          <w:rFonts w:cs="Arial"/>
          <w:szCs w:val="22"/>
        </w:rPr>
      </w:pPr>
      <w:r w:rsidRPr="00FC5ED6">
        <w:rPr>
          <w:rFonts w:cs="Arial"/>
          <w:b/>
          <w:bCs/>
          <w:szCs w:val="22"/>
        </w:rPr>
        <w:t>Remoção da opção “Não se aplica”</w:t>
      </w:r>
      <w:r w:rsidRPr="00FC5ED6">
        <w:rPr>
          <w:rFonts w:cs="Arial"/>
          <w:szCs w:val="22"/>
        </w:rPr>
        <w:t xml:space="preserve"> (mudança mais significativa)</w:t>
      </w:r>
      <w:r w:rsidRPr="00FC5ED6" w:rsidR="00FC5ED6">
        <w:rPr>
          <w:rFonts w:cs="Arial"/>
          <w:szCs w:val="22"/>
        </w:rPr>
        <w:t xml:space="preserve">: </w:t>
      </w:r>
      <w:r w:rsidRPr="00FC5ED6">
        <w:rPr>
          <w:rFonts w:cs="Arial"/>
          <w:szCs w:val="22"/>
        </w:rPr>
        <w:t>A justificativa foi reduzir custo de análise, já que a opção era pouco usada (0,09% das respostas em 2021) e gerava distorções/ruído estatístico.</w:t>
      </w:r>
      <w:r w:rsidRPr="005E67ED" w:rsidR="005E67ED">
        <w:rPr>
          <w:rFonts w:ascii="Times New Roman" w:hAnsi="Times New Roman"/>
          <w:sz w:val="24"/>
          <w:szCs w:val="24"/>
        </w:rPr>
        <w:t xml:space="preserve"> </w:t>
      </w:r>
      <w:r w:rsidRPr="005E67ED" w:rsidR="005E67ED">
        <w:rPr>
          <w:rFonts w:cs="Arial"/>
          <w:szCs w:val="22"/>
        </w:rPr>
        <w:t xml:space="preserve">Para casos em que a organização entendia haver não aplicabilidade, orientou-se registrar “adota em maior parte” (abrindo campo de </w:t>
      </w:r>
      <w:r w:rsidRPr="005E67ED" w:rsidR="005E67ED">
        <w:rPr>
          <w:rFonts w:cs="Arial"/>
          <w:szCs w:val="22"/>
        </w:rPr>
        <w:t xml:space="preserve">justificativa), e, para fins de cálculo, a resposta foi tratada conservadoramente como “adota em menor parte”. </w:t>
      </w:r>
    </w:p>
    <w:p w:rsidRPr="003623BD" w:rsidR="003623BD" w:rsidP="00D716B8" w:rsidRDefault="003623BD" w14:paraId="6E3AB3D5" w14:textId="2F4A7883">
      <w:pPr>
        <w:pStyle w:val="PargrafodaLista"/>
        <w:numPr>
          <w:ilvl w:val="0"/>
          <w:numId w:val="30"/>
        </w:numPr>
        <w:spacing w:before="100" w:beforeAutospacing="1" w:after="100" w:afterAutospacing="1" w:line="360" w:lineRule="auto"/>
        <w:jc w:val="both"/>
        <w:rPr>
          <w:rFonts w:cs="Arial"/>
          <w:szCs w:val="22"/>
        </w:rPr>
      </w:pPr>
      <w:r w:rsidRPr="003623BD">
        <w:rPr>
          <w:rFonts w:cs="Arial"/>
          <w:b/>
          <w:bCs/>
          <w:szCs w:val="22"/>
        </w:rPr>
        <w:t>Alinhamento com o Programa Nacional de Prevenção à Corrupção (PNPC)</w:t>
      </w:r>
      <w:r w:rsidRPr="003623BD">
        <w:rPr>
          <w:rFonts w:cs="Arial"/>
          <w:szCs w:val="22"/>
        </w:rPr>
        <w:br/>
      </w:r>
      <w:r w:rsidRPr="003623BD">
        <w:rPr>
          <w:rFonts w:cs="Arial"/>
          <w:szCs w:val="22"/>
        </w:rPr>
        <w:t xml:space="preserve">Houve ajuste para evitar sobreposição e uniformizar critérios no tema integridade, aproximando o instrumento de um referencial nacional já existente. </w:t>
      </w:r>
    </w:p>
    <w:p w:rsidR="00CC646C" w:rsidP="00D716B8" w:rsidRDefault="003623BD" w14:paraId="2CA82273" w14:textId="69D88FCC">
      <w:pPr>
        <w:pStyle w:val="PargrafodaLista"/>
        <w:numPr>
          <w:ilvl w:val="0"/>
          <w:numId w:val="30"/>
        </w:numPr>
        <w:spacing w:before="100" w:beforeAutospacing="1" w:after="100" w:afterAutospacing="1" w:line="360" w:lineRule="auto"/>
        <w:jc w:val="both"/>
        <w:rPr>
          <w:rFonts w:cs="Arial"/>
          <w:szCs w:val="22"/>
        </w:rPr>
      </w:pPr>
      <w:r w:rsidRPr="003623BD">
        <w:rPr>
          <w:rFonts w:cs="Arial"/>
          <w:b/>
          <w:bCs/>
          <w:szCs w:val="22"/>
        </w:rPr>
        <w:t>Inclusão de tema emergente (IA) sem compor índices</w:t>
      </w:r>
      <w:r w:rsidRPr="003623BD">
        <w:rPr>
          <w:rFonts w:cs="Arial"/>
          <w:szCs w:val="22"/>
        </w:rPr>
        <w:br/>
      </w:r>
      <w:r w:rsidRPr="003623BD">
        <w:rPr>
          <w:rFonts w:cs="Arial"/>
          <w:szCs w:val="22"/>
        </w:rPr>
        <w:t xml:space="preserve">O TCU incluiu questão de IA, mas registrou que itens novos podem ter comportamento estatístico atípico e, quando não correlacionam bem, </w:t>
      </w:r>
      <w:r w:rsidRPr="003623BD">
        <w:rPr>
          <w:rFonts w:cs="Arial"/>
          <w:b/>
          <w:bCs/>
          <w:szCs w:val="22"/>
        </w:rPr>
        <w:t>não compõem os índices</w:t>
      </w:r>
      <w:r w:rsidRPr="003623BD">
        <w:rPr>
          <w:rFonts w:cs="Arial"/>
          <w:szCs w:val="22"/>
        </w:rPr>
        <w:t xml:space="preserve">. </w:t>
      </w:r>
    </w:p>
    <w:p w:rsidRPr="001E29D4" w:rsidR="001E29D4" w:rsidP="001E29D4" w:rsidRDefault="001E29D4" w14:paraId="7D5EE044" w14:textId="77777777">
      <w:pPr>
        <w:spacing w:before="100" w:beforeAutospacing="1" w:after="100" w:afterAutospacing="1" w:line="360" w:lineRule="auto"/>
        <w:jc w:val="both"/>
        <w:rPr>
          <w:rFonts w:cs="Arial"/>
          <w:szCs w:val="22"/>
        </w:rPr>
      </w:pPr>
      <w:r w:rsidRPr="001E29D4">
        <w:rPr>
          <w:rFonts w:cs="Arial"/>
          <w:szCs w:val="22"/>
        </w:rPr>
        <w:t xml:space="preserve">Mesmo com mudanças de forma, há um </w:t>
      </w:r>
      <w:r w:rsidRPr="001E29D4">
        <w:rPr>
          <w:rFonts w:cs="Arial"/>
          <w:b/>
          <w:bCs/>
          <w:szCs w:val="22"/>
        </w:rPr>
        <w:t>núcleo persistente</w:t>
      </w:r>
      <w:r w:rsidRPr="001E29D4">
        <w:rPr>
          <w:rFonts w:cs="Arial"/>
          <w:szCs w:val="22"/>
        </w:rPr>
        <w:t xml:space="preserve"> que se mantém por ser estrutural e multiplicador de maturidade:</w:t>
      </w:r>
    </w:p>
    <w:p w:rsidRPr="001E29D4" w:rsidR="001E29D4" w:rsidP="001E29D4" w:rsidRDefault="001E29D4" w14:paraId="3BCE9A6C" w14:textId="77777777">
      <w:pPr>
        <w:numPr>
          <w:ilvl w:val="0"/>
          <w:numId w:val="47"/>
        </w:numPr>
        <w:spacing w:before="100" w:beforeAutospacing="1" w:after="100" w:afterAutospacing="1" w:line="360" w:lineRule="auto"/>
        <w:jc w:val="both"/>
        <w:rPr>
          <w:rFonts w:cs="Arial"/>
          <w:szCs w:val="22"/>
        </w:rPr>
      </w:pPr>
      <w:r w:rsidRPr="001E29D4">
        <w:rPr>
          <w:rFonts w:cs="Arial"/>
          <w:b/>
          <w:bCs/>
          <w:szCs w:val="22"/>
        </w:rPr>
        <w:t>Liderança e responsabilização</w:t>
      </w:r>
      <w:r w:rsidRPr="001E29D4">
        <w:rPr>
          <w:rFonts w:cs="Arial"/>
          <w:szCs w:val="22"/>
        </w:rPr>
        <w:t>: papel da alta administração, instâncias decisórias e monitoramento.</w:t>
      </w:r>
    </w:p>
    <w:p w:rsidRPr="001E29D4" w:rsidR="001E29D4" w:rsidP="001E29D4" w:rsidRDefault="001E29D4" w14:paraId="0006F5AF" w14:textId="77777777">
      <w:pPr>
        <w:numPr>
          <w:ilvl w:val="0"/>
          <w:numId w:val="47"/>
        </w:numPr>
        <w:spacing w:before="100" w:beforeAutospacing="1" w:after="100" w:afterAutospacing="1" w:line="360" w:lineRule="auto"/>
        <w:jc w:val="both"/>
        <w:rPr>
          <w:rFonts w:cs="Arial"/>
          <w:szCs w:val="22"/>
        </w:rPr>
      </w:pPr>
      <w:r w:rsidRPr="001E29D4">
        <w:rPr>
          <w:rFonts w:cs="Arial"/>
          <w:b/>
          <w:bCs/>
          <w:szCs w:val="22"/>
        </w:rPr>
        <w:t>Estratégia/planejamento de TI</w:t>
      </w:r>
      <w:r w:rsidRPr="001E29D4">
        <w:rPr>
          <w:rFonts w:cs="Arial"/>
          <w:szCs w:val="22"/>
        </w:rPr>
        <w:t>: alinhamento, priorização e capacidade de orientar decisões (inclusive contratações).</w:t>
      </w:r>
    </w:p>
    <w:p w:rsidRPr="001E29D4" w:rsidR="001E29D4" w:rsidP="001E29D4" w:rsidRDefault="001E29D4" w14:paraId="260BE2E3" w14:textId="77777777">
      <w:pPr>
        <w:numPr>
          <w:ilvl w:val="0"/>
          <w:numId w:val="47"/>
        </w:numPr>
        <w:spacing w:before="100" w:beforeAutospacing="1" w:after="100" w:afterAutospacing="1" w:line="360" w:lineRule="auto"/>
        <w:jc w:val="both"/>
        <w:rPr>
          <w:rFonts w:cs="Arial"/>
          <w:szCs w:val="22"/>
        </w:rPr>
      </w:pPr>
      <w:r w:rsidRPr="001E29D4">
        <w:rPr>
          <w:rFonts w:cs="Arial"/>
          <w:b/>
          <w:bCs/>
          <w:szCs w:val="22"/>
        </w:rPr>
        <w:t>Segurança e continuidade</w:t>
      </w:r>
      <w:r w:rsidRPr="001E29D4">
        <w:rPr>
          <w:rFonts w:cs="Arial"/>
          <w:szCs w:val="22"/>
        </w:rPr>
        <w:t>: controles e processos mínimos para preservar disponibilidade, integridade e confidencialidade.</w:t>
      </w:r>
    </w:p>
    <w:p w:rsidRPr="001E29D4" w:rsidR="001E29D4" w:rsidP="001E29D4" w:rsidRDefault="001E29D4" w14:paraId="310BEDAB" w14:textId="77777777">
      <w:pPr>
        <w:numPr>
          <w:ilvl w:val="0"/>
          <w:numId w:val="47"/>
        </w:numPr>
        <w:spacing w:before="100" w:beforeAutospacing="1" w:after="100" w:afterAutospacing="1" w:line="360" w:lineRule="auto"/>
        <w:jc w:val="both"/>
        <w:rPr>
          <w:rFonts w:cs="Arial"/>
          <w:szCs w:val="22"/>
        </w:rPr>
      </w:pPr>
      <w:r w:rsidRPr="001E29D4">
        <w:rPr>
          <w:rFonts w:cs="Arial"/>
          <w:b/>
          <w:bCs/>
          <w:szCs w:val="22"/>
        </w:rPr>
        <w:t>Contratações e contratos de TI</w:t>
      </w:r>
      <w:r w:rsidRPr="001E29D4">
        <w:rPr>
          <w:rFonts w:cs="Arial"/>
          <w:szCs w:val="22"/>
        </w:rPr>
        <w:t>: disciplina de planejamento/gestão contratual e controle do desempenho.</w:t>
      </w:r>
    </w:p>
    <w:p w:rsidRPr="001E29D4" w:rsidR="001E29D4" w:rsidP="001E29D4" w:rsidRDefault="001E29D4" w14:paraId="31A97A03" w14:textId="77777777">
      <w:pPr>
        <w:numPr>
          <w:ilvl w:val="0"/>
          <w:numId w:val="47"/>
        </w:numPr>
        <w:spacing w:before="100" w:beforeAutospacing="1" w:after="100" w:afterAutospacing="1" w:line="360" w:lineRule="auto"/>
        <w:jc w:val="both"/>
        <w:rPr>
          <w:rFonts w:cs="Arial"/>
          <w:szCs w:val="22"/>
        </w:rPr>
      </w:pPr>
      <w:r w:rsidRPr="001E29D4">
        <w:rPr>
          <w:rFonts w:cs="Arial"/>
          <w:b/>
          <w:bCs/>
          <w:szCs w:val="22"/>
        </w:rPr>
        <w:t>Mensuração e monitoramento</w:t>
      </w:r>
      <w:r w:rsidRPr="001E29D4">
        <w:rPr>
          <w:rFonts w:cs="Arial"/>
          <w:szCs w:val="22"/>
        </w:rPr>
        <w:t>: objetivos, indicadores, resultados/benefícios e mecanismos de correção.</w:t>
      </w:r>
    </w:p>
    <w:p w:rsidR="00A26B36" w:rsidP="00A26B36" w:rsidRDefault="00135257" w14:paraId="7F23CA1F" w14:textId="1AB69E8D">
      <w:pPr>
        <w:pStyle w:val="Ttulo2"/>
        <w:rPr>
          <w:rFonts w:ascii="Times New Roman" w:hAnsi="Times New Roman"/>
        </w:rPr>
      </w:pPr>
      <w:r>
        <w:t>2</w:t>
      </w:r>
      <w:r w:rsidRPr="00C70C8C">
        <w:t>.</w:t>
      </w:r>
      <w:r>
        <w:t>5.3.</w:t>
      </w:r>
      <w:r w:rsidR="00A26B36">
        <w:t xml:space="preserve"> Resultados observados e riscos estruturais recorrentes</w:t>
      </w:r>
    </w:p>
    <w:p w:rsidRPr="001D3F0F" w:rsidR="001D3F0F" w:rsidP="001D3F0F" w:rsidRDefault="001D3F0F" w14:paraId="7F7994DC" w14:textId="14A35652">
      <w:pPr>
        <w:spacing w:line="360" w:lineRule="auto"/>
        <w:jc w:val="both"/>
        <w:rPr>
          <w:rFonts w:cs="Arial"/>
          <w:b/>
          <w:bCs/>
          <w:szCs w:val="22"/>
        </w:rPr>
      </w:pPr>
      <w:r w:rsidRPr="001D3F0F">
        <w:rPr>
          <w:rFonts w:cs="Arial"/>
          <w:b/>
          <w:bCs/>
          <w:szCs w:val="22"/>
        </w:rPr>
        <w:t>O diagnóstico de 2007/2008 foi “estrutural” (não tecnológico)</w:t>
      </w:r>
    </w:p>
    <w:p w:rsidRPr="001D3F0F" w:rsidR="001D3F0F" w:rsidP="001D3F0F" w:rsidRDefault="001D3F0F" w14:paraId="7650AC03" w14:textId="77777777">
      <w:pPr>
        <w:spacing w:line="360" w:lineRule="auto"/>
        <w:ind w:firstLine="708"/>
        <w:jc w:val="both"/>
        <w:rPr>
          <w:rFonts w:cs="Arial"/>
          <w:szCs w:val="22"/>
        </w:rPr>
      </w:pPr>
      <w:r w:rsidRPr="001D3F0F">
        <w:rPr>
          <w:rFonts w:cs="Arial"/>
          <w:szCs w:val="22"/>
        </w:rPr>
        <w:t>O Acórdão 1.603/2008 agrupa os resultados em eixos e evidencia fragilidades sistêmicas, especialmente:</w:t>
      </w:r>
    </w:p>
    <w:p w:rsidRPr="001D3F0F" w:rsidR="001D3F0F" w:rsidP="00D716B8" w:rsidRDefault="001D3F0F" w14:paraId="0FE3E51B" w14:textId="77777777">
      <w:pPr>
        <w:numPr>
          <w:ilvl w:val="0"/>
          <w:numId w:val="34"/>
        </w:numPr>
        <w:spacing w:line="360" w:lineRule="auto"/>
        <w:jc w:val="both"/>
        <w:rPr>
          <w:rFonts w:cs="Arial"/>
          <w:szCs w:val="22"/>
        </w:rPr>
      </w:pPr>
      <w:r w:rsidRPr="001D3F0F">
        <w:rPr>
          <w:rFonts w:cs="Arial"/>
          <w:b/>
          <w:bCs/>
          <w:szCs w:val="22"/>
        </w:rPr>
        <w:t>Planejamento</w:t>
      </w:r>
      <w:r w:rsidRPr="001D3F0F">
        <w:rPr>
          <w:rFonts w:cs="Arial"/>
          <w:szCs w:val="22"/>
        </w:rPr>
        <w:t xml:space="preserve">: 47% sem planejamento estratégico institucional em vigor e 59% sem planejamento estratégico de TI; além disso, a própria conclusão do relatório aponta que o estímulo ao planejamento institucional é “primeira ação” para melhoria da governança de TI, seguido do planejamento de TI alinhado ao primeiro. </w:t>
      </w:r>
    </w:p>
    <w:p w:rsidRPr="001D3F0F" w:rsidR="001D3F0F" w:rsidP="00D716B8" w:rsidRDefault="001D3F0F" w14:paraId="25204E62" w14:textId="77777777">
      <w:pPr>
        <w:numPr>
          <w:ilvl w:val="0"/>
          <w:numId w:val="34"/>
        </w:numPr>
        <w:spacing w:line="360" w:lineRule="auto"/>
        <w:jc w:val="both"/>
        <w:rPr>
          <w:rFonts w:cs="Arial"/>
          <w:szCs w:val="22"/>
        </w:rPr>
      </w:pPr>
      <w:r w:rsidRPr="001D3F0F">
        <w:rPr>
          <w:rFonts w:cs="Arial"/>
          <w:b/>
          <w:bCs/>
          <w:szCs w:val="22"/>
        </w:rPr>
        <w:t>Segurança da informação (pior desempenho)</w:t>
      </w:r>
      <w:r w:rsidRPr="001D3F0F">
        <w:rPr>
          <w:rFonts w:cs="Arial"/>
          <w:szCs w:val="22"/>
        </w:rPr>
        <w:t xml:space="preserve">: ausência de plano de continuidade (PCN) em 88% e um conjunto amplo de deficiências como gestão de mudanças, capacidade, classificação, incidentes e análise de riscos. </w:t>
      </w:r>
    </w:p>
    <w:p w:rsidRPr="001D3F0F" w:rsidR="001D3F0F" w:rsidP="00D716B8" w:rsidRDefault="001D3F0F" w14:paraId="3762F489" w14:textId="77777777">
      <w:pPr>
        <w:numPr>
          <w:ilvl w:val="0"/>
          <w:numId w:val="34"/>
        </w:numPr>
        <w:spacing w:line="360" w:lineRule="auto"/>
        <w:jc w:val="both"/>
        <w:rPr>
          <w:rFonts w:cs="Arial"/>
          <w:b/>
          <w:bCs/>
          <w:szCs w:val="22"/>
        </w:rPr>
      </w:pPr>
      <w:r w:rsidRPr="001D3F0F">
        <w:rPr>
          <w:rFonts w:cs="Arial"/>
          <w:b/>
          <w:bCs/>
          <w:szCs w:val="22"/>
        </w:rPr>
        <w:t>Pessoal</w:t>
      </w:r>
      <w:r w:rsidRPr="001D3F0F">
        <w:rPr>
          <w:rFonts w:cs="Arial"/>
          <w:szCs w:val="22"/>
        </w:rPr>
        <w:t>: 29% com menos de 1/3 da equipe de TI composta por servidores, elevando risco de dependência de terceiros e perda de conhecimento.</w:t>
      </w:r>
      <w:r w:rsidRPr="001D3F0F">
        <w:rPr>
          <w:rFonts w:cs="Arial"/>
          <w:b/>
          <w:bCs/>
          <w:szCs w:val="22"/>
        </w:rPr>
        <w:t xml:space="preserve"> </w:t>
      </w:r>
    </w:p>
    <w:p w:rsidR="009C46B8" w:rsidP="00AF5BEA" w:rsidRDefault="009C46B8" w14:paraId="58201CE4" w14:textId="77777777">
      <w:pPr>
        <w:spacing w:before="240" w:line="360" w:lineRule="auto"/>
        <w:jc w:val="both"/>
        <w:rPr>
          <w:rFonts w:cs="Arial"/>
          <w:b/>
          <w:bCs/>
          <w:szCs w:val="22"/>
        </w:rPr>
      </w:pPr>
    </w:p>
    <w:p w:rsidRPr="00AF5BEA" w:rsidR="00AF5BEA" w:rsidP="009C46B8" w:rsidRDefault="00AF5BEA" w14:paraId="00866D34" w14:textId="5F40E864">
      <w:pPr>
        <w:spacing w:line="360" w:lineRule="auto"/>
        <w:jc w:val="both"/>
        <w:rPr>
          <w:rFonts w:cs="Arial"/>
          <w:b/>
          <w:bCs/>
          <w:szCs w:val="22"/>
        </w:rPr>
      </w:pPr>
      <w:r w:rsidRPr="00AF5BEA">
        <w:rPr>
          <w:rFonts w:cs="Arial"/>
          <w:b/>
          <w:bCs/>
          <w:szCs w:val="22"/>
        </w:rPr>
        <w:t>O monitoramento de 2010 mostrou “alguma melhora pontual”, mas manteve os gargalos de governança</w:t>
      </w:r>
    </w:p>
    <w:p w:rsidR="00AF5BEA" w:rsidP="00AF5BEA" w:rsidRDefault="00AF5BEA" w14:paraId="401820BC" w14:textId="77777777">
      <w:pPr>
        <w:spacing w:line="360" w:lineRule="auto"/>
        <w:ind w:firstLine="708"/>
        <w:jc w:val="both"/>
        <w:rPr>
          <w:rFonts w:cs="Arial"/>
          <w:szCs w:val="22"/>
        </w:rPr>
      </w:pPr>
      <w:r w:rsidRPr="00AF5BEA">
        <w:rPr>
          <w:rFonts w:cs="Arial"/>
          <w:szCs w:val="22"/>
        </w:rPr>
        <w:t>No comparativo 2007–2010, houve aumento no planejamento estratégico institucional (53% → 79%), mas estabilidade/baixo avanço em planejamento de TI (41% → 39%) e comitê de TI (32% → 32%); o próprio acórdão destaca a preocupação com a ausência de planejamento de TI em 61% das instituições.</w:t>
      </w:r>
    </w:p>
    <w:p w:rsidRPr="009C46B8" w:rsidR="009C46B8" w:rsidP="009C46B8" w:rsidRDefault="009C46B8" w14:paraId="4EF8237F" w14:textId="77777777">
      <w:pPr>
        <w:spacing w:line="360" w:lineRule="auto"/>
        <w:ind w:firstLine="708"/>
        <w:jc w:val="both"/>
        <w:rPr>
          <w:rFonts w:cs="Arial"/>
          <w:szCs w:val="22"/>
        </w:rPr>
      </w:pPr>
      <w:r w:rsidRPr="009C46B8">
        <w:rPr>
          <w:rFonts w:cs="Arial"/>
          <w:szCs w:val="22"/>
        </w:rPr>
        <w:t xml:space="preserve">O achado mais relevante para desenho do iGovTI 2026 é que o TCU explicita a “raiz” do problema como </w:t>
      </w:r>
      <w:r w:rsidRPr="009C46B8">
        <w:rPr>
          <w:rFonts w:cs="Arial"/>
          <w:b/>
          <w:bCs/>
          <w:szCs w:val="22"/>
        </w:rPr>
        <w:t>liderança frágil</w:t>
      </w:r>
      <w:r w:rsidRPr="009C46B8">
        <w:rPr>
          <w:rFonts w:cs="Arial"/>
          <w:szCs w:val="22"/>
        </w:rPr>
        <w:t>:</w:t>
      </w:r>
    </w:p>
    <w:p w:rsidRPr="009C46B8" w:rsidR="009C46B8" w:rsidP="00D716B8" w:rsidRDefault="009C46B8" w14:paraId="20768C17" w14:textId="77777777">
      <w:pPr>
        <w:numPr>
          <w:ilvl w:val="0"/>
          <w:numId w:val="35"/>
        </w:numPr>
        <w:spacing w:line="360" w:lineRule="auto"/>
        <w:jc w:val="both"/>
        <w:rPr>
          <w:rFonts w:cs="Arial"/>
          <w:szCs w:val="22"/>
        </w:rPr>
      </w:pPr>
      <w:r w:rsidRPr="009C46B8">
        <w:rPr>
          <w:rFonts w:cs="Arial"/>
          <w:szCs w:val="22"/>
        </w:rPr>
        <w:t>alta administração não se responsabiliza por políticas de TI em 51%;</w:t>
      </w:r>
    </w:p>
    <w:p w:rsidRPr="009C46B8" w:rsidR="009C46B8" w:rsidP="00D716B8" w:rsidRDefault="009C46B8" w14:paraId="7EE916BC" w14:textId="77777777">
      <w:pPr>
        <w:numPr>
          <w:ilvl w:val="0"/>
          <w:numId w:val="35"/>
        </w:numPr>
        <w:spacing w:line="360" w:lineRule="auto"/>
        <w:jc w:val="both"/>
        <w:rPr>
          <w:rFonts w:cs="Arial"/>
          <w:szCs w:val="22"/>
        </w:rPr>
      </w:pPr>
      <w:r w:rsidRPr="009C46B8">
        <w:rPr>
          <w:rFonts w:cs="Arial"/>
          <w:szCs w:val="22"/>
        </w:rPr>
        <w:t>não designa comitê de TI em 48%;</w:t>
      </w:r>
    </w:p>
    <w:p w:rsidRPr="009C46B8" w:rsidR="009C46B8" w:rsidP="00D716B8" w:rsidRDefault="009C46B8" w14:paraId="4F1A15F8" w14:textId="77777777">
      <w:pPr>
        <w:numPr>
          <w:ilvl w:val="0"/>
          <w:numId w:val="35"/>
        </w:numPr>
        <w:spacing w:line="360" w:lineRule="auto"/>
        <w:jc w:val="both"/>
        <w:rPr>
          <w:rFonts w:cs="Arial"/>
          <w:szCs w:val="22"/>
        </w:rPr>
      </w:pPr>
      <w:r w:rsidRPr="009C46B8">
        <w:rPr>
          <w:rFonts w:cs="Arial"/>
          <w:szCs w:val="22"/>
        </w:rPr>
        <w:t xml:space="preserve">não monitora o funcionamento do comitê em 77%. </w:t>
      </w:r>
    </w:p>
    <w:p w:rsidR="001D3F0F" w:rsidP="00166440" w:rsidRDefault="001D3F0F" w14:paraId="3FAE1689" w14:textId="77777777">
      <w:pPr>
        <w:spacing w:line="360" w:lineRule="auto"/>
        <w:jc w:val="both"/>
        <w:rPr>
          <w:rFonts w:cs="Arial"/>
          <w:b/>
          <w:bCs/>
          <w:szCs w:val="22"/>
        </w:rPr>
      </w:pPr>
    </w:p>
    <w:p w:rsidR="00166440" w:rsidP="00166440" w:rsidRDefault="00021B78" w14:paraId="6E3FD557" w14:textId="5AED288C">
      <w:pPr>
        <w:spacing w:line="360" w:lineRule="auto"/>
        <w:jc w:val="both"/>
        <w:rPr>
          <w:rFonts w:cs="Arial"/>
          <w:b/>
          <w:bCs/>
          <w:szCs w:val="22"/>
        </w:rPr>
      </w:pPr>
      <w:r w:rsidRPr="00021B78">
        <w:rPr>
          <w:rFonts w:cs="Arial"/>
          <w:b/>
          <w:bCs/>
          <w:szCs w:val="22"/>
        </w:rPr>
        <w:t>Evidência de evolução entre ciclos (visão integrada)</w:t>
      </w:r>
    </w:p>
    <w:p w:rsidR="00021B78" w:rsidP="00021B78" w:rsidRDefault="00021B78" w14:paraId="433323A7" w14:textId="69E79A1F">
      <w:pPr>
        <w:spacing w:line="360" w:lineRule="auto"/>
        <w:ind w:firstLine="708"/>
        <w:jc w:val="both"/>
        <w:rPr>
          <w:rFonts w:cs="Arial"/>
          <w:szCs w:val="22"/>
        </w:rPr>
      </w:pPr>
      <w:r w:rsidRPr="00021B78">
        <w:rPr>
          <w:rFonts w:cs="Arial"/>
          <w:szCs w:val="22"/>
        </w:rPr>
        <w:t xml:space="preserve">No </w:t>
      </w:r>
      <w:proofErr w:type="spellStart"/>
      <w:r w:rsidRPr="00021B78">
        <w:rPr>
          <w:rFonts w:cs="Arial"/>
          <w:szCs w:val="22"/>
        </w:rPr>
        <w:t>iESGo</w:t>
      </w:r>
      <w:proofErr w:type="spellEnd"/>
      <w:r w:rsidRPr="00021B78">
        <w:rPr>
          <w:rFonts w:cs="Arial"/>
          <w:szCs w:val="22"/>
        </w:rPr>
        <w:t xml:space="preserve"> 2024, observa-se evolução do </w:t>
      </w:r>
      <w:proofErr w:type="spellStart"/>
      <w:r w:rsidRPr="00021B78">
        <w:rPr>
          <w:rFonts w:cs="Arial"/>
          <w:b/>
          <w:bCs/>
          <w:szCs w:val="22"/>
        </w:rPr>
        <w:t>iGG</w:t>
      </w:r>
      <w:proofErr w:type="spellEnd"/>
      <w:r w:rsidRPr="00021B78">
        <w:rPr>
          <w:rFonts w:cs="Arial"/>
          <w:szCs w:val="22"/>
        </w:rPr>
        <w:t xml:space="preserve"> (média de 52% em 2021 para 57% em 2024). No </w:t>
      </w:r>
      <w:proofErr w:type="spellStart"/>
      <w:r w:rsidRPr="00021B78">
        <w:rPr>
          <w:rFonts w:cs="Arial"/>
          <w:szCs w:val="22"/>
        </w:rPr>
        <w:t>iGG</w:t>
      </w:r>
      <w:proofErr w:type="spellEnd"/>
      <w:r w:rsidRPr="00021B78">
        <w:rPr>
          <w:rFonts w:cs="Arial"/>
          <w:szCs w:val="22"/>
        </w:rPr>
        <w:t xml:space="preserve"> 2021 (comparado a 2018), o relatório registra melhora do perfil agregado, com redução relevante do percentual em estágio inicial e aumento nos estágios intermediário/aprimorado. </w:t>
      </w:r>
    </w:p>
    <w:p w:rsidRPr="00021B78" w:rsidR="009C46B8" w:rsidP="00021B78" w:rsidRDefault="009C46B8" w14:paraId="742105F4" w14:textId="77777777">
      <w:pPr>
        <w:spacing w:line="360" w:lineRule="auto"/>
        <w:ind w:firstLine="708"/>
        <w:jc w:val="both"/>
        <w:rPr>
          <w:rFonts w:cs="Arial"/>
          <w:szCs w:val="22"/>
        </w:rPr>
      </w:pPr>
    </w:p>
    <w:p w:rsidR="005D4DFA" w:rsidP="005D4DFA" w:rsidRDefault="00021B78" w14:paraId="3F5E40DE" w14:textId="4088B451">
      <w:pPr>
        <w:spacing w:line="360" w:lineRule="auto"/>
        <w:jc w:val="both"/>
        <w:rPr>
          <w:rFonts w:cs="Arial"/>
          <w:b/>
          <w:bCs/>
          <w:szCs w:val="22"/>
        </w:rPr>
      </w:pPr>
      <w:r w:rsidRPr="00021B78">
        <w:rPr>
          <w:rFonts w:cs="Arial"/>
          <w:b/>
          <w:bCs/>
          <w:szCs w:val="22"/>
        </w:rPr>
        <w:t>Riscos “multiplicadores” evidenciados nos levantamentos iniciais (úteis como alerta para municípios RJ)</w:t>
      </w:r>
    </w:p>
    <w:p w:rsidRPr="00021B78" w:rsidR="00021B78" w:rsidP="005D4DFA" w:rsidRDefault="00021B78" w14:paraId="36EF759C" w14:textId="1DEB61A3">
      <w:pPr>
        <w:spacing w:line="360" w:lineRule="auto"/>
        <w:ind w:firstLine="708"/>
        <w:jc w:val="both"/>
        <w:rPr>
          <w:rFonts w:cs="Arial"/>
          <w:szCs w:val="22"/>
        </w:rPr>
      </w:pPr>
      <w:r w:rsidRPr="00021B78">
        <w:rPr>
          <w:rFonts w:cs="Arial"/>
          <w:szCs w:val="22"/>
        </w:rPr>
        <w:t>Os achados históricos indicam riscos que tendem a “contaminar” várias dimensões quando estão fracos:</w:t>
      </w:r>
    </w:p>
    <w:p w:rsidRPr="00021B78" w:rsidR="00021B78" w:rsidP="00D716B8" w:rsidRDefault="00021B78" w14:paraId="1B7FA389" w14:textId="77777777">
      <w:pPr>
        <w:numPr>
          <w:ilvl w:val="0"/>
          <w:numId w:val="31"/>
        </w:numPr>
        <w:spacing w:line="360" w:lineRule="auto"/>
        <w:jc w:val="both"/>
        <w:rPr>
          <w:rFonts w:cs="Arial"/>
          <w:szCs w:val="22"/>
        </w:rPr>
      </w:pPr>
      <w:r w:rsidRPr="00021B78">
        <w:rPr>
          <w:rFonts w:cs="Arial"/>
          <w:b/>
          <w:bCs/>
          <w:szCs w:val="22"/>
        </w:rPr>
        <w:t>Segurança e continuidade</w:t>
      </w:r>
      <w:r w:rsidRPr="00021B78">
        <w:rPr>
          <w:rFonts w:cs="Arial"/>
          <w:szCs w:val="22"/>
        </w:rPr>
        <w:t xml:space="preserve">: no recorte de 2007/2008, há destaque para ausência de PCN em </w:t>
      </w:r>
      <w:r w:rsidRPr="00021B78">
        <w:rPr>
          <w:rFonts w:cs="Arial"/>
          <w:b/>
          <w:bCs/>
          <w:szCs w:val="22"/>
        </w:rPr>
        <w:t>88%</w:t>
      </w:r>
      <w:r w:rsidRPr="00021B78">
        <w:rPr>
          <w:rFonts w:cs="Arial"/>
          <w:szCs w:val="22"/>
        </w:rPr>
        <w:t xml:space="preserve"> e gestão de mudanças em </w:t>
      </w:r>
      <w:r w:rsidRPr="00021B78">
        <w:rPr>
          <w:rFonts w:cs="Arial"/>
          <w:b/>
          <w:bCs/>
          <w:szCs w:val="22"/>
        </w:rPr>
        <w:t>88%</w:t>
      </w:r>
      <w:r w:rsidRPr="00021B78">
        <w:rPr>
          <w:rFonts w:cs="Arial"/>
          <w:szCs w:val="22"/>
        </w:rPr>
        <w:t xml:space="preserve">, entre outras deficiências. </w:t>
      </w:r>
    </w:p>
    <w:p w:rsidRPr="00021B78" w:rsidR="00021B78" w:rsidP="00D716B8" w:rsidRDefault="00021B78" w14:paraId="3BBEFC46" w14:textId="77777777">
      <w:pPr>
        <w:numPr>
          <w:ilvl w:val="0"/>
          <w:numId w:val="31"/>
        </w:numPr>
        <w:spacing w:line="360" w:lineRule="auto"/>
        <w:jc w:val="both"/>
        <w:rPr>
          <w:rFonts w:cs="Arial"/>
          <w:szCs w:val="22"/>
        </w:rPr>
      </w:pPr>
      <w:r w:rsidRPr="00021B78">
        <w:rPr>
          <w:rFonts w:cs="Arial"/>
          <w:b/>
          <w:bCs/>
          <w:szCs w:val="22"/>
        </w:rPr>
        <w:t>Liderança e governança pela alta administração</w:t>
      </w:r>
      <w:r w:rsidRPr="00021B78">
        <w:rPr>
          <w:rFonts w:cs="Arial"/>
          <w:szCs w:val="22"/>
        </w:rPr>
        <w:t xml:space="preserve">: em 2010, apurou-se que a alta administração não se responsabilizava por políticas de TI em </w:t>
      </w:r>
      <w:r w:rsidRPr="00021B78">
        <w:rPr>
          <w:rFonts w:cs="Arial"/>
          <w:b/>
          <w:bCs/>
          <w:szCs w:val="22"/>
        </w:rPr>
        <w:t>51%</w:t>
      </w:r>
      <w:r w:rsidRPr="00021B78">
        <w:rPr>
          <w:rFonts w:cs="Arial"/>
          <w:szCs w:val="22"/>
        </w:rPr>
        <w:t xml:space="preserve">, não designava comitê em </w:t>
      </w:r>
      <w:r w:rsidRPr="00021B78">
        <w:rPr>
          <w:rFonts w:cs="Arial"/>
          <w:b/>
          <w:bCs/>
          <w:szCs w:val="22"/>
        </w:rPr>
        <w:t>48%</w:t>
      </w:r>
      <w:r w:rsidRPr="00021B78">
        <w:rPr>
          <w:rFonts w:cs="Arial"/>
          <w:szCs w:val="22"/>
        </w:rPr>
        <w:t xml:space="preserve">, e não monitorava funcionamento do comitê em </w:t>
      </w:r>
      <w:r w:rsidRPr="00021B78">
        <w:rPr>
          <w:rFonts w:cs="Arial"/>
          <w:b/>
          <w:bCs/>
          <w:szCs w:val="22"/>
        </w:rPr>
        <w:t>77%</w:t>
      </w:r>
      <w:r w:rsidRPr="00021B78">
        <w:rPr>
          <w:rFonts w:cs="Arial"/>
          <w:szCs w:val="22"/>
        </w:rPr>
        <w:t xml:space="preserve">. </w:t>
      </w:r>
    </w:p>
    <w:p w:rsidRPr="00021B78" w:rsidR="00021B78" w:rsidP="00D716B8" w:rsidRDefault="00021B78" w14:paraId="56871F38" w14:textId="77777777">
      <w:pPr>
        <w:numPr>
          <w:ilvl w:val="0"/>
          <w:numId w:val="31"/>
        </w:numPr>
        <w:spacing w:line="360" w:lineRule="auto"/>
        <w:jc w:val="both"/>
        <w:rPr>
          <w:rFonts w:cs="Arial"/>
          <w:szCs w:val="22"/>
        </w:rPr>
      </w:pPr>
      <w:r w:rsidRPr="00021B78">
        <w:rPr>
          <w:rFonts w:cs="Arial"/>
          <w:b/>
          <w:bCs/>
          <w:szCs w:val="22"/>
        </w:rPr>
        <w:t>Gestão por objetivos/indicadores e benefícios</w:t>
      </w:r>
      <w:r w:rsidRPr="00021B78">
        <w:rPr>
          <w:rFonts w:cs="Arial"/>
          <w:szCs w:val="22"/>
        </w:rPr>
        <w:t xml:space="preserve">: ainda em 2010, o levantamento aponta deficiência em objetivos (57%), indicadores (76%), avaliação regular (71%) e acompanhamento de benefícios dos principais sistemas (87%). </w:t>
      </w:r>
    </w:p>
    <w:p w:rsidRPr="00021B78" w:rsidR="00021B78" w:rsidP="00853F25" w:rsidRDefault="00021B78" w14:paraId="6F2FD4C2" w14:textId="2885281A">
      <w:pPr>
        <w:spacing w:before="240" w:line="360" w:lineRule="auto"/>
        <w:ind w:firstLine="708"/>
        <w:jc w:val="both"/>
        <w:rPr>
          <w:rFonts w:cs="Arial"/>
          <w:szCs w:val="22"/>
        </w:rPr>
      </w:pPr>
      <w:r w:rsidRPr="00021B78">
        <w:rPr>
          <w:rFonts w:cs="Arial"/>
          <w:szCs w:val="22"/>
        </w:rPr>
        <w:t>Esses pontos são relevantes para o iGovTI 2026 porque são dimensões com alto poder de indução: quando liderança assume, metas/indicadores aparecem; quando indicadores existem, contratos, serviços e segurança tendem a ganhar disciplina.</w:t>
      </w:r>
    </w:p>
    <w:p w:rsidRPr="006E7A6F" w:rsidR="006E7A6F" w:rsidP="006E7A6F" w:rsidRDefault="00135257" w14:paraId="08229BF3" w14:textId="39ABABE9">
      <w:pPr>
        <w:pStyle w:val="Ttulo2"/>
      </w:pPr>
      <w:r>
        <w:t>2</w:t>
      </w:r>
      <w:r w:rsidRPr="00C70C8C">
        <w:t>.</w:t>
      </w:r>
      <w:r>
        <w:t>5.</w:t>
      </w:r>
      <w:r w:rsidRPr="006E7A6F" w:rsidR="006E7A6F">
        <w:t>4. O que pode ser aproveitado no iGovTI 2026 (TCE-RJ)</w:t>
      </w:r>
    </w:p>
    <w:p w:rsidRPr="006E7A6F" w:rsidR="006E7A6F" w:rsidP="006E7A6F" w:rsidRDefault="006E7A6F" w14:paraId="32C562CA" w14:textId="77777777">
      <w:pPr>
        <w:spacing w:line="360" w:lineRule="auto"/>
        <w:ind w:firstLine="708"/>
        <w:jc w:val="both"/>
        <w:rPr>
          <w:rFonts w:cs="Arial"/>
          <w:szCs w:val="22"/>
        </w:rPr>
      </w:pPr>
      <w:r w:rsidRPr="006E7A6F">
        <w:rPr>
          <w:rFonts w:cs="Arial"/>
          <w:szCs w:val="22"/>
        </w:rPr>
        <w:t>Aproveitamentos mais diretos para o desenho do iGovTI 2026 (municípios RJ + órgãos estaduais), considerando comparabilidade e capacidade de indução:</w:t>
      </w:r>
    </w:p>
    <w:p w:rsidRPr="006E7A6F" w:rsidR="006E7A6F" w:rsidP="00D716B8" w:rsidRDefault="006E7A6F" w14:paraId="596BAAFC" w14:textId="6C120FCE">
      <w:pPr>
        <w:numPr>
          <w:ilvl w:val="0"/>
          <w:numId w:val="32"/>
        </w:numPr>
        <w:spacing w:line="360" w:lineRule="auto"/>
        <w:jc w:val="both"/>
        <w:rPr>
          <w:rFonts w:cs="Arial"/>
          <w:szCs w:val="22"/>
        </w:rPr>
      </w:pPr>
      <w:r w:rsidRPr="006E7A6F">
        <w:rPr>
          <w:rFonts w:cs="Arial"/>
          <w:b/>
          <w:bCs/>
          <w:szCs w:val="22"/>
        </w:rPr>
        <w:t>Arquitetura estável + comparabilidade longitudinal</w:t>
      </w:r>
      <w:r w:rsidRPr="006E7A6F">
        <w:rPr>
          <w:rFonts w:cs="Arial"/>
          <w:szCs w:val="22"/>
        </w:rPr>
        <w:br/>
      </w:r>
      <w:r w:rsidRPr="006E7A6F">
        <w:rPr>
          <w:rFonts w:cs="Arial"/>
          <w:szCs w:val="22"/>
        </w:rPr>
        <w:t xml:space="preserve">Adotar lógica de “núcleo comum” (Liderança–Estratégia–Controle + TI/SI) e módulos específicos (municípios x </w:t>
      </w:r>
      <w:r w:rsidR="006C3773">
        <w:rPr>
          <w:rFonts w:cs="Arial"/>
          <w:szCs w:val="22"/>
        </w:rPr>
        <w:t>Estado</w:t>
      </w:r>
      <w:r w:rsidRPr="006E7A6F">
        <w:rPr>
          <w:rFonts w:cs="Arial"/>
          <w:szCs w:val="22"/>
        </w:rPr>
        <w:t xml:space="preserve">), preservando rastreabilidade. O próprio TCU reforça alinhamento do instrumento ao RBG e mantém essa estrutura como “espinha dorsal”. </w:t>
      </w:r>
    </w:p>
    <w:p w:rsidRPr="006E7A6F" w:rsidR="006E7A6F" w:rsidP="00D716B8" w:rsidRDefault="006E7A6F" w14:paraId="290C9D20" w14:textId="55E7553E">
      <w:pPr>
        <w:numPr>
          <w:ilvl w:val="0"/>
          <w:numId w:val="32"/>
        </w:numPr>
        <w:spacing w:line="360" w:lineRule="auto"/>
        <w:jc w:val="both"/>
        <w:rPr>
          <w:rFonts w:cs="Arial"/>
          <w:szCs w:val="22"/>
        </w:rPr>
      </w:pPr>
      <w:r w:rsidRPr="006E7A6F">
        <w:rPr>
          <w:rFonts w:cs="Arial"/>
          <w:b/>
          <w:bCs/>
          <w:szCs w:val="22"/>
        </w:rPr>
        <w:t>Regras para “Não se aplica” mais baratas e menos ambíguas</w:t>
      </w:r>
      <w:r w:rsidRPr="006E7A6F">
        <w:rPr>
          <w:rFonts w:cs="Arial"/>
          <w:szCs w:val="22"/>
        </w:rPr>
        <w:br/>
      </w:r>
      <w:r w:rsidRPr="006E7A6F">
        <w:rPr>
          <w:rFonts w:cs="Arial"/>
          <w:szCs w:val="22"/>
        </w:rPr>
        <w:t xml:space="preserve">A decisão de remover “Não se aplica” (por baixo uso e alto custo de análise) é uma lição direta. No iGovTI 2026, dá para aplicar alternativa equivalente, mas com tratamento explícito e conservador (como o TCU fez) e exigência de justificativa quando o respondente alegar não aplicabilidade. </w:t>
      </w:r>
    </w:p>
    <w:p w:rsidRPr="006E7A6F" w:rsidR="006E7A6F" w:rsidP="00D716B8" w:rsidRDefault="006E7A6F" w14:paraId="45F0CBAF" w14:textId="77777777">
      <w:pPr>
        <w:numPr>
          <w:ilvl w:val="0"/>
          <w:numId w:val="32"/>
        </w:numPr>
        <w:spacing w:line="360" w:lineRule="auto"/>
        <w:jc w:val="both"/>
        <w:rPr>
          <w:rFonts w:cs="Arial"/>
          <w:szCs w:val="22"/>
        </w:rPr>
      </w:pPr>
      <w:r w:rsidRPr="006E7A6F">
        <w:rPr>
          <w:rFonts w:cs="Arial"/>
          <w:b/>
          <w:bCs/>
          <w:szCs w:val="22"/>
        </w:rPr>
        <w:t>Governança do instrumento e validação com múltiplos atores</w:t>
      </w:r>
      <w:r w:rsidRPr="006E7A6F">
        <w:rPr>
          <w:rFonts w:cs="Arial"/>
          <w:szCs w:val="22"/>
        </w:rPr>
        <w:br/>
      </w:r>
      <w:r w:rsidRPr="006E7A6F">
        <w:rPr>
          <w:rFonts w:cs="Arial"/>
          <w:szCs w:val="22"/>
        </w:rPr>
        <w:t xml:space="preserve">O </w:t>
      </w:r>
      <w:proofErr w:type="spellStart"/>
      <w:r w:rsidRPr="006E7A6F">
        <w:rPr>
          <w:rFonts w:cs="Arial"/>
          <w:szCs w:val="22"/>
        </w:rPr>
        <w:t>iGG</w:t>
      </w:r>
      <w:proofErr w:type="spellEnd"/>
      <w:r w:rsidRPr="006E7A6F">
        <w:rPr>
          <w:rFonts w:cs="Arial"/>
          <w:szCs w:val="22"/>
        </w:rPr>
        <w:t>/</w:t>
      </w:r>
      <w:proofErr w:type="spellStart"/>
      <w:r w:rsidRPr="006E7A6F">
        <w:rPr>
          <w:rFonts w:cs="Arial"/>
          <w:szCs w:val="22"/>
        </w:rPr>
        <w:t>iESGo</w:t>
      </w:r>
      <w:proofErr w:type="spellEnd"/>
      <w:r w:rsidRPr="006E7A6F">
        <w:rPr>
          <w:rFonts w:cs="Arial"/>
          <w:szCs w:val="22"/>
        </w:rPr>
        <w:t xml:space="preserve"> reforça a utilidade de revisão por unidades especializadas, painéis de referência e suporte aos respondentes (glossário, FAQ, instruções) para reduzir ruído e padronizar interpretação. </w:t>
      </w:r>
    </w:p>
    <w:p w:rsidRPr="006E7A6F" w:rsidR="006E7A6F" w:rsidP="00D716B8" w:rsidRDefault="006E7A6F" w14:paraId="0CB3D9FE" w14:textId="74A1C71E">
      <w:pPr>
        <w:numPr>
          <w:ilvl w:val="0"/>
          <w:numId w:val="32"/>
        </w:numPr>
        <w:spacing w:line="360" w:lineRule="auto"/>
        <w:jc w:val="both"/>
        <w:rPr>
          <w:rFonts w:cs="Arial"/>
          <w:szCs w:val="22"/>
        </w:rPr>
      </w:pPr>
      <w:r w:rsidRPr="006E7A6F">
        <w:rPr>
          <w:rFonts w:cs="Arial"/>
          <w:b/>
          <w:bCs/>
          <w:szCs w:val="22"/>
        </w:rPr>
        <w:t>Transparência e reutilização dos dados (efeito indutor)</w:t>
      </w:r>
      <w:r w:rsidRPr="006E7A6F">
        <w:rPr>
          <w:rFonts w:cs="Arial"/>
          <w:szCs w:val="22"/>
        </w:rPr>
        <w:br/>
      </w:r>
      <w:r w:rsidRPr="006E7A6F">
        <w:rPr>
          <w:rFonts w:cs="Arial"/>
          <w:szCs w:val="22"/>
        </w:rPr>
        <w:t xml:space="preserve">O TCU autoriza publicar respostas granulares e relatórios individualizados do </w:t>
      </w:r>
      <w:proofErr w:type="spellStart"/>
      <w:r w:rsidRPr="006E7A6F">
        <w:rPr>
          <w:rFonts w:cs="Arial"/>
          <w:szCs w:val="22"/>
        </w:rPr>
        <w:t>iESGo</w:t>
      </w:r>
      <w:proofErr w:type="spellEnd"/>
      <w:r w:rsidRPr="006E7A6F">
        <w:rPr>
          <w:rFonts w:cs="Arial"/>
          <w:szCs w:val="22"/>
        </w:rPr>
        <w:t xml:space="preserve"> 2024. E há recomendação explícita para disseminar a solução de cálculo dos índices aos </w:t>
      </w:r>
      <w:proofErr w:type="spellStart"/>
      <w:r w:rsidRPr="006E7A6F">
        <w:rPr>
          <w:rFonts w:cs="Arial"/>
          <w:szCs w:val="22"/>
        </w:rPr>
        <w:t>TCs</w:t>
      </w:r>
      <w:proofErr w:type="spellEnd"/>
      <w:r w:rsidRPr="006E7A6F">
        <w:rPr>
          <w:rFonts w:cs="Arial"/>
          <w:szCs w:val="22"/>
        </w:rPr>
        <w:t xml:space="preserve"> e atores nacionais, reforçando o caráter “benchmark” do instrumento.</w:t>
      </w:r>
      <w:r w:rsidR="00526FC7">
        <w:rPr>
          <w:rFonts w:cs="Arial"/>
          <w:szCs w:val="22"/>
        </w:rPr>
        <w:t xml:space="preserve"> </w:t>
      </w:r>
      <w:r w:rsidRPr="006E7A6F">
        <w:rPr>
          <w:rFonts w:cs="Arial"/>
          <w:szCs w:val="22"/>
        </w:rPr>
        <w:t>No iGovTI 2026, isso inspira: (i) relatório individual padronizado, (</w:t>
      </w:r>
      <w:proofErr w:type="spellStart"/>
      <w:r w:rsidRPr="006E7A6F">
        <w:rPr>
          <w:rFonts w:cs="Arial"/>
          <w:szCs w:val="22"/>
        </w:rPr>
        <w:t>ii</w:t>
      </w:r>
      <w:proofErr w:type="spellEnd"/>
      <w:r w:rsidRPr="006E7A6F">
        <w:rPr>
          <w:rFonts w:cs="Arial"/>
          <w:szCs w:val="22"/>
        </w:rPr>
        <w:t>) consolidação pública por clusters (porte/região), e (</w:t>
      </w:r>
      <w:proofErr w:type="spellStart"/>
      <w:r w:rsidRPr="006E7A6F">
        <w:rPr>
          <w:rFonts w:cs="Arial"/>
          <w:szCs w:val="22"/>
        </w:rPr>
        <w:t>iii</w:t>
      </w:r>
      <w:proofErr w:type="spellEnd"/>
      <w:r w:rsidRPr="006E7A6F">
        <w:rPr>
          <w:rFonts w:cs="Arial"/>
          <w:szCs w:val="22"/>
        </w:rPr>
        <w:t>) cálculo reproduzível (mesma fórmula para todos).</w:t>
      </w:r>
    </w:p>
    <w:p w:rsidR="006E7A6F" w:rsidP="00D716B8" w:rsidRDefault="006E7A6F" w14:paraId="6ABE9706" w14:textId="2BCA71AE">
      <w:pPr>
        <w:numPr>
          <w:ilvl w:val="0"/>
          <w:numId w:val="32"/>
        </w:numPr>
        <w:spacing w:line="360" w:lineRule="auto"/>
        <w:jc w:val="both"/>
        <w:rPr>
          <w:rFonts w:cs="Arial"/>
          <w:szCs w:val="22"/>
        </w:rPr>
      </w:pPr>
      <w:r w:rsidRPr="006E7A6F">
        <w:rPr>
          <w:rFonts w:cs="Arial"/>
          <w:b/>
          <w:bCs/>
          <w:szCs w:val="22"/>
        </w:rPr>
        <w:t>Foco nos “multiplicadores” (para cenário municipal igual ou pior que APF 2007/2010)</w:t>
      </w:r>
      <w:r w:rsidR="00E23BCE">
        <w:rPr>
          <w:rFonts w:cs="Arial"/>
          <w:b/>
          <w:bCs/>
          <w:szCs w:val="22"/>
        </w:rPr>
        <w:t xml:space="preserve">: </w:t>
      </w:r>
      <w:r w:rsidRPr="006E7A6F">
        <w:rPr>
          <w:rFonts w:cs="Arial"/>
          <w:szCs w:val="22"/>
        </w:rPr>
        <w:t>Com base no histórico, os itens que mais “puxam o resto” e valem estar no núcleo mínimo do iGovTI 2026 são:</w:t>
      </w:r>
    </w:p>
    <w:p w:rsidRPr="00963F74" w:rsidR="00963F74" w:rsidP="00963F74" w:rsidRDefault="00963F74" w14:paraId="5A0AF9AA" w14:textId="77777777">
      <w:pPr>
        <w:pStyle w:val="PargrafodaLista"/>
        <w:tabs>
          <w:tab w:val="num" w:pos="720"/>
        </w:tabs>
        <w:spacing w:line="360" w:lineRule="auto"/>
        <w:jc w:val="both"/>
        <w:rPr>
          <w:rFonts w:cs="Arial"/>
          <w:b/>
          <w:bCs/>
          <w:szCs w:val="22"/>
        </w:rPr>
      </w:pPr>
      <w:r w:rsidRPr="00963F74">
        <w:rPr>
          <w:rFonts w:cs="Arial"/>
          <w:b/>
          <w:bCs/>
          <w:szCs w:val="22"/>
        </w:rPr>
        <w:t>Aplicação no iGovTI 2026:</w:t>
      </w:r>
    </w:p>
    <w:p w:rsidRPr="00785F13" w:rsidR="006E7A6F" w:rsidP="00D716B8" w:rsidRDefault="00E23BCE" w14:paraId="2CB4B266" w14:textId="2541AC4E">
      <w:pPr>
        <w:numPr>
          <w:ilvl w:val="0"/>
          <w:numId w:val="33"/>
        </w:numPr>
        <w:spacing w:line="360" w:lineRule="auto"/>
        <w:jc w:val="both"/>
        <w:rPr>
          <w:rFonts w:cs="Arial"/>
          <w:szCs w:val="22"/>
        </w:rPr>
      </w:pPr>
      <w:r w:rsidRPr="00785F13">
        <w:rPr>
          <w:rFonts w:cs="Arial"/>
          <w:szCs w:val="22"/>
        </w:rPr>
        <w:t>R</w:t>
      </w:r>
      <w:r w:rsidRPr="006E7A6F" w:rsidR="006E7A6F">
        <w:rPr>
          <w:rFonts w:cs="Arial"/>
          <w:szCs w:val="22"/>
        </w:rPr>
        <w:t xml:space="preserve">esponsabilidade e instâncias decisórias da alta administração (governança); </w:t>
      </w:r>
    </w:p>
    <w:p w:rsidRPr="00566AA5" w:rsidR="004108A6" w:rsidP="00D716B8" w:rsidRDefault="004108A6" w14:paraId="1C8D7A8D" w14:textId="4F97BC4A">
      <w:pPr>
        <w:numPr>
          <w:ilvl w:val="1"/>
          <w:numId w:val="33"/>
        </w:numPr>
        <w:spacing w:line="360" w:lineRule="auto"/>
        <w:jc w:val="both"/>
        <w:rPr>
          <w:rFonts w:cs="Arial"/>
          <w:szCs w:val="22"/>
        </w:rPr>
      </w:pPr>
      <w:r>
        <w:rPr>
          <w:rFonts w:cs="Arial"/>
          <w:szCs w:val="22"/>
        </w:rPr>
        <w:t>I</w:t>
      </w:r>
      <w:r w:rsidRPr="00566AA5">
        <w:rPr>
          <w:rFonts w:cs="Arial"/>
          <w:szCs w:val="22"/>
        </w:rPr>
        <w:t>nstância decisória (comitê/estrutura equivalente) e participação do negócio;</w:t>
      </w:r>
    </w:p>
    <w:p w:rsidRPr="00566AA5" w:rsidR="004108A6" w:rsidP="00D716B8" w:rsidRDefault="004108A6" w14:paraId="7AA323A0" w14:textId="4C040D5D">
      <w:pPr>
        <w:numPr>
          <w:ilvl w:val="1"/>
          <w:numId w:val="33"/>
        </w:numPr>
        <w:spacing w:line="360" w:lineRule="auto"/>
        <w:jc w:val="both"/>
        <w:rPr>
          <w:rFonts w:cs="Arial"/>
          <w:szCs w:val="22"/>
        </w:rPr>
      </w:pPr>
      <w:r>
        <w:rPr>
          <w:rFonts w:cs="Arial"/>
          <w:szCs w:val="22"/>
        </w:rPr>
        <w:t>R</w:t>
      </w:r>
      <w:r w:rsidRPr="00566AA5">
        <w:rPr>
          <w:rFonts w:cs="Arial"/>
          <w:szCs w:val="22"/>
        </w:rPr>
        <w:t>egularidade de funcionamento e evidência de deliberações;</w:t>
      </w:r>
    </w:p>
    <w:p w:rsidRPr="006E7A6F" w:rsidR="004108A6" w:rsidP="00D716B8" w:rsidRDefault="00235DE0" w14:paraId="400F0DB4" w14:textId="5702446F">
      <w:pPr>
        <w:numPr>
          <w:ilvl w:val="1"/>
          <w:numId w:val="33"/>
        </w:numPr>
        <w:spacing w:line="360" w:lineRule="auto"/>
        <w:jc w:val="both"/>
        <w:rPr>
          <w:rFonts w:cs="Arial"/>
          <w:szCs w:val="22"/>
        </w:rPr>
      </w:pPr>
      <w:r>
        <w:rPr>
          <w:rFonts w:cs="Arial"/>
          <w:szCs w:val="22"/>
        </w:rPr>
        <w:t>O</w:t>
      </w:r>
      <w:r w:rsidRPr="00566AA5" w:rsidR="004108A6">
        <w:rPr>
          <w:rFonts w:cs="Arial"/>
          <w:szCs w:val="22"/>
        </w:rPr>
        <w:t>bjetivos/indicadores de TI e reporte à direção.</w:t>
      </w:r>
    </w:p>
    <w:p w:rsidRPr="006E7A6F" w:rsidR="006E7A6F" w:rsidP="00D716B8" w:rsidRDefault="00E23BCE" w14:paraId="6DA102AF" w14:textId="257C1B40">
      <w:pPr>
        <w:numPr>
          <w:ilvl w:val="0"/>
          <w:numId w:val="33"/>
        </w:numPr>
        <w:spacing w:line="360" w:lineRule="auto"/>
        <w:jc w:val="both"/>
        <w:rPr>
          <w:rFonts w:cs="Arial"/>
          <w:szCs w:val="22"/>
        </w:rPr>
      </w:pPr>
      <w:r w:rsidRPr="00785F13">
        <w:rPr>
          <w:rFonts w:cs="Arial"/>
          <w:szCs w:val="22"/>
        </w:rPr>
        <w:t>O</w:t>
      </w:r>
      <w:r w:rsidRPr="006E7A6F" w:rsidR="006E7A6F">
        <w:rPr>
          <w:rFonts w:cs="Arial"/>
          <w:szCs w:val="22"/>
        </w:rPr>
        <w:t xml:space="preserve">bjetivos/indicadores/monitoramento e benefícios (gestão orientada a resultados); </w:t>
      </w:r>
    </w:p>
    <w:p w:rsidRPr="00785F13" w:rsidR="006E7A6F" w:rsidP="00D716B8" w:rsidRDefault="00E23BCE" w14:paraId="394C5BE8" w14:textId="7624B4A7">
      <w:pPr>
        <w:numPr>
          <w:ilvl w:val="0"/>
          <w:numId w:val="33"/>
        </w:numPr>
        <w:spacing w:line="360" w:lineRule="auto"/>
        <w:jc w:val="both"/>
        <w:rPr>
          <w:rFonts w:cs="Arial"/>
          <w:szCs w:val="22"/>
        </w:rPr>
      </w:pPr>
      <w:r w:rsidRPr="00785F13">
        <w:rPr>
          <w:rFonts w:cs="Arial"/>
          <w:szCs w:val="22"/>
        </w:rPr>
        <w:t>S</w:t>
      </w:r>
      <w:r w:rsidRPr="006E7A6F" w:rsidR="006E7A6F">
        <w:rPr>
          <w:rFonts w:cs="Arial"/>
          <w:szCs w:val="22"/>
        </w:rPr>
        <w:t xml:space="preserve">egurança e continuidade (por risco sistêmico e recorrência histórica). </w:t>
      </w:r>
    </w:p>
    <w:p w:rsidRPr="00235DE0" w:rsidR="00235DE0" w:rsidP="00D716B8" w:rsidRDefault="00235DE0" w14:paraId="2EDA2068" w14:textId="47A407A4">
      <w:pPr>
        <w:numPr>
          <w:ilvl w:val="0"/>
          <w:numId w:val="32"/>
        </w:numPr>
        <w:spacing w:line="360" w:lineRule="auto"/>
        <w:ind w:left="708"/>
        <w:jc w:val="both"/>
        <w:rPr>
          <w:rFonts w:cs="Arial"/>
          <w:szCs w:val="22"/>
        </w:rPr>
      </w:pPr>
      <w:r w:rsidRPr="00235DE0">
        <w:rPr>
          <w:rFonts w:cs="Arial"/>
          <w:b/>
          <w:bCs/>
          <w:szCs w:val="22"/>
        </w:rPr>
        <w:t>Capacidade instalada mínima” como leitura obrigatória (baseline municipal):</w:t>
      </w:r>
      <w:r w:rsidRPr="00235DE0">
        <w:rPr>
          <w:rFonts w:cs="Arial"/>
          <w:szCs w:val="22"/>
        </w:rPr>
        <w:t xml:space="preserve">A experiência federal mostra que o risco de governança “colapsa” quando faltam bases de </w:t>
      </w:r>
      <w:r w:rsidRPr="00235DE0">
        <w:rPr>
          <w:rFonts w:cs="Arial"/>
          <w:szCs w:val="22"/>
        </w:rPr>
        <w:t xml:space="preserve">pessoal/competência, segurança e planejamento. Em 2007, 29% com menos de 1/3 de servidores em TI já era sinal de dependência e perda de conhecimento. </w:t>
      </w:r>
    </w:p>
    <w:p w:rsidR="003F61CB" w:rsidP="003F61CB" w:rsidRDefault="00235DE0" w14:paraId="4F437A38" w14:textId="77777777">
      <w:pPr>
        <w:tabs>
          <w:tab w:val="num" w:pos="720"/>
        </w:tabs>
        <w:spacing w:line="360" w:lineRule="auto"/>
        <w:ind w:left="708"/>
        <w:jc w:val="both"/>
        <w:rPr>
          <w:rFonts w:cs="Arial"/>
          <w:b/>
          <w:bCs/>
          <w:szCs w:val="22"/>
        </w:rPr>
      </w:pPr>
      <w:r w:rsidRPr="00235DE0">
        <w:rPr>
          <w:rFonts w:cs="Arial"/>
          <w:b/>
          <w:bCs/>
          <w:szCs w:val="22"/>
        </w:rPr>
        <w:t>Aplicação no iGovTI 2026:</w:t>
      </w:r>
    </w:p>
    <w:p w:rsidRPr="00235DE0" w:rsidR="00235DE0" w:rsidP="00D716B8" w:rsidRDefault="00963F74" w14:paraId="454CE6EE" w14:textId="6E022620">
      <w:pPr>
        <w:numPr>
          <w:ilvl w:val="0"/>
          <w:numId w:val="33"/>
        </w:numPr>
        <w:spacing w:line="360" w:lineRule="auto"/>
        <w:jc w:val="both"/>
        <w:rPr>
          <w:rFonts w:cs="Arial"/>
          <w:szCs w:val="22"/>
        </w:rPr>
      </w:pPr>
      <w:r w:rsidRPr="00785F13">
        <w:rPr>
          <w:rFonts w:cs="Arial"/>
          <w:szCs w:val="22"/>
        </w:rPr>
        <w:t>E</w:t>
      </w:r>
      <w:r w:rsidRPr="00235DE0" w:rsidR="00235DE0">
        <w:rPr>
          <w:rFonts w:cs="Arial"/>
          <w:szCs w:val="22"/>
        </w:rPr>
        <w:t>strutura mínima de pessoas e segregação de funções críticas (planejar, contratar, fiscalizar);</w:t>
      </w:r>
    </w:p>
    <w:p w:rsidRPr="00235DE0" w:rsidR="00235DE0" w:rsidP="00D716B8" w:rsidRDefault="00963F74" w14:paraId="32441FCA" w14:textId="617EEF20">
      <w:pPr>
        <w:numPr>
          <w:ilvl w:val="0"/>
          <w:numId w:val="33"/>
        </w:numPr>
        <w:spacing w:line="360" w:lineRule="auto"/>
        <w:jc w:val="both"/>
        <w:rPr>
          <w:rFonts w:cs="Arial"/>
          <w:szCs w:val="22"/>
        </w:rPr>
      </w:pPr>
      <w:r w:rsidRPr="00785F13">
        <w:rPr>
          <w:rFonts w:cs="Arial"/>
          <w:szCs w:val="22"/>
        </w:rPr>
        <w:t>P</w:t>
      </w:r>
      <w:r w:rsidRPr="00235DE0" w:rsidR="00235DE0">
        <w:rPr>
          <w:rFonts w:cs="Arial"/>
          <w:szCs w:val="22"/>
        </w:rPr>
        <w:t>resença de funções/competências-chave (inclusive segurança);</w:t>
      </w:r>
    </w:p>
    <w:p w:rsidRPr="00235DE0" w:rsidR="00235DE0" w:rsidP="00D716B8" w:rsidRDefault="00963F74" w14:paraId="7A844E5D" w14:textId="26A3168E">
      <w:pPr>
        <w:numPr>
          <w:ilvl w:val="0"/>
          <w:numId w:val="33"/>
        </w:numPr>
        <w:spacing w:line="360" w:lineRule="auto"/>
        <w:jc w:val="both"/>
        <w:rPr>
          <w:rFonts w:cs="Arial"/>
          <w:szCs w:val="22"/>
        </w:rPr>
      </w:pPr>
      <w:r w:rsidRPr="00785F13">
        <w:rPr>
          <w:rFonts w:cs="Arial"/>
          <w:szCs w:val="22"/>
        </w:rPr>
        <w:t>T</w:t>
      </w:r>
      <w:r w:rsidRPr="00235DE0" w:rsidR="00235DE0">
        <w:rPr>
          <w:rFonts w:cs="Arial"/>
          <w:szCs w:val="22"/>
        </w:rPr>
        <w:t>erceirização e riscos (onde a “inteligência” está).</w:t>
      </w:r>
    </w:p>
    <w:p w:rsidRPr="00AF35AC" w:rsidR="00AF35AC" w:rsidP="00D716B8" w:rsidRDefault="00AF35AC" w14:paraId="78819018" w14:textId="67C7207B">
      <w:pPr>
        <w:numPr>
          <w:ilvl w:val="0"/>
          <w:numId w:val="32"/>
        </w:numPr>
        <w:spacing w:line="360" w:lineRule="auto"/>
        <w:ind w:left="708"/>
        <w:jc w:val="both"/>
        <w:rPr>
          <w:rFonts w:cs="Arial"/>
          <w:szCs w:val="22"/>
        </w:rPr>
      </w:pPr>
      <w:r w:rsidRPr="00AF35AC">
        <w:rPr>
          <w:rFonts w:cs="Arial"/>
          <w:b/>
          <w:bCs/>
          <w:szCs w:val="22"/>
        </w:rPr>
        <w:t>Planejamento como eixo de indução (e ligação com contratações)</w:t>
      </w:r>
      <w:r>
        <w:rPr>
          <w:rFonts w:cs="Arial"/>
          <w:b/>
          <w:bCs/>
          <w:szCs w:val="22"/>
        </w:rPr>
        <w:t xml:space="preserve">: </w:t>
      </w:r>
      <w:r w:rsidRPr="00AF35AC">
        <w:rPr>
          <w:rFonts w:cs="Arial"/>
          <w:szCs w:val="22"/>
        </w:rPr>
        <w:t xml:space="preserve">O TCU sustenta, desde 2007, que planejamento institucional e de TI é o primeiro passo. E em 2010 explicita que ausência de planejamento de TI sugere contratações em desconformidade (na lógica federal, por vedação a contratações fora de PDTI). </w:t>
      </w:r>
    </w:p>
    <w:p w:rsidRPr="00AF35AC" w:rsidR="00AF35AC" w:rsidP="00AF35AC" w:rsidRDefault="00AF35AC" w14:paraId="1D7244A8" w14:textId="655DB140">
      <w:pPr>
        <w:spacing w:line="360" w:lineRule="auto"/>
        <w:ind w:firstLine="708"/>
        <w:jc w:val="both"/>
        <w:rPr>
          <w:rFonts w:cs="Arial"/>
          <w:szCs w:val="22"/>
        </w:rPr>
      </w:pPr>
      <w:r w:rsidRPr="00AF35AC">
        <w:rPr>
          <w:rFonts w:cs="Arial"/>
          <w:b/>
          <w:bCs/>
          <w:szCs w:val="22"/>
        </w:rPr>
        <w:t>Aplicação no iGovTI 2026:</w:t>
      </w:r>
      <w:r w:rsidRPr="00AF35AC">
        <w:rPr>
          <w:rFonts w:cs="Arial"/>
          <w:szCs w:val="22"/>
        </w:rPr>
        <w:t xml:space="preserve"> medir não só “existe plano”, mas:</w:t>
      </w:r>
    </w:p>
    <w:p w:rsidRPr="00AF35AC" w:rsidR="00AF35AC" w:rsidP="00D716B8" w:rsidRDefault="00A77352" w14:paraId="43C0A451" w14:textId="0EEA271B">
      <w:pPr>
        <w:numPr>
          <w:ilvl w:val="0"/>
          <w:numId w:val="33"/>
        </w:numPr>
        <w:spacing w:line="360" w:lineRule="auto"/>
        <w:jc w:val="both"/>
        <w:rPr>
          <w:rFonts w:cs="Arial"/>
          <w:szCs w:val="22"/>
        </w:rPr>
      </w:pPr>
      <w:r>
        <w:rPr>
          <w:rFonts w:cs="Arial"/>
          <w:szCs w:val="22"/>
        </w:rPr>
        <w:t>S</w:t>
      </w:r>
      <w:r w:rsidRPr="00AF35AC" w:rsidR="00AF35AC">
        <w:rPr>
          <w:rFonts w:cs="Arial"/>
          <w:szCs w:val="22"/>
        </w:rPr>
        <w:t>e o plano é usado para priorizar e orientar contratações;</w:t>
      </w:r>
    </w:p>
    <w:p w:rsidRPr="00AF35AC" w:rsidR="00AF35AC" w:rsidP="00D716B8" w:rsidRDefault="00A77352" w14:paraId="506C959C" w14:textId="1A5E8D5E">
      <w:pPr>
        <w:numPr>
          <w:ilvl w:val="0"/>
          <w:numId w:val="33"/>
        </w:numPr>
        <w:spacing w:line="360" w:lineRule="auto"/>
        <w:jc w:val="both"/>
        <w:rPr>
          <w:rFonts w:cs="Arial"/>
          <w:szCs w:val="22"/>
        </w:rPr>
      </w:pPr>
      <w:r>
        <w:rPr>
          <w:rFonts w:cs="Arial"/>
          <w:szCs w:val="22"/>
        </w:rPr>
        <w:t>S</w:t>
      </w:r>
      <w:r w:rsidRPr="00AF35AC" w:rsidR="00AF35AC">
        <w:rPr>
          <w:rFonts w:cs="Arial"/>
          <w:szCs w:val="22"/>
        </w:rPr>
        <w:t xml:space="preserve">e há vínculo explícito entre necessidades, orçamento e contratações (lição reforçada em 2.943/2025). </w:t>
      </w:r>
    </w:p>
    <w:p w:rsidRPr="004B440D" w:rsidR="004B440D" w:rsidP="00D716B8" w:rsidRDefault="004B440D" w14:paraId="452E8511" w14:textId="083A3567">
      <w:pPr>
        <w:numPr>
          <w:ilvl w:val="0"/>
          <w:numId w:val="32"/>
        </w:numPr>
        <w:spacing w:line="360" w:lineRule="auto"/>
        <w:ind w:left="708"/>
        <w:jc w:val="both"/>
        <w:rPr>
          <w:rFonts w:cs="Arial"/>
          <w:b/>
          <w:bCs/>
          <w:szCs w:val="22"/>
        </w:rPr>
      </w:pPr>
      <w:r w:rsidRPr="004B440D">
        <w:rPr>
          <w:rFonts w:cs="Arial"/>
          <w:b/>
          <w:bCs/>
          <w:szCs w:val="22"/>
        </w:rPr>
        <w:t>Segurança/continuidade como “calcanhar de Aquiles” — com mínimo verificável</w:t>
      </w:r>
      <w:r>
        <w:rPr>
          <w:rFonts w:cs="Arial"/>
          <w:b/>
          <w:bCs/>
          <w:szCs w:val="22"/>
        </w:rPr>
        <w:t xml:space="preserve">: </w:t>
      </w:r>
      <w:r w:rsidRPr="004B440D">
        <w:rPr>
          <w:rFonts w:cs="Arial"/>
          <w:szCs w:val="22"/>
        </w:rPr>
        <w:t>Em 2007, as deficiências de segurança foram massivas (PCN 88%, gestão de mudanças 88%, classificação 80% etc.).</w:t>
      </w:r>
      <w:r w:rsidR="00B2119C">
        <w:rPr>
          <w:rFonts w:cs="Arial"/>
          <w:b/>
          <w:bCs/>
          <w:szCs w:val="22"/>
        </w:rPr>
        <w:t xml:space="preserve"> </w:t>
      </w:r>
      <w:r w:rsidRPr="004B440D">
        <w:rPr>
          <w:rFonts w:cs="Arial"/>
          <w:szCs w:val="22"/>
        </w:rPr>
        <w:t xml:space="preserve">Em 2010, o TCU registra ausência de melhora nesses processos. </w:t>
      </w:r>
    </w:p>
    <w:p w:rsidRPr="004B440D" w:rsidR="004B440D" w:rsidP="004B440D" w:rsidRDefault="004B440D" w14:paraId="1D69E729" w14:textId="4CBD9358">
      <w:pPr>
        <w:spacing w:line="360" w:lineRule="auto"/>
        <w:ind w:firstLine="708"/>
        <w:jc w:val="both"/>
        <w:rPr>
          <w:rFonts w:cs="Arial"/>
          <w:szCs w:val="22"/>
        </w:rPr>
      </w:pPr>
      <w:r w:rsidRPr="004B440D">
        <w:rPr>
          <w:rFonts w:cs="Arial"/>
          <w:b/>
          <w:bCs/>
          <w:szCs w:val="22"/>
        </w:rPr>
        <w:t>Aplicação no iGovTI 2026:</w:t>
      </w:r>
      <w:r w:rsidRPr="004B440D">
        <w:rPr>
          <w:rFonts w:cs="Arial"/>
          <w:szCs w:val="22"/>
        </w:rPr>
        <w:t xml:space="preserve"> um conjunto mínimo de itens, com evidências simples:</w:t>
      </w:r>
    </w:p>
    <w:p w:rsidRPr="004B440D" w:rsidR="004B440D" w:rsidP="00D716B8" w:rsidRDefault="00B2119C" w14:paraId="02D5E3E5" w14:textId="26075E60">
      <w:pPr>
        <w:numPr>
          <w:ilvl w:val="0"/>
          <w:numId w:val="33"/>
        </w:numPr>
        <w:spacing w:line="360" w:lineRule="auto"/>
        <w:jc w:val="both"/>
        <w:rPr>
          <w:rFonts w:cs="Arial"/>
          <w:szCs w:val="22"/>
        </w:rPr>
      </w:pPr>
      <w:r>
        <w:rPr>
          <w:rFonts w:cs="Arial"/>
          <w:szCs w:val="22"/>
        </w:rPr>
        <w:t>P</w:t>
      </w:r>
      <w:r w:rsidRPr="004B440D" w:rsidR="004B440D">
        <w:rPr>
          <w:rFonts w:cs="Arial"/>
          <w:szCs w:val="22"/>
        </w:rPr>
        <w:t>olítica de segurança, gestão de incidentes, gestão de mudanças;</w:t>
      </w:r>
    </w:p>
    <w:p w:rsidRPr="004B440D" w:rsidR="004B440D" w:rsidP="00D716B8" w:rsidRDefault="00B2119C" w14:paraId="62946D0E" w14:textId="6C85BF43">
      <w:pPr>
        <w:numPr>
          <w:ilvl w:val="0"/>
          <w:numId w:val="33"/>
        </w:numPr>
        <w:spacing w:line="360" w:lineRule="auto"/>
        <w:jc w:val="both"/>
        <w:rPr>
          <w:rFonts w:cs="Arial"/>
          <w:szCs w:val="22"/>
        </w:rPr>
      </w:pPr>
      <w:r>
        <w:rPr>
          <w:rFonts w:cs="Arial"/>
          <w:szCs w:val="22"/>
        </w:rPr>
        <w:t>A</w:t>
      </w:r>
      <w:r w:rsidRPr="004B440D" w:rsidR="004B440D">
        <w:rPr>
          <w:rFonts w:cs="Arial"/>
          <w:szCs w:val="22"/>
        </w:rPr>
        <w:t xml:space="preserve">nálise de riscos e continuidade (pelo menos </w:t>
      </w:r>
      <w:proofErr w:type="spellStart"/>
      <w:r w:rsidRPr="004B440D" w:rsidR="004B440D">
        <w:rPr>
          <w:rFonts w:cs="Arial"/>
          <w:szCs w:val="22"/>
        </w:rPr>
        <w:t>risco+plano+teste</w:t>
      </w:r>
      <w:proofErr w:type="spellEnd"/>
      <w:r w:rsidRPr="004B440D" w:rsidR="004B440D">
        <w:rPr>
          <w:rFonts w:cs="Arial"/>
          <w:szCs w:val="22"/>
        </w:rPr>
        <w:t>/registro).</w:t>
      </w:r>
    </w:p>
    <w:p w:rsidR="00F64AEB" w:rsidP="00D716B8" w:rsidRDefault="004B440D" w14:paraId="0B316BDC" w14:textId="4E4F7E63">
      <w:pPr>
        <w:numPr>
          <w:ilvl w:val="0"/>
          <w:numId w:val="32"/>
        </w:numPr>
        <w:spacing w:line="360" w:lineRule="auto"/>
        <w:ind w:left="708"/>
        <w:jc w:val="both"/>
        <w:rPr>
          <w:rFonts w:cs="Arial"/>
          <w:b/>
          <w:bCs/>
          <w:szCs w:val="22"/>
        </w:rPr>
      </w:pPr>
      <w:r w:rsidRPr="004B440D">
        <w:rPr>
          <w:rFonts w:cs="Arial"/>
          <w:b/>
          <w:bCs/>
          <w:szCs w:val="22"/>
        </w:rPr>
        <w:t>Resultado/benefício e serviço ao usuário como eixo de maturidade (sem “pesar”)</w:t>
      </w:r>
      <w:r w:rsidR="00B2119C">
        <w:rPr>
          <w:rFonts w:cs="Arial"/>
          <w:b/>
          <w:bCs/>
          <w:szCs w:val="22"/>
        </w:rPr>
        <w:t xml:space="preserve">: </w:t>
      </w:r>
      <w:r w:rsidRPr="004B440D">
        <w:rPr>
          <w:rFonts w:cs="Arial"/>
          <w:szCs w:val="22"/>
        </w:rPr>
        <w:t xml:space="preserve">O TCU evidenciou que a falta de objetivos/indicadores e acompanhamento de benefícios (87%) torna o processo decisório precário. </w:t>
      </w:r>
    </w:p>
    <w:p w:rsidRPr="004B440D" w:rsidR="004B440D" w:rsidP="00F64AEB" w:rsidRDefault="004B440D" w14:paraId="5E1EE1BA" w14:textId="5394B6B0">
      <w:pPr>
        <w:spacing w:line="360" w:lineRule="auto"/>
        <w:ind w:left="708"/>
        <w:jc w:val="both"/>
        <w:rPr>
          <w:rFonts w:cs="Arial"/>
          <w:b/>
          <w:bCs/>
          <w:szCs w:val="22"/>
        </w:rPr>
      </w:pPr>
      <w:r w:rsidRPr="004B440D">
        <w:rPr>
          <w:rFonts w:cs="Arial"/>
          <w:b/>
          <w:bCs/>
          <w:szCs w:val="22"/>
        </w:rPr>
        <w:t>Aplicação no iGovTI 2026:</w:t>
      </w:r>
      <w:r w:rsidRPr="004B440D">
        <w:rPr>
          <w:rFonts w:cs="Arial"/>
          <w:szCs w:val="22"/>
        </w:rPr>
        <w:t xml:space="preserve"> inserir 2–3 itens de “resultado mínimo”:</w:t>
      </w:r>
    </w:p>
    <w:p w:rsidRPr="004B440D" w:rsidR="004B440D" w:rsidP="00D716B8" w:rsidRDefault="004B440D" w14:paraId="61C68791" w14:textId="77777777">
      <w:pPr>
        <w:numPr>
          <w:ilvl w:val="0"/>
          <w:numId w:val="33"/>
        </w:numPr>
        <w:spacing w:line="360" w:lineRule="auto"/>
        <w:jc w:val="both"/>
        <w:rPr>
          <w:rFonts w:cs="Arial"/>
          <w:szCs w:val="22"/>
        </w:rPr>
      </w:pPr>
      <w:r w:rsidRPr="004B440D">
        <w:rPr>
          <w:rFonts w:cs="Arial"/>
          <w:szCs w:val="22"/>
        </w:rPr>
        <w:t>objetivos e indicadores essenciais;</w:t>
      </w:r>
    </w:p>
    <w:p w:rsidRPr="004B440D" w:rsidR="004B440D" w:rsidP="00D716B8" w:rsidRDefault="004B440D" w14:paraId="184BAE34" w14:textId="77777777">
      <w:pPr>
        <w:numPr>
          <w:ilvl w:val="0"/>
          <w:numId w:val="33"/>
        </w:numPr>
        <w:spacing w:line="360" w:lineRule="auto"/>
        <w:jc w:val="both"/>
        <w:rPr>
          <w:rFonts w:cs="Arial"/>
          <w:szCs w:val="22"/>
        </w:rPr>
      </w:pPr>
      <w:r w:rsidRPr="004B440D">
        <w:rPr>
          <w:rFonts w:cs="Arial"/>
          <w:szCs w:val="22"/>
        </w:rPr>
        <w:t>reporte periódico à alta administração;</w:t>
      </w:r>
    </w:p>
    <w:p w:rsidRPr="004B440D" w:rsidR="004B440D" w:rsidP="00D716B8" w:rsidRDefault="004B440D" w14:paraId="2A66C347" w14:textId="77777777">
      <w:pPr>
        <w:numPr>
          <w:ilvl w:val="0"/>
          <w:numId w:val="33"/>
        </w:numPr>
        <w:spacing w:line="360" w:lineRule="auto"/>
        <w:jc w:val="both"/>
        <w:rPr>
          <w:rFonts w:cs="Arial"/>
          <w:szCs w:val="22"/>
        </w:rPr>
      </w:pPr>
      <w:r w:rsidRPr="004B440D">
        <w:rPr>
          <w:rFonts w:cs="Arial"/>
          <w:szCs w:val="22"/>
        </w:rPr>
        <w:t>mecanismo simples de feedback (ex.: satisfação do usuário), como já debatido para 2026.</w:t>
      </w:r>
    </w:p>
    <w:p w:rsidRPr="004B440D" w:rsidR="004B440D" w:rsidP="00D716B8" w:rsidRDefault="004B440D" w14:paraId="147FE0EC" w14:textId="2FAAC22F">
      <w:pPr>
        <w:numPr>
          <w:ilvl w:val="0"/>
          <w:numId w:val="32"/>
        </w:numPr>
        <w:spacing w:line="360" w:lineRule="auto"/>
        <w:ind w:left="708"/>
        <w:jc w:val="both"/>
        <w:rPr>
          <w:rFonts w:cs="Arial"/>
          <w:b/>
          <w:bCs/>
          <w:szCs w:val="22"/>
        </w:rPr>
      </w:pPr>
      <w:r w:rsidRPr="004B440D">
        <w:rPr>
          <w:rFonts w:cs="Arial"/>
          <w:b/>
          <w:bCs/>
          <w:szCs w:val="22"/>
        </w:rPr>
        <w:t>O maior multiplicador: transformar resposta em plano de ação (indução)</w:t>
      </w:r>
      <w:r w:rsidR="00F64AEB">
        <w:rPr>
          <w:rFonts w:cs="Arial"/>
          <w:b/>
          <w:bCs/>
          <w:szCs w:val="22"/>
        </w:rPr>
        <w:t xml:space="preserve">: </w:t>
      </w:r>
      <w:r w:rsidRPr="004B440D">
        <w:rPr>
          <w:rFonts w:cs="Arial"/>
          <w:szCs w:val="22"/>
        </w:rPr>
        <w:t xml:space="preserve">O ciclo do TCU mostra que o questionário funciona como </w:t>
      </w:r>
      <w:r w:rsidRPr="004B440D">
        <w:rPr>
          <w:rFonts w:cs="Arial"/>
          <w:b/>
          <w:bCs/>
          <w:szCs w:val="22"/>
        </w:rPr>
        <w:t>instrumento indutor</w:t>
      </w:r>
      <w:r w:rsidRPr="004B440D">
        <w:rPr>
          <w:rFonts w:cs="Arial"/>
          <w:szCs w:val="22"/>
        </w:rPr>
        <w:t>, mas o ganho real vem quando:</w:t>
      </w:r>
    </w:p>
    <w:p w:rsidRPr="004B440D" w:rsidR="004B440D" w:rsidP="00D716B8" w:rsidRDefault="004B440D" w14:paraId="08E489CA" w14:textId="77777777">
      <w:pPr>
        <w:numPr>
          <w:ilvl w:val="0"/>
          <w:numId w:val="33"/>
        </w:numPr>
        <w:spacing w:line="360" w:lineRule="auto"/>
        <w:jc w:val="both"/>
        <w:rPr>
          <w:rFonts w:cs="Arial"/>
          <w:szCs w:val="22"/>
        </w:rPr>
      </w:pPr>
      <w:r w:rsidRPr="004B440D">
        <w:rPr>
          <w:rFonts w:cs="Arial"/>
          <w:szCs w:val="22"/>
        </w:rPr>
        <w:t xml:space="preserve">há </w:t>
      </w:r>
      <w:r w:rsidRPr="004B440D">
        <w:rPr>
          <w:rFonts w:cs="Arial"/>
          <w:b/>
          <w:bCs/>
          <w:szCs w:val="22"/>
        </w:rPr>
        <w:t>comparação</w:t>
      </w:r>
      <w:r w:rsidRPr="004B440D">
        <w:rPr>
          <w:rFonts w:cs="Arial"/>
          <w:szCs w:val="22"/>
        </w:rPr>
        <w:t xml:space="preserve"> (benchmark) e transparência;</w:t>
      </w:r>
    </w:p>
    <w:p w:rsidRPr="004B440D" w:rsidR="004B440D" w:rsidP="00D716B8" w:rsidRDefault="004B440D" w14:paraId="4286CBDF" w14:textId="77777777">
      <w:pPr>
        <w:numPr>
          <w:ilvl w:val="0"/>
          <w:numId w:val="33"/>
        </w:numPr>
        <w:spacing w:line="360" w:lineRule="auto"/>
        <w:jc w:val="both"/>
        <w:rPr>
          <w:rFonts w:cs="Arial"/>
          <w:szCs w:val="22"/>
        </w:rPr>
      </w:pPr>
      <w:r w:rsidRPr="004B440D">
        <w:rPr>
          <w:rFonts w:cs="Arial"/>
          <w:szCs w:val="22"/>
        </w:rPr>
        <w:t xml:space="preserve">há </w:t>
      </w:r>
      <w:r w:rsidRPr="004B440D">
        <w:rPr>
          <w:rFonts w:cs="Arial"/>
          <w:b/>
          <w:bCs/>
          <w:szCs w:val="22"/>
        </w:rPr>
        <w:t>monitoramento</w:t>
      </w:r>
      <w:r w:rsidRPr="004B440D">
        <w:rPr>
          <w:rFonts w:cs="Arial"/>
          <w:szCs w:val="22"/>
        </w:rPr>
        <w:t xml:space="preserve"> recorrente;</w:t>
      </w:r>
    </w:p>
    <w:p w:rsidR="004106B2" w:rsidP="00D716B8" w:rsidRDefault="004B440D" w14:paraId="06B65DA0" w14:textId="77777777">
      <w:pPr>
        <w:numPr>
          <w:ilvl w:val="0"/>
          <w:numId w:val="33"/>
        </w:numPr>
        <w:spacing w:line="360" w:lineRule="auto"/>
        <w:jc w:val="both"/>
        <w:rPr>
          <w:rFonts w:cs="Arial"/>
          <w:szCs w:val="22"/>
        </w:rPr>
      </w:pPr>
      <w:r w:rsidRPr="004B440D">
        <w:rPr>
          <w:rFonts w:cs="Arial"/>
          <w:szCs w:val="22"/>
        </w:rPr>
        <w:t xml:space="preserve">há exigência de </w:t>
      </w:r>
      <w:r w:rsidRPr="004B440D">
        <w:rPr>
          <w:rFonts w:cs="Arial"/>
          <w:b/>
          <w:bCs/>
          <w:szCs w:val="22"/>
        </w:rPr>
        <w:t>medidas concretas</w:t>
      </w:r>
      <w:r w:rsidRPr="004B440D">
        <w:rPr>
          <w:rFonts w:cs="Arial"/>
          <w:szCs w:val="22"/>
        </w:rPr>
        <w:t xml:space="preserve"> (normas, comitês, processos, capacitação), como observado nas respostas das IFES no contexto do </w:t>
      </w:r>
      <w:proofErr w:type="spellStart"/>
      <w:r w:rsidRPr="004B440D">
        <w:rPr>
          <w:rFonts w:cs="Arial"/>
          <w:szCs w:val="22"/>
        </w:rPr>
        <w:t>iESGo</w:t>
      </w:r>
      <w:proofErr w:type="spellEnd"/>
      <w:r w:rsidRPr="004B440D">
        <w:rPr>
          <w:rFonts w:cs="Arial"/>
          <w:szCs w:val="22"/>
        </w:rPr>
        <w:t xml:space="preserve"> 2024. </w:t>
      </w:r>
    </w:p>
    <w:p w:rsidRPr="004B440D" w:rsidR="004B440D" w:rsidP="004106B2" w:rsidRDefault="004B440D" w14:paraId="1C3566D1" w14:textId="24164DE0">
      <w:pPr>
        <w:spacing w:line="360" w:lineRule="auto"/>
        <w:ind w:left="708"/>
        <w:jc w:val="both"/>
        <w:rPr>
          <w:rFonts w:cs="Arial"/>
          <w:szCs w:val="22"/>
        </w:rPr>
      </w:pPr>
      <w:r w:rsidRPr="004B440D">
        <w:rPr>
          <w:rFonts w:cs="Arial"/>
          <w:b/>
          <w:bCs/>
          <w:szCs w:val="22"/>
        </w:rPr>
        <w:t>Aplicação no iGovTI 2026:</w:t>
      </w:r>
      <w:r w:rsidRPr="004B440D">
        <w:rPr>
          <w:rFonts w:cs="Arial"/>
          <w:szCs w:val="22"/>
        </w:rPr>
        <w:t xml:space="preserve"> prever, para faixas mais baixas (perfil “inicial”), uma trilha padronizada de melhoria (curta) e um mecanismo simples de acompanhamento (ex.: itens prioritários + evidência mínima + prazo), mantendo comparabilidade.</w:t>
      </w:r>
    </w:p>
    <w:p w:rsidRPr="00AD2D62" w:rsidR="00152029" w:rsidP="00AD2D62" w:rsidRDefault="00152029" w14:paraId="75D75DE2" w14:textId="77777777">
      <w:pPr>
        <w:spacing w:line="360" w:lineRule="auto"/>
        <w:ind w:firstLine="708"/>
        <w:jc w:val="both"/>
        <w:rPr>
          <w:rFonts w:cs="Arial"/>
          <w:szCs w:val="22"/>
        </w:rPr>
      </w:pPr>
    </w:p>
    <w:p w:rsidR="00207D07" w:rsidP="00207D07" w:rsidRDefault="00207D07" w14:paraId="3B072CE0" w14:textId="77777777">
      <w:pPr>
        <w:spacing w:after="200"/>
        <w:rPr>
          <w:b/>
          <w:bCs/>
        </w:rPr>
      </w:pPr>
    </w:p>
    <w:p w:rsidRPr="00207D07" w:rsidR="00207D07" w:rsidP="00207D07" w:rsidRDefault="00207D07" w14:paraId="533165D9" w14:textId="77777777">
      <w:pPr>
        <w:spacing w:after="200"/>
        <w:rPr>
          <w:b/>
          <w:bCs/>
        </w:rPr>
      </w:pPr>
    </w:p>
    <w:p w:rsidR="00EE10F6" w:rsidRDefault="00EE10F6" w14:paraId="34D4867B" w14:textId="4FD47035">
      <w:pPr>
        <w:spacing w:after="200" w:line="276" w:lineRule="auto"/>
        <w:rPr>
          <w:rFonts w:asciiTheme="majorHAnsi" w:hAnsiTheme="majorHAnsi" w:eastAsiaTheme="majorEastAsia" w:cstheme="majorBidi"/>
          <w:b/>
          <w:bCs/>
          <w:color w:val="365F91" w:themeColor="accent1" w:themeShade="BF"/>
          <w:sz w:val="28"/>
          <w:szCs w:val="28"/>
        </w:rPr>
      </w:pPr>
    </w:p>
    <w:p w:rsidR="00207D07" w:rsidRDefault="00207D07" w14:paraId="5A2B93F3" w14:textId="77777777">
      <w:pPr>
        <w:spacing w:after="200" w:line="276" w:lineRule="auto"/>
        <w:rPr>
          <w:rFonts w:asciiTheme="majorHAnsi" w:hAnsiTheme="majorHAnsi" w:eastAsiaTheme="majorEastAsia" w:cstheme="majorBidi"/>
          <w:b/>
          <w:bCs/>
          <w:color w:val="365F91" w:themeColor="accent1" w:themeShade="BF"/>
          <w:sz w:val="28"/>
          <w:szCs w:val="28"/>
        </w:rPr>
      </w:pPr>
      <w:r>
        <w:br w:type="page"/>
      </w:r>
    </w:p>
    <w:p w:rsidRPr="004F7713" w:rsidR="00EE10F6" w:rsidP="00EE10F6" w:rsidRDefault="00EE10F6" w14:paraId="5837FDDD" w14:textId="28C2C9F3">
      <w:pPr>
        <w:pStyle w:val="Ttulo1"/>
      </w:pPr>
      <w:r>
        <w:t>2.</w:t>
      </w:r>
      <w:r w:rsidR="00135257">
        <w:t>6</w:t>
      </w:r>
      <w:r>
        <w:t xml:space="preserve">. </w:t>
      </w:r>
      <w:r w:rsidR="00B6242B">
        <w:t xml:space="preserve">TCU - </w:t>
      </w:r>
      <w:r w:rsidRPr="00FB247F" w:rsidR="00FB247F">
        <w:t>Fiscalização sobre o modelo de TI na Educação</w:t>
      </w:r>
      <w:r w:rsidR="00114E4C">
        <w:t xml:space="preserve"> em</w:t>
      </w:r>
      <w:r w:rsidR="00FB247F">
        <w:t xml:space="preserve"> </w:t>
      </w:r>
      <w:r w:rsidR="00B6242B">
        <w:t>2</w:t>
      </w:r>
      <w:r w:rsidR="00FB247F">
        <w:t>025</w:t>
      </w:r>
      <w:r w:rsidR="00FB247F">
        <w:rPr>
          <w:rStyle w:val="Refdenotaderodap"/>
        </w:rPr>
        <w:footnoteReference w:id="3"/>
      </w:r>
    </w:p>
    <w:p w:rsidRPr="00885867" w:rsidR="00885867" w:rsidP="00885867" w:rsidRDefault="00885867" w14:paraId="29A8A2A8" w14:textId="59FA17C4">
      <w:pPr>
        <w:spacing w:line="360" w:lineRule="auto"/>
        <w:ind w:firstLine="708"/>
        <w:jc w:val="both"/>
        <w:rPr>
          <w:rFonts w:cs="Arial"/>
          <w:szCs w:val="22"/>
        </w:rPr>
      </w:pPr>
      <w:r w:rsidRPr="00885867">
        <w:rPr>
          <w:rFonts w:cs="Arial"/>
          <w:szCs w:val="22"/>
        </w:rPr>
        <w:t xml:space="preserve">Esta seção descreve, em nível macro, o instrumento de coleta (planilha-questionário) aplicado pelo TCU no âmbito da auditoria operacional sobre o modelo de operação de TI em universidades e institutos federais, com foco em sustentabilidade dos serviços de TI. O objetivo aqui é registrar o que foi avaliado, como o questionário foi estruturado (abas/dimensões, tipos de resposta e validações) e quais </w:t>
      </w:r>
      <w:r w:rsidRPr="00885867" w:rsidR="00DB7468">
        <w:rPr>
          <w:rFonts w:cs="Arial"/>
          <w:szCs w:val="22"/>
        </w:rPr>
        <w:t xml:space="preserve">conteúdos </w:t>
      </w:r>
      <w:r w:rsidR="00DB7468">
        <w:rPr>
          <w:rFonts w:cs="Arial"/>
          <w:szCs w:val="22"/>
        </w:rPr>
        <w:t xml:space="preserve">e </w:t>
      </w:r>
      <w:r w:rsidRPr="00885867">
        <w:rPr>
          <w:rFonts w:cs="Arial"/>
          <w:szCs w:val="22"/>
        </w:rPr>
        <w:t>componentes metodológicos são aproveitáveis no desenho do iGovTI 2026 (TCE-RJ), preservando clareza, evidências esperadas e rastreabilidade.</w:t>
      </w:r>
    </w:p>
    <w:p w:rsidR="00B976C7" w:rsidP="00B52A6A" w:rsidRDefault="00B52A6A" w14:paraId="721EF913" w14:textId="603E3CCC">
      <w:pPr>
        <w:pStyle w:val="Ttulo2"/>
      </w:pPr>
      <w:r>
        <w:t>2</w:t>
      </w:r>
      <w:r w:rsidRPr="00B52A6A">
        <w:t>.</w:t>
      </w:r>
      <w:r w:rsidR="00135257">
        <w:t>6</w:t>
      </w:r>
      <w:r>
        <w:t>.</w:t>
      </w:r>
      <w:r w:rsidR="00135257">
        <w:t>1</w:t>
      </w:r>
      <w:r>
        <w:t>.</w:t>
      </w:r>
      <w:r w:rsidRPr="00B52A6A">
        <w:t xml:space="preserve"> Dimensões avaliadas</w:t>
      </w:r>
    </w:p>
    <w:p w:rsidRPr="000D6AD4" w:rsidR="000D6AD4" w:rsidP="00C35A19" w:rsidRDefault="000D6AD4" w14:paraId="71675872" w14:textId="04BE87A2">
      <w:pPr>
        <w:spacing w:before="120" w:after="120" w:line="360" w:lineRule="auto"/>
        <w:jc w:val="both"/>
        <w:rPr>
          <w:b/>
          <w:bCs/>
        </w:rPr>
      </w:pPr>
      <w:r w:rsidRPr="000D6AD4">
        <w:rPr>
          <w:b/>
          <w:bCs/>
        </w:rPr>
        <w:t>Governança, planejamento e mecanismos de direção/controle (Q101–Q126)</w:t>
      </w:r>
    </w:p>
    <w:p w:rsidRPr="000D6AD4" w:rsidR="000D6AD4" w:rsidP="00A06DAF" w:rsidRDefault="000D6AD4" w14:paraId="24B901DB" w14:textId="77777777">
      <w:pPr>
        <w:spacing w:line="360" w:lineRule="auto"/>
        <w:jc w:val="both"/>
      </w:pPr>
      <w:r w:rsidRPr="000D6AD4">
        <w:t>Este bloco avalia, de forma bem objetiva, a existência e o funcionamento de mecanismos mínimos de governança e planejamento, além de elementos de coordenação/compartilhamento e monitoramento de satisfação. Em macro, cobre:</w:t>
      </w:r>
    </w:p>
    <w:p w:rsidRPr="000D6AD4" w:rsidR="000D6AD4" w:rsidP="00D716B8" w:rsidRDefault="000D6AD4" w14:paraId="6888EC86" w14:textId="77777777">
      <w:pPr>
        <w:numPr>
          <w:ilvl w:val="0"/>
          <w:numId w:val="13"/>
        </w:numPr>
        <w:spacing w:line="360" w:lineRule="auto"/>
        <w:jc w:val="both"/>
      </w:pPr>
      <w:r w:rsidRPr="000D6AD4">
        <w:t>Instância de governança (Comitê de Governança Digital ou equivalente): existência, vínculo organizacional, ato de criação e publicidade (URL quando aplicável).</w:t>
      </w:r>
    </w:p>
    <w:p w:rsidRPr="000D6AD4" w:rsidR="000D6AD4" w:rsidP="00D716B8" w:rsidRDefault="000D6AD4" w14:paraId="67E6B2D5" w14:textId="77777777">
      <w:pPr>
        <w:numPr>
          <w:ilvl w:val="0"/>
          <w:numId w:val="13"/>
        </w:numPr>
        <w:spacing w:line="360" w:lineRule="auto"/>
        <w:jc w:val="both"/>
      </w:pPr>
      <w:r w:rsidRPr="000D6AD4">
        <w:t>Ações e cooperação interinstitucional: iniciativas de compartilhamento de recursos e de soluções compartilhadas (com exigência de evidências).</w:t>
      </w:r>
    </w:p>
    <w:p w:rsidRPr="000D6AD4" w:rsidR="000D6AD4" w:rsidP="00D716B8" w:rsidRDefault="000D6AD4" w14:paraId="186793A3" w14:textId="77777777">
      <w:pPr>
        <w:numPr>
          <w:ilvl w:val="0"/>
          <w:numId w:val="13"/>
        </w:numPr>
        <w:spacing w:line="360" w:lineRule="auto"/>
        <w:jc w:val="both"/>
      </w:pPr>
      <w:r w:rsidRPr="000D6AD4">
        <w:t>Acompanhamento/monitoramento da execução: se a instância acompanha ações de TIC e se existem registros/atas/URL pública.</w:t>
      </w:r>
    </w:p>
    <w:p w:rsidRPr="000D6AD4" w:rsidR="000D6AD4" w:rsidP="00D716B8" w:rsidRDefault="000D6AD4" w14:paraId="58978A29" w14:textId="77777777">
      <w:pPr>
        <w:numPr>
          <w:ilvl w:val="0"/>
          <w:numId w:val="13"/>
        </w:numPr>
        <w:spacing w:line="360" w:lineRule="auto"/>
        <w:jc w:val="both"/>
      </w:pPr>
      <w:r w:rsidRPr="000D6AD4">
        <w:t xml:space="preserve">Contratações e orçamento: existência de PCA, </w:t>
      </w:r>
      <w:r w:rsidRPr="000D6AD4">
        <w:rPr>
          <w:b/>
          <w:bCs/>
        </w:rPr>
        <w:t>existência de orçamento específico de TIC</w:t>
      </w:r>
      <w:r w:rsidRPr="000D6AD4">
        <w:t>, e coleta de gasto centralizado via central de compras (quando aplicável), com solicitação de “memória de cálculo”.</w:t>
      </w:r>
    </w:p>
    <w:p w:rsidRPr="000D6AD4" w:rsidR="000D6AD4" w:rsidP="00D716B8" w:rsidRDefault="000D6AD4" w14:paraId="489C3EB4" w14:textId="77777777">
      <w:pPr>
        <w:numPr>
          <w:ilvl w:val="0"/>
          <w:numId w:val="13"/>
        </w:numPr>
        <w:spacing w:line="360" w:lineRule="auto"/>
        <w:jc w:val="both"/>
      </w:pPr>
      <w:r w:rsidRPr="000D6AD4">
        <w:t>Planejamento de TIC (PDTIC): existência/publicação, URL, justificativa quando não publicado e existência de painel público de monitoramento do plano.</w:t>
      </w:r>
    </w:p>
    <w:p w:rsidRPr="000D6AD4" w:rsidR="000D6AD4" w:rsidP="00D716B8" w:rsidRDefault="000D6AD4" w14:paraId="2D1E6A3D" w14:textId="77777777">
      <w:pPr>
        <w:numPr>
          <w:ilvl w:val="0"/>
          <w:numId w:val="13"/>
        </w:numPr>
        <w:spacing w:line="360" w:lineRule="auto"/>
        <w:jc w:val="both"/>
      </w:pPr>
      <w:r w:rsidRPr="000D6AD4">
        <w:t>Gestão da experiência do usuário: pesquisa de satisfação (periodicidade, percepção em “estrelas”), categorias com maior/menor satisfação e canais de atendimento.</w:t>
      </w:r>
    </w:p>
    <w:p w:rsidRPr="000D6AD4" w:rsidR="000D6AD4" w:rsidP="00A06DAF" w:rsidRDefault="000D6AD4" w14:paraId="02DE80C1" w14:textId="77777777">
      <w:pPr>
        <w:spacing w:line="360" w:lineRule="auto"/>
        <w:jc w:val="both"/>
      </w:pPr>
      <w:r w:rsidRPr="000D6AD4">
        <w:rPr>
          <w:b/>
          <w:bCs/>
        </w:rPr>
        <w:t>Ponto metodológico forte</w:t>
      </w:r>
      <w:r w:rsidRPr="000D6AD4">
        <w:t>: o bloco não se limita ao “sim/não”; em vários itens ele exige evidência (URL pública/ato/atas) ou justificativa documentável, o que é diretamente aproveitável em fiscalização.</w:t>
      </w:r>
    </w:p>
    <w:p w:rsidRPr="000D6AD4" w:rsidR="000D6AD4" w:rsidP="00C35A19" w:rsidRDefault="000D6AD4" w14:paraId="2CFE1061" w14:textId="1C660CF9">
      <w:pPr>
        <w:spacing w:before="120" w:after="120" w:line="360" w:lineRule="auto"/>
        <w:jc w:val="both"/>
        <w:rPr>
          <w:b/>
          <w:bCs/>
        </w:rPr>
      </w:pPr>
      <w:r w:rsidRPr="000D6AD4">
        <w:rPr>
          <w:b/>
          <w:bCs/>
        </w:rPr>
        <w:t>Pessoal de TI — capacidade instalada e alocação (Q201–Q223)</w:t>
      </w:r>
    </w:p>
    <w:p w:rsidRPr="000D6AD4" w:rsidR="000D6AD4" w:rsidP="00A06DAF" w:rsidRDefault="000D6AD4" w14:paraId="29C72FC9" w14:textId="77777777">
      <w:pPr>
        <w:spacing w:line="360" w:lineRule="auto"/>
        <w:jc w:val="both"/>
      </w:pPr>
      <w:r w:rsidRPr="000D6AD4">
        <w:t>A seção de pessoal vai além do “quantos existem”, e mede sustentabilidade por capacidade, com dados de perfil e alocação:</w:t>
      </w:r>
    </w:p>
    <w:p w:rsidRPr="000D6AD4" w:rsidR="000D6AD4" w:rsidP="00D716B8" w:rsidRDefault="000D6AD4" w14:paraId="5980F4A1" w14:textId="77777777">
      <w:pPr>
        <w:numPr>
          <w:ilvl w:val="0"/>
          <w:numId w:val="14"/>
        </w:numPr>
        <w:spacing w:line="360" w:lineRule="auto"/>
        <w:jc w:val="both"/>
      </w:pPr>
      <w:r w:rsidRPr="000D6AD4">
        <w:t>Quantitativo de servidores efetivos de TI, com indicadores de idade média, tempo de serviço, abono de permanência (proxy de risco de aposentadorias) e ocupação de funções/cargos.</w:t>
      </w:r>
    </w:p>
    <w:p w:rsidRPr="000D6AD4" w:rsidR="000D6AD4" w:rsidP="00D716B8" w:rsidRDefault="000D6AD4" w14:paraId="4335B0AF" w14:textId="77777777">
      <w:pPr>
        <w:numPr>
          <w:ilvl w:val="0"/>
          <w:numId w:val="14"/>
        </w:numPr>
        <w:spacing w:line="360" w:lineRule="auto"/>
        <w:jc w:val="both"/>
      </w:pPr>
      <w:r w:rsidRPr="000D6AD4">
        <w:t>Quantitativo de terceirizados/externos (incluindo estagiários e colaboradores), separando “capacidade interna” e “dependência externa”.</w:t>
      </w:r>
    </w:p>
    <w:p w:rsidRPr="000D6AD4" w:rsidR="000D6AD4" w:rsidP="00D716B8" w:rsidRDefault="000D6AD4" w14:paraId="7DC80E80" w14:textId="77777777">
      <w:pPr>
        <w:numPr>
          <w:ilvl w:val="0"/>
          <w:numId w:val="14"/>
        </w:numPr>
        <w:spacing w:line="360" w:lineRule="auto"/>
        <w:jc w:val="both"/>
      </w:pPr>
      <w:r w:rsidRPr="000D6AD4">
        <w:t xml:space="preserve">Alocação funcional (tanto de efetivos quanto de terceirizados) em atividades típicas: sistemas finalísticos, sistemas administrativos, infraestrutura, contratações, help </w:t>
      </w:r>
      <w:proofErr w:type="spellStart"/>
      <w:r w:rsidRPr="000D6AD4">
        <w:t>desk</w:t>
      </w:r>
      <w:proofErr w:type="spellEnd"/>
      <w:r w:rsidRPr="000D6AD4">
        <w:t>/suporte, gestão administrativa, segurança/privacidade e “outras”.</w:t>
      </w:r>
    </w:p>
    <w:p w:rsidRPr="000D6AD4" w:rsidR="000D6AD4" w:rsidP="00D716B8" w:rsidRDefault="000D6AD4" w14:paraId="7EE13809" w14:textId="77777777">
      <w:pPr>
        <w:numPr>
          <w:ilvl w:val="0"/>
          <w:numId w:val="14"/>
        </w:numPr>
        <w:spacing w:line="360" w:lineRule="auto"/>
        <w:jc w:val="both"/>
      </w:pPr>
      <w:r w:rsidRPr="000D6AD4">
        <w:t>Campo de total de servidores da organização (todas as áreas), permitindo indicadores proporcionais (ex.: razão TI/total).</w:t>
      </w:r>
    </w:p>
    <w:p w:rsidRPr="000D6AD4" w:rsidR="000D6AD4" w:rsidP="00A06DAF" w:rsidRDefault="000D6AD4" w14:paraId="212FB512" w14:textId="77777777">
      <w:pPr>
        <w:spacing w:line="360" w:lineRule="auto"/>
        <w:jc w:val="both"/>
      </w:pPr>
      <w:r w:rsidRPr="000D6AD4">
        <w:rPr>
          <w:b/>
          <w:bCs/>
        </w:rPr>
        <w:t>Ponto metodológico forte</w:t>
      </w:r>
      <w:r w:rsidRPr="000D6AD4">
        <w:t xml:space="preserve">: o questionário tem validações de consistência (ex.: soma das alocações </w:t>
      </w:r>
      <w:proofErr w:type="spellStart"/>
      <w:r w:rsidRPr="000D6AD4">
        <w:t>vs</w:t>
      </w:r>
      <w:proofErr w:type="spellEnd"/>
      <w:r w:rsidRPr="000D6AD4">
        <w:t xml:space="preserve"> total informado), o que melhora qualidade do dado.</w:t>
      </w:r>
    </w:p>
    <w:p w:rsidRPr="000D6AD4" w:rsidR="000D6AD4" w:rsidP="00402477" w:rsidRDefault="000D6AD4" w14:paraId="3E423A7F" w14:textId="77777777">
      <w:pPr>
        <w:spacing w:before="120" w:after="120" w:line="360" w:lineRule="auto"/>
        <w:jc w:val="both"/>
        <w:rPr>
          <w:b/>
          <w:bCs/>
        </w:rPr>
      </w:pPr>
      <w:r w:rsidRPr="000D6AD4">
        <w:rPr>
          <w:b/>
          <w:bCs/>
        </w:rPr>
        <w:t>(D) Quantidade “ideal” de profissionais (Q201–Q209)</w:t>
      </w:r>
    </w:p>
    <w:p w:rsidRPr="000D6AD4" w:rsidR="000D6AD4" w:rsidP="00A06DAF" w:rsidRDefault="000D6AD4" w14:paraId="0DCAF481" w14:textId="77777777">
      <w:pPr>
        <w:spacing w:line="360" w:lineRule="auto"/>
        <w:jc w:val="both"/>
      </w:pPr>
      <w:r w:rsidRPr="000D6AD4">
        <w:t xml:space="preserve">Bloco de gap </w:t>
      </w:r>
      <w:proofErr w:type="spellStart"/>
      <w:r w:rsidRPr="000D6AD4">
        <w:t>analysis</w:t>
      </w:r>
      <w:proofErr w:type="spellEnd"/>
      <w:r w:rsidRPr="000D6AD4">
        <w:t xml:space="preserve">: a instituição informa o quantitativo necessário/ideal por vínculo/cargo (ex.: analista, técnico, tecnólogo, laboratório, comissionados, cedidos, temporários, ATI, terceirizados). Isso permite comparar capacidade real </w:t>
      </w:r>
      <w:proofErr w:type="spellStart"/>
      <w:r w:rsidRPr="000D6AD4">
        <w:t>vs</w:t>
      </w:r>
      <w:proofErr w:type="spellEnd"/>
      <w:r w:rsidRPr="000D6AD4">
        <w:t xml:space="preserve"> capacidade requerida — excelente para uma auditoria de sustentabilidade.</w:t>
      </w:r>
    </w:p>
    <w:p w:rsidRPr="000D6AD4" w:rsidR="000D6AD4" w:rsidP="00402477" w:rsidRDefault="000D6AD4" w14:paraId="3E12AE96" w14:textId="77777777">
      <w:pPr>
        <w:spacing w:before="120" w:after="120" w:line="360" w:lineRule="auto"/>
        <w:jc w:val="both"/>
        <w:rPr>
          <w:b/>
          <w:bCs/>
        </w:rPr>
      </w:pPr>
      <w:r w:rsidRPr="000D6AD4">
        <w:rPr>
          <w:b/>
          <w:bCs/>
        </w:rPr>
        <w:t>(E) Gastos liquidados (Q301–Q312)</w:t>
      </w:r>
    </w:p>
    <w:p w:rsidRPr="000D6AD4" w:rsidR="000D6AD4" w:rsidP="00A06DAF" w:rsidRDefault="000D6AD4" w14:paraId="6DC09365" w14:textId="77777777">
      <w:pPr>
        <w:spacing w:line="360" w:lineRule="auto"/>
        <w:jc w:val="both"/>
      </w:pPr>
      <w:r w:rsidRPr="000D6AD4">
        <w:t>O instrumento coleta gasto liquidado contratado de terceiros (exclui folha) em 2024, com:</w:t>
      </w:r>
    </w:p>
    <w:p w:rsidRPr="000D6AD4" w:rsidR="000D6AD4" w:rsidP="00D716B8" w:rsidRDefault="000D6AD4" w14:paraId="0FE380E8" w14:textId="77777777">
      <w:pPr>
        <w:numPr>
          <w:ilvl w:val="0"/>
          <w:numId w:val="15"/>
        </w:numPr>
        <w:spacing w:line="360" w:lineRule="auto"/>
        <w:jc w:val="both"/>
      </w:pPr>
      <w:r w:rsidRPr="000D6AD4">
        <w:t>total de TI e detalhamento por macrotemas (sistemas finalísticos, administrativos, infraestrutura própria/compartilhada, equipamentos, suporte, outros).</w:t>
      </w:r>
    </w:p>
    <w:p w:rsidRPr="000D6AD4" w:rsidR="000D6AD4" w:rsidP="00D716B8" w:rsidRDefault="000D6AD4" w14:paraId="25D4F776" w14:textId="77777777">
      <w:pPr>
        <w:numPr>
          <w:ilvl w:val="0"/>
          <w:numId w:val="15"/>
        </w:numPr>
        <w:spacing w:line="360" w:lineRule="auto"/>
        <w:jc w:val="both"/>
      </w:pPr>
      <w:r w:rsidRPr="000D6AD4">
        <w:t>detalhamento específico de nuvem por modelo (IaaS/PaaS/SaaS e backup em nuvem).</w:t>
      </w:r>
    </w:p>
    <w:p w:rsidRPr="000D6AD4" w:rsidR="000D6AD4" w:rsidP="00D716B8" w:rsidRDefault="000D6AD4" w14:paraId="76261FAA" w14:textId="77777777">
      <w:pPr>
        <w:numPr>
          <w:ilvl w:val="0"/>
          <w:numId w:val="15"/>
        </w:numPr>
        <w:spacing w:line="360" w:lineRule="auto"/>
        <w:jc w:val="both"/>
      </w:pPr>
      <w:r w:rsidRPr="000D6AD4">
        <w:t>exigência de memória de cálculo (zip) como evidência.</w:t>
      </w:r>
    </w:p>
    <w:p w:rsidRPr="000D6AD4" w:rsidR="000D6AD4" w:rsidP="00402477" w:rsidRDefault="000D6AD4" w14:paraId="2F99A6A2" w14:textId="77777777">
      <w:pPr>
        <w:spacing w:before="120" w:after="120" w:line="360" w:lineRule="auto"/>
        <w:jc w:val="both"/>
        <w:rPr>
          <w:b/>
          <w:bCs/>
        </w:rPr>
      </w:pPr>
      <w:r w:rsidRPr="000D6AD4">
        <w:rPr>
          <w:b/>
          <w:bCs/>
        </w:rPr>
        <w:t>(F) Sistemas próprios — criticidade, propriedade e potencial de compartilhamento (Q401–Q410)</w:t>
      </w:r>
    </w:p>
    <w:p w:rsidRPr="000D6AD4" w:rsidR="000D6AD4" w:rsidP="00A06DAF" w:rsidRDefault="000D6AD4" w14:paraId="349A61A7" w14:textId="77777777">
      <w:pPr>
        <w:spacing w:line="360" w:lineRule="auto"/>
        <w:jc w:val="both"/>
      </w:pPr>
      <w:r w:rsidRPr="000D6AD4">
        <w:t>Bloco tabelado para listar os 10 principais sistemas, coletando atributos que conectam TI a missão e continuidade do serviço:</w:t>
      </w:r>
    </w:p>
    <w:p w:rsidRPr="000D6AD4" w:rsidR="000D6AD4" w:rsidP="00D716B8" w:rsidRDefault="000D6AD4" w14:paraId="21A1247A" w14:textId="77777777">
      <w:pPr>
        <w:numPr>
          <w:ilvl w:val="0"/>
          <w:numId w:val="16"/>
        </w:numPr>
        <w:spacing w:line="360" w:lineRule="auto"/>
        <w:jc w:val="both"/>
      </w:pPr>
      <w:r w:rsidRPr="000D6AD4">
        <w:t>finalidade/área (fim/meio), descrição, criticidade (alto/médio/baixo);</w:t>
      </w:r>
    </w:p>
    <w:p w:rsidRPr="000D6AD4" w:rsidR="000D6AD4" w:rsidP="00D716B8" w:rsidRDefault="000D6AD4" w14:paraId="3E0129DF" w14:textId="77777777">
      <w:pPr>
        <w:numPr>
          <w:ilvl w:val="0"/>
          <w:numId w:val="16"/>
        </w:numPr>
        <w:spacing w:line="360" w:lineRule="auto"/>
        <w:jc w:val="both"/>
      </w:pPr>
      <w:r w:rsidRPr="000D6AD4">
        <w:t>proprietário do código-fonte, se poderia ser compartilhado, justificativa se não;</w:t>
      </w:r>
    </w:p>
    <w:p w:rsidRPr="000D6AD4" w:rsidR="000D6AD4" w:rsidP="00D716B8" w:rsidRDefault="000D6AD4" w14:paraId="4DB029C6" w14:textId="77777777">
      <w:pPr>
        <w:numPr>
          <w:ilvl w:val="0"/>
          <w:numId w:val="16"/>
        </w:numPr>
        <w:spacing w:line="360" w:lineRule="auto"/>
        <w:jc w:val="both"/>
      </w:pPr>
      <w:r w:rsidRPr="000D6AD4">
        <w:t>se é solução em nuvem (considerando SaaS);</w:t>
      </w:r>
    </w:p>
    <w:p w:rsidRPr="000D6AD4" w:rsidR="000D6AD4" w:rsidP="00D716B8" w:rsidRDefault="000D6AD4" w14:paraId="7A3F81FE" w14:textId="77777777">
      <w:pPr>
        <w:numPr>
          <w:ilvl w:val="0"/>
          <w:numId w:val="16"/>
        </w:numPr>
        <w:spacing w:line="360" w:lineRule="auto"/>
        <w:jc w:val="both"/>
      </w:pPr>
      <w:r w:rsidRPr="000D6AD4">
        <w:t>quais serviços da Carta de Serviços ao Usuário são mais afetados se houver indisponibilidade.</w:t>
      </w:r>
    </w:p>
    <w:p w:rsidRPr="000D6AD4" w:rsidR="000D6AD4" w:rsidP="00A06DAF" w:rsidRDefault="000D6AD4" w14:paraId="716AF125" w14:textId="77777777">
      <w:pPr>
        <w:spacing w:line="360" w:lineRule="auto"/>
        <w:jc w:val="both"/>
      </w:pPr>
      <w:r w:rsidRPr="000D6AD4">
        <w:t>Esse desenho é valioso porque força o vínculo “sistema crítico → impacto no serviço → decisão de priorização”.</w:t>
      </w:r>
    </w:p>
    <w:p w:rsidRPr="00A06DAF" w:rsidR="00A06DAF" w:rsidP="00402477" w:rsidRDefault="00A06DAF" w14:paraId="68C66FA1" w14:textId="77777777">
      <w:pPr>
        <w:spacing w:before="120" w:after="120" w:line="360" w:lineRule="auto"/>
        <w:jc w:val="both"/>
        <w:rPr>
          <w:b/>
          <w:bCs/>
        </w:rPr>
      </w:pPr>
      <w:r w:rsidRPr="00A06DAF">
        <w:rPr>
          <w:b/>
          <w:bCs/>
        </w:rPr>
        <w:t>(G) Infraestrutura — hospedagem, conectividade e continuidade (Q501–Q510)</w:t>
      </w:r>
    </w:p>
    <w:p w:rsidRPr="00A06DAF" w:rsidR="00A06DAF" w:rsidP="00A06DAF" w:rsidRDefault="00A06DAF" w14:paraId="1FB56B97" w14:textId="77777777">
      <w:pPr>
        <w:spacing w:line="360" w:lineRule="auto"/>
        <w:jc w:val="both"/>
      </w:pPr>
      <w:r w:rsidRPr="00A06DAF">
        <w:t>Bloco enxuto, mas diretamente ligado à continuidade e resiliência:</w:t>
      </w:r>
    </w:p>
    <w:p w:rsidRPr="00A06DAF" w:rsidR="00A06DAF" w:rsidP="00D716B8" w:rsidRDefault="00A06DAF" w14:paraId="0DED50EE" w14:textId="77777777">
      <w:pPr>
        <w:numPr>
          <w:ilvl w:val="0"/>
          <w:numId w:val="17"/>
        </w:numPr>
        <w:spacing w:line="360" w:lineRule="auto"/>
        <w:jc w:val="both"/>
      </w:pPr>
      <w:r w:rsidRPr="00A06DAF">
        <w:t xml:space="preserve">inventário por tipo de datacenter (próprio, compartilhado com </w:t>
      </w:r>
      <w:proofErr w:type="spellStart"/>
      <w:r w:rsidRPr="00A06DAF">
        <w:t>IFEs</w:t>
      </w:r>
      <w:proofErr w:type="spellEnd"/>
      <w:r w:rsidRPr="00A06DAF">
        <w:t>, com outro órgão, contratado);</w:t>
      </w:r>
    </w:p>
    <w:p w:rsidRPr="00A06DAF" w:rsidR="00A06DAF" w:rsidP="00D716B8" w:rsidRDefault="00A06DAF" w14:paraId="64468277" w14:textId="77777777">
      <w:pPr>
        <w:numPr>
          <w:ilvl w:val="0"/>
          <w:numId w:val="17"/>
        </w:numPr>
        <w:spacing w:line="360" w:lineRule="auto"/>
        <w:jc w:val="both"/>
      </w:pPr>
      <w:r w:rsidRPr="00A06DAF">
        <w:t>conectividade: compartilhamento de link, adesão a links (RNP), provedor principal, link de backup;</w:t>
      </w:r>
    </w:p>
    <w:p w:rsidRPr="00A06DAF" w:rsidR="00A06DAF" w:rsidP="00D716B8" w:rsidRDefault="00A06DAF" w14:paraId="0007FE6E" w14:textId="77777777">
      <w:pPr>
        <w:numPr>
          <w:ilvl w:val="0"/>
          <w:numId w:val="17"/>
        </w:numPr>
        <w:spacing w:line="360" w:lineRule="auto"/>
        <w:jc w:val="both"/>
      </w:pPr>
      <w:r w:rsidRPr="00A06DAF">
        <w:t>uso de nuvem para hospedar sistemas críticos/dados sensíveis;</w:t>
      </w:r>
    </w:p>
    <w:p w:rsidRPr="00A06DAF" w:rsidR="00A06DAF" w:rsidP="00D716B8" w:rsidRDefault="00A06DAF" w14:paraId="4DB8645A" w14:textId="77777777">
      <w:pPr>
        <w:numPr>
          <w:ilvl w:val="0"/>
          <w:numId w:val="17"/>
        </w:numPr>
        <w:spacing w:line="360" w:lineRule="auto"/>
        <w:jc w:val="both"/>
      </w:pPr>
      <w:r w:rsidRPr="00A06DAF">
        <w:t>backup automatizado e testado.</w:t>
      </w:r>
    </w:p>
    <w:p w:rsidRPr="00A06DAF" w:rsidR="00A06DAF" w:rsidP="00A06DAF" w:rsidRDefault="00135257" w14:paraId="35EEB8D9" w14:textId="3F37EA50">
      <w:pPr>
        <w:pStyle w:val="Ttulo2"/>
      </w:pPr>
      <w:r>
        <w:t>2.6.2.</w:t>
      </w:r>
      <w:r w:rsidRPr="00A06DAF" w:rsidR="00A06DAF">
        <w:t xml:space="preserve"> O que pode ser aproveitado no iGovTI 2026</w:t>
      </w:r>
    </w:p>
    <w:p w:rsidR="00D8337F" w:rsidP="00D716B8" w:rsidRDefault="00A06DAF" w14:paraId="3D84059D" w14:textId="77777777">
      <w:pPr>
        <w:numPr>
          <w:ilvl w:val="0"/>
          <w:numId w:val="18"/>
        </w:numPr>
        <w:spacing w:line="360" w:lineRule="auto"/>
        <w:jc w:val="both"/>
      </w:pPr>
      <w:r w:rsidRPr="00A06DAF">
        <w:t>Bloco de sustentabilidade de capacidade (pessoal + alocação + gap ideal)</w:t>
      </w:r>
      <w:r w:rsidRPr="00A06DAF">
        <w:br/>
      </w:r>
      <w:r w:rsidRPr="00A06DAF">
        <w:t>Esse é um diferencial do TCU: não avalia só “existência de práticas”, mas a capacidade real de manter TI. Para o iGovTI 2026, isso pode virar um subeixo de “Capacidade instalada e sustentabilidade”.</w:t>
      </w:r>
    </w:p>
    <w:p w:rsidR="00B52A6A" w:rsidP="00D716B8" w:rsidRDefault="00D8337F" w14:paraId="5EF8FE0E" w14:textId="10971CF0">
      <w:pPr>
        <w:numPr>
          <w:ilvl w:val="0"/>
          <w:numId w:val="18"/>
        </w:numPr>
        <w:spacing w:line="360" w:lineRule="auto"/>
        <w:jc w:val="both"/>
      </w:pPr>
      <w:r w:rsidRPr="00D8337F">
        <w:t>Orçamento específico de TIC</w:t>
      </w:r>
      <w:r>
        <w:t xml:space="preserve">: </w:t>
      </w:r>
      <w:r w:rsidRPr="00D8337F">
        <w:t>indicador simples e muito discriminante de maturidade mínima de governança. Sem orçamento identificado, o planejamento vira “intenção” e a TI tende a operar reativamente</w:t>
      </w:r>
      <w:r w:rsidR="00D71C0B">
        <w:t>.</w:t>
      </w:r>
    </w:p>
    <w:p w:rsidRPr="00D71C0B" w:rsidR="00D71C0B" w:rsidP="00D716B8" w:rsidRDefault="00D71C0B" w14:paraId="746C6BCD" w14:textId="77777777">
      <w:pPr>
        <w:numPr>
          <w:ilvl w:val="1"/>
          <w:numId w:val="19"/>
        </w:numPr>
        <w:spacing w:after="100" w:afterAutospacing="1" w:line="360" w:lineRule="auto"/>
        <w:jc w:val="both"/>
        <w:rPr>
          <w:rFonts w:cs="Arial"/>
          <w:szCs w:val="22"/>
        </w:rPr>
      </w:pPr>
      <w:r w:rsidRPr="00D71C0B">
        <w:rPr>
          <w:rFonts w:cs="Arial"/>
          <w:b/>
          <w:bCs/>
          <w:szCs w:val="22"/>
        </w:rPr>
        <w:t>Pergunta 1 (binária):</w:t>
      </w:r>
      <w:r w:rsidRPr="00D71C0B">
        <w:rPr>
          <w:rFonts w:cs="Arial"/>
          <w:szCs w:val="22"/>
        </w:rPr>
        <w:t xml:space="preserve"> Existe dotação orçamentária/centro de custo/ação orçamentária </w:t>
      </w:r>
      <w:r w:rsidRPr="00D71C0B">
        <w:rPr>
          <w:rFonts w:cs="Arial"/>
          <w:b/>
          <w:bCs/>
          <w:szCs w:val="22"/>
        </w:rPr>
        <w:t>identificada</w:t>
      </w:r>
      <w:r w:rsidRPr="00D71C0B">
        <w:rPr>
          <w:rFonts w:cs="Arial"/>
          <w:szCs w:val="22"/>
        </w:rPr>
        <w:t xml:space="preserve"> para TIC no orçamento do órgão? (Sim/Não/Parcial)</w:t>
      </w:r>
    </w:p>
    <w:p w:rsidRPr="00D71C0B" w:rsidR="00D71C0B" w:rsidP="00D716B8" w:rsidRDefault="00D71C0B" w14:paraId="7E708D1C" w14:textId="77777777">
      <w:pPr>
        <w:numPr>
          <w:ilvl w:val="1"/>
          <w:numId w:val="19"/>
        </w:numPr>
        <w:spacing w:before="100" w:beforeAutospacing="1" w:after="100" w:afterAutospacing="1" w:line="360" w:lineRule="auto"/>
        <w:jc w:val="both"/>
        <w:rPr>
          <w:rFonts w:cs="Arial"/>
          <w:szCs w:val="22"/>
        </w:rPr>
      </w:pPr>
      <w:r w:rsidRPr="00D71C0B">
        <w:rPr>
          <w:rFonts w:cs="Arial"/>
          <w:b/>
          <w:bCs/>
          <w:szCs w:val="22"/>
        </w:rPr>
        <w:t>Pergunta 2 (evidência mínima):</w:t>
      </w:r>
      <w:r w:rsidRPr="00D71C0B">
        <w:rPr>
          <w:rFonts w:cs="Arial"/>
          <w:szCs w:val="22"/>
        </w:rPr>
        <w:t xml:space="preserve"> Indicar </w:t>
      </w:r>
      <w:r w:rsidRPr="00D71C0B">
        <w:rPr>
          <w:rFonts w:cs="Arial"/>
          <w:b/>
          <w:bCs/>
          <w:szCs w:val="22"/>
        </w:rPr>
        <w:t>unidade/ação/fonte</w:t>
      </w:r>
      <w:r w:rsidRPr="00D71C0B">
        <w:rPr>
          <w:rFonts w:cs="Arial"/>
          <w:szCs w:val="22"/>
        </w:rPr>
        <w:t xml:space="preserve"> ou anexar/colar </w:t>
      </w:r>
      <w:r w:rsidRPr="00D71C0B">
        <w:rPr>
          <w:rFonts w:cs="Arial"/>
          <w:b/>
          <w:bCs/>
          <w:szCs w:val="22"/>
        </w:rPr>
        <w:t>trecho</w:t>
      </w:r>
      <w:r w:rsidRPr="00D71C0B">
        <w:rPr>
          <w:rFonts w:cs="Arial"/>
          <w:szCs w:val="22"/>
        </w:rPr>
        <w:t xml:space="preserve"> (ou link para LOA/QDD) onde conste a rubrica.</w:t>
      </w:r>
    </w:p>
    <w:p w:rsidR="00D71C0B" w:rsidP="00D716B8" w:rsidRDefault="00D71C0B" w14:paraId="2F4CEA56" w14:textId="7E4A22CE">
      <w:pPr>
        <w:numPr>
          <w:ilvl w:val="1"/>
          <w:numId w:val="19"/>
        </w:numPr>
        <w:spacing w:before="100" w:beforeAutospacing="1" w:after="100" w:afterAutospacing="1" w:line="360" w:lineRule="auto"/>
        <w:jc w:val="both"/>
        <w:rPr>
          <w:rFonts w:cs="Arial"/>
          <w:szCs w:val="22"/>
        </w:rPr>
      </w:pPr>
      <w:r w:rsidRPr="00D71C0B">
        <w:rPr>
          <w:rFonts w:cs="Arial"/>
          <w:b/>
          <w:bCs/>
          <w:szCs w:val="22"/>
        </w:rPr>
        <w:t>Pergunta 3 (governança):</w:t>
      </w:r>
      <w:r w:rsidRPr="00D71C0B">
        <w:rPr>
          <w:rFonts w:cs="Arial"/>
          <w:szCs w:val="22"/>
        </w:rPr>
        <w:t xml:space="preserve"> A execução é monitorada por instância de governança (comitê/gestão)? (Sim/Não)</w:t>
      </w:r>
      <w:r>
        <w:rPr>
          <w:rFonts w:cs="Arial"/>
          <w:szCs w:val="22"/>
        </w:rPr>
        <w:t>.</w:t>
      </w:r>
    </w:p>
    <w:p w:rsidR="00D71C0B" w:rsidP="00D716B8" w:rsidRDefault="002F6CF9" w14:paraId="3EBA628E" w14:textId="37349E34">
      <w:pPr>
        <w:numPr>
          <w:ilvl w:val="0"/>
          <w:numId w:val="18"/>
        </w:numPr>
        <w:spacing w:line="360" w:lineRule="auto"/>
        <w:jc w:val="both"/>
        <w:rPr>
          <w:rFonts w:cs="Arial"/>
          <w:szCs w:val="22"/>
        </w:rPr>
      </w:pPr>
      <w:r w:rsidRPr="002F6CF9">
        <w:rPr>
          <w:rFonts w:cs="Arial"/>
          <w:szCs w:val="22"/>
        </w:rPr>
        <w:t>Datacenter / hospedagem e continuidade</w:t>
      </w:r>
      <w:r w:rsidR="00AF19AF">
        <w:rPr>
          <w:rFonts w:cs="Arial"/>
          <w:szCs w:val="22"/>
        </w:rPr>
        <w:t>:</w:t>
      </w:r>
      <w:r w:rsidRPr="00AF19AF" w:rsidR="00AF19AF">
        <w:rPr>
          <w:rFonts w:cs="Arial"/>
          <w:szCs w:val="22"/>
        </w:rPr>
        <w:t xml:space="preserve"> “onde roda” é central para continuidade e risco operacional</w:t>
      </w:r>
      <w:r w:rsidR="00B00D41">
        <w:rPr>
          <w:rFonts w:cs="Arial"/>
          <w:szCs w:val="22"/>
        </w:rPr>
        <w:t>.</w:t>
      </w:r>
    </w:p>
    <w:p w:rsidRPr="00B00D41" w:rsidR="00B00D41" w:rsidP="00D716B8" w:rsidRDefault="00B00D41" w14:paraId="64E1544A" w14:textId="77777777">
      <w:pPr>
        <w:numPr>
          <w:ilvl w:val="1"/>
          <w:numId w:val="19"/>
        </w:numPr>
        <w:spacing w:after="100" w:afterAutospacing="1" w:line="360" w:lineRule="auto"/>
        <w:jc w:val="both"/>
        <w:rPr>
          <w:rFonts w:cs="Arial"/>
          <w:b/>
          <w:bCs/>
          <w:szCs w:val="22"/>
        </w:rPr>
      </w:pPr>
      <w:r w:rsidRPr="00B00D41">
        <w:rPr>
          <w:rFonts w:cs="Arial"/>
          <w:b/>
          <w:bCs/>
          <w:szCs w:val="22"/>
        </w:rPr>
        <w:t xml:space="preserve">Pergunta 1: </w:t>
      </w:r>
      <w:r w:rsidRPr="00B00D41">
        <w:rPr>
          <w:rFonts w:cs="Arial"/>
          <w:szCs w:val="22"/>
        </w:rPr>
        <w:t>Modelo predominante de hospedagem: datacenter próprio / datacenter de terceiros / compartilhado / nuvem / híbrido.</w:t>
      </w:r>
    </w:p>
    <w:p w:rsidRPr="00B00D41" w:rsidR="00B00D41" w:rsidP="00D716B8" w:rsidRDefault="00B00D41" w14:paraId="336B7E9D" w14:textId="77777777">
      <w:pPr>
        <w:numPr>
          <w:ilvl w:val="1"/>
          <w:numId w:val="19"/>
        </w:numPr>
        <w:spacing w:after="100" w:afterAutospacing="1" w:line="360" w:lineRule="auto"/>
        <w:jc w:val="both"/>
        <w:rPr>
          <w:rFonts w:cs="Arial"/>
          <w:szCs w:val="22"/>
        </w:rPr>
      </w:pPr>
      <w:r w:rsidRPr="00B00D41">
        <w:rPr>
          <w:rFonts w:cs="Arial"/>
          <w:b/>
          <w:bCs/>
          <w:szCs w:val="22"/>
        </w:rPr>
        <w:t xml:space="preserve">Pergunta 2: </w:t>
      </w:r>
      <w:r w:rsidRPr="00B00D41">
        <w:rPr>
          <w:rFonts w:cs="Arial"/>
          <w:szCs w:val="22"/>
        </w:rPr>
        <w:t>Existe redundância (site secundário, DR, replicação, região alternativa)? (Sim/Não/Parcial)</w:t>
      </w:r>
    </w:p>
    <w:p w:rsidRPr="00B00D41" w:rsidR="00B00D41" w:rsidP="00D716B8" w:rsidRDefault="00B00D41" w14:paraId="3DE51DCF" w14:textId="77777777">
      <w:pPr>
        <w:numPr>
          <w:ilvl w:val="1"/>
          <w:numId w:val="19"/>
        </w:numPr>
        <w:spacing w:after="100" w:afterAutospacing="1" w:line="360" w:lineRule="auto"/>
        <w:jc w:val="both"/>
        <w:rPr>
          <w:rFonts w:cs="Arial"/>
          <w:szCs w:val="22"/>
        </w:rPr>
      </w:pPr>
      <w:r w:rsidRPr="00B00D41">
        <w:rPr>
          <w:rFonts w:cs="Arial"/>
          <w:b/>
          <w:bCs/>
          <w:szCs w:val="22"/>
        </w:rPr>
        <w:t xml:space="preserve">Pergunta 3: </w:t>
      </w:r>
      <w:r w:rsidRPr="00B00D41">
        <w:rPr>
          <w:rFonts w:cs="Arial"/>
          <w:szCs w:val="22"/>
        </w:rPr>
        <w:t>Backup: periodicidade e se existe teste de restauração (Sim/Não; quando foi o último teste).</w:t>
      </w:r>
    </w:p>
    <w:p w:rsidR="00EE10F6" w:rsidP="00D716B8" w:rsidRDefault="00B00D41" w14:paraId="573BCA3B" w14:textId="38976DCC">
      <w:pPr>
        <w:numPr>
          <w:ilvl w:val="1"/>
          <w:numId w:val="19"/>
        </w:numPr>
        <w:spacing w:after="100" w:afterAutospacing="1" w:line="360" w:lineRule="auto"/>
        <w:jc w:val="both"/>
        <w:rPr>
          <w:rFonts w:cs="Arial"/>
          <w:szCs w:val="22"/>
        </w:rPr>
      </w:pPr>
      <w:r w:rsidRPr="00B00D41">
        <w:rPr>
          <w:rFonts w:cs="Arial"/>
          <w:b/>
          <w:bCs/>
          <w:szCs w:val="22"/>
        </w:rPr>
        <w:t xml:space="preserve">Pergunta 4 (governança): </w:t>
      </w:r>
      <w:r w:rsidRPr="00B00D41">
        <w:rPr>
          <w:rFonts w:cs="Arial"/>
          <w:szCs w:val="22"/>
        </w:rPr>
        <w:t>Existe plano de continuidade de TIC/serviços digitais (Sim/Não) e ele é testado? (Sim/Não)</w:t>
      </w:r>
    </w:p>
    <w:p w:rsidRPr="00174B1C" w:rsidR="00174B1C" w:rsidP="00174B1C" w:rsidRDefault="00174B1C" w14:paraId="4F833880" w14:textId="121EA2C9">
      <w:pPr>
        <w:spacing w:line="360" w:lineRule="auto"/>
        <w:jc w:val="both"/>
      </w:pPr>
      <w:r w:rsidRPr="00174B1C">
        <w:t xml:space="preserve">Como encaixar isso nas dimensões do iGovTI 2026 </w:t>
      </w:r>
    </w:p>
    <w:p w:rsidRPr="00174B1C" w:rsidR="00174B1C" w:rsidP="00D716B8" w:rsidRDefault="00174B1C" w14:paraId="781B5433" w14:textId="1E8F24CB">
      <w:pPr>
        <w:numPr>
          <w:ilvl w:val="0"/>
          <w:numId w:val="20"/>
        </w:numPr>
        <w:spacing w:after="100" w:afterAutospacing="1" w:line="360" w:lineRule="auto"/>
        <w:jc w:val="both"/>
        <w:rPr>
          <w:rFonts w:cs="Arial"/>
          <w:szCs w:val="22"/>
        </w:rPr>
      </w:pPr>
      <w:r w:rsidRPr="00174B1C">
        <w:rPr>
          <w:rFonts w:cs="Arial"/>
          <w:b/>
          <w:bCs/>
          <w:szCs w:val="22"/>
        </w:rPr>
        <w:t>Governança / Planejamento:</w:t>
      </w:r>
      <w:r w:rsidRPr="00174B1C">
        <w:rPr>
          <w:rFonts w:cs="Arial"/>
          <w:szCs w:val="22"/>
        </w:rPr>
        <w:t xml:space="preserve"> Orçamento específico de TIC</w:t>
      </w:r>
    </w:p>
    <w:p w:rsidRPr="00174B1C" w:rsidR="00174B1C" w:rsidP="00D716B8" w:rsidRDefault="00174B1C" w14:paraId="24CD69E6" w14:textId="64B9785A">
      <w:pPr>
        <w:numPr>
          <w:ilvl w:val="0"/>
          <w:numId w:val="20"/>
        </w:numPr>
        <w:spacing w:after="100" w:afterAutospacing="1" w:line="360" w:lineRule="auto"/>
        <w:jc w:val="both"/>
        <w:rPr>
          <w:rFonts w:cs="Arial"/>
          <w:szCs w:val="22"/>
        </w:rPr>
      </w:pPr>
      <w:r w:rsidRPr="00174B1C">
        <w:rPr>
          <w:rFonts w:cs="Arial"/>
          <w:b/>
          <w:bCs/>
          <w:szCs w:val="22"/>
        </w:rPr>
        <w:t>Continuidade / Infraestrutura / Segurança:</w:t>
      </w:r>
      <w:r w:rsidRPr="00174B1C">
        <w:rPr>
          <w:rFonts w:cs="Arial"/>
          <w:szCs w:val="22"/>
        </w:rPr>
        <w:t xml:space="preserve"> Datacenter/hospedagem + backup/teste</w:t>
      </w:r>
    </w:p>
    <w:p w:rsidR="00ED2241" w:rsidRDefault="00ED2241" w14:paraId="75B2F86D" w14:textId="77777777">
      <w:pPr>
        <w:spacing w:after="200" w:line="276" w:lineRule="auto"/>
        <w:rPr>
          <w:rFonts w:asciiTheme="majorHAnsi" w:hAnsiTheme="majorHAnsi" w:eastAsiaTheme="majorEastAsia" w:cstheme="majorBidi"/>
          <w:b/>
          <w:bCs/>
          <w:color w:val="365F91" w:themeColor="accent1" w:themeShade="BF"/>
          <w:sz w:val="28"/>
          <w:szCs w:val="28"/>
        </w:rPr>
      </w:pPr>
      <w:r>
        <w:br w:type="page"/>
      </w:r>
    </w:p>
    <w:p w:rsidRPr="004F7713" w:rsidR="002E6E1D" w:rsidP="002E6E1D" w:rsidRDefault="002E6E1D" w14:paraId="6D87122D" w14:textId="1A3D676C">
      <w:pPr>
        <w:pStyle w:val="Ttulo1"/>
      </w:pPr>
      <w:r>
        <w:t>2.</w:t>
      </w:r>
      <w:r w:rsidR="001647DD">
        <w:t>7</w:t>
      </w:r>
      <w:r>
        <w:t xml:space="preserve">. </w:t>
      </w:r>
      <w:r w:rsidRPr="00BB0139">
        <w:t>TCE-</w:t>
      </w:r>
      <w:r>
        <w:t xml:space="preserve">RJ - </w:t>
      </w:r>
      <w:proofErr w:type="gramStart"/>
      <w:r w:rsidRPr="00BB0139">
        <w:t>iGovTI</w:t>
      </w:r>
      <w:proofErr w:type="gramEnd"/>
      <w:r w:rsidRPr="00BB0139">
        <w:t xml:space="preserve"> d</w:t>
      </w:r>
      <w:r>
        <w:t>e</w:t>
      </w:r>
      <w:r w:rsidRPr="00BB0139">
        <w:t xml:space="preserve"> </w:t>
      </w:r>
      <w:r>
        <w:t>2023 (Municípios e SETIC)</w:t>
      </w:r>
    </w:p>
    <w:p w:rsidR="00C6001F" w:rsidP="00C6001F" w:rsidRDefault="00C6001F" w14:paraId="53E4DD20" w14:textId="77777777">
      <w:pPr>
        <w:spacing w:line="360" w:lineRule="auto"/>
        <w:ind w:firstLine="708"/>
        <w:jc w:val="both"/>
        <w:rPr>
          <w:rFonts w:cs="Arial"/>
          <w:szCs w:val="22"/>
        </w:rPr>
      </w:pPr>
      <w:r w:rsidRPr="00C6001F">
        <w:rPr>
          <w:rFonts w:cs="Arial"/>
          <w:szCs w:val="22"/>
        </w:rPr>
        <w:t xml:space="preserve">O iGovTI aplicado pelo TCE-RJ em 2023 foi utilizado em dois contextos distintos, mas relacionados: a auditoria sobre governança e gestão de TI nos municípios e a auditoria sobre governança e gestão de TI no âmbito do SETIC. Em ambos os casos, o questionário foi empregado como instrumento de mapeamento e mensuração do grau de adoção de práticas de governança e gestão de TI, com metodologia de autoavaliação, exigência de evidências em respostas positivas e posterior análise crítica pela equipe de auditoria. </w:t>
      </w:r>
    </w:p>
    <w:p w:rsidRPr="007C7B0B" w:rsidR="007C7B0B" w:rsidP="007C7B0B" w:rsidRDefault="007C7B0B" w14:paraId="7F980762" w14:textId="77777777">
      <w:pPr>
        <w:spacing w:line="360" w:lineRule="auto"/>
        <w:ind w:firstLine="708"/>
        <w:jc w:val="both"/>
        <w:rPr>
          <w:rFonts w:cs="Arial"/>
          <w:szCs w:val="22"/>
        </w:rPr>
      </w:pPr>
      <w:r w:rsidRPr="007C7B0B">
        <w:rPr>
          <w:rFonts w:cs="Arial"/>
          <w:szCs w:val="22"/>
        </w:rPr>
        <w:t xml:space="preserve">A experiência de 2023 é especialmente relevante para o desenho do iGovTI 2026 porque o TCE-RJ não apenas aplicou um questionário, mas o utilizou em articulação com visitas in loco, entrevistas, exame documental e ajustes nas notas, transformando o índice em instrumento de diagnóstico e de aprofundamento </w:t>
      </w:r>
      <w:proofErr w:type="spellStart"/>
      <w:r w:rsidRPr="007C7B0B">
        <w:rPr>
          <w:rFonts w:cs="Arial"/>
          <w:szCs w:val="22"/>
        </w:rPr>
        <w:t>auditorial</w:t>
      </w:r>
      <w:proofErr w:type="spellEnd"/>
      <w:r w:rsidRPr="007C7B0B">
        <w:rPr>
          <w:rFonts w:cs="Arial"/>
          <w:szCs w:val="22"/>
        </w:rPr>
        <w:t xml:space="preserve">. No caso municipal, a própria equipe reconheceu que o método declaratório pode gerar distorções e, por isso, calculou notas ajustadas após análise das evidências e de um subconjunto de práticas examinadas diretamente. </w:t>
      </w:r>
    </w:p>
    <w:p w:rsidR="007C7B0B" w:rsidP="007C7B0B" w:rsidRDefault="007C7B0B" w14:paraId="3640D133" w14:textId="77777777">
      <w:pPr>
        <w:spacing w:line="360" w:lineRule="auto"/>
        <w:ind w:firstLine="708"/>
        <w:jc w:val="both"/>
        <w:rPr>
          <w:rFonts w:cs="Arial"/>
          <w:szCs w:val="22"/>
        </w:rPr>
      </w:pPr>
      <w:r w:rsidRPr="007C7B0B">
        <w:rPr>
          <w:rFonts w:cs="Arial"/>
          <w:szCs w:val="22"/>
        </w:rPr>
        <w:t xml:space="preserve">No caso do SETIC, o índice foi usado tanto para aferir a maturidade das organizações setoriais quanto para avaliar, de forma paralela, aspectos do próprio sistema e da atuação do PRODERJ como Diretor Geral. </w:t>
      </w:r>
    </w:p>
    <w:p w:rsidRPr="007C7B0B" w:rsidR="00A57E0F" w:rsidP="007C7B0B" w:rsidRDefault="00A57E0F" w14:paraId="21847909" w14:textId="77777777">
      <w:pPr>
        <w:spacing w:line="360" w:lineRule="auto"/>
        <w:ind w:firstLine="708"/>
        <w:jc w:val="both"/>
        <w:rPr>
          <w:rFonts w:cs="Arial"/>
          <w:szCs w:val="22"/>
        </w:rPr>
      </w:pPr>
    </w:p>
    <w:p w:rsidRPr="004F7713" w:rsidR="002E6E1D" w:rsidP="002E6E1D" w:rsidRDefault="002E6E1D" w14:paraId="03550C5C" w14:textId="13107C5D">
      <w:pPr>
        <w:pStyle w:val="Ttulo2"/>
        <w:rPr>
          <w:color w:val="365F91" w:themeColor="accent1" w:themeShade="BF"/>
          <w:sz w:val="28"/>
          <w:szCs w:val="28"/>
        </w:rPr>
      </w:pPr>
      <w:r>
        <w:t>2.</w:t>
      </w:r>
      <w:r w:rsidR="001647DD">
        <w:t>7</w:t>
      </w:r>
      <w:r>
        <w:t>.1. Dimensões</w:t>
      </w:r>
    </w:p>
    <w:p w:rsidRPr="00B92BF6" w:rsidR="00B92BF6" w:rsidP="00B92BF6" w:rsidRDefault="00B92BF6" w14:paraId="6BCB9CA4" w14:textId="77777777">
      <w:pPr>
        <w:spacing w:after="200" w:line="276" w:lineRule="auto"/>
        <w:jc w:val="both"/>
        <w:rPr>
          <w:rFonts w:cs="Arial"/>
          <w:b/>
          <w:bCs/>
          <w:szCs w:val="22"/>
        </w:rPr>
      </w:pPr>
      <w:r w:rsidRPr="00B92BF6">
        <w:rPr>
          <w:rFonts w:cs="Arial"/>
          <w:b/>
          <w:bCs/>
          <w:szCs w:val="22"/>
        </w:rPr>
        <w:t>1.1. Núcleo comum do iGovTI</w:t>
      </w:r>
    </w:p>
    <w:p w:rsidRPr="00B92BF6" w:rsidR="00B92BF6" w:rsidP="006C1C61" w:rsidRDefault="00667D68" w14:paraId="7D4523D4" w14:textId="105E6C29">
      <w:pPr>
        <w:spacing w:line="360" w:lineRule="auto"/>
        <w:ind w:firstLine="708"/>
        <w:jc w:val="both"/>
        <w:rPr>
          <w:rFonts w:cs="Arial"/>
          <w:szCs w:val="22"/>
        </w:rPr>
      </w:pPr>
      <w:r>
        <w:rPr>
          <w:rFonts w:cs="Arial"/>
          <w:szCs w:val="22"/>
        </w:rPr>
        <w:t>Os</w:t>
      </w:r>
      <w:r w:rsidRPr="00B92BF6" w:rsidR="00B92BF6">
        <w:rPr>
          <w:rFonts w:cs="Arial"/>
          <w:szCs w:val="22"/>
        </w:rPr>
        <w:t xml:space="preserve"> dois questionários</w:t>
      </w:r>
      <w:r>
        <w:rPr>
          <w:rFonts w:cs="Arial"/>
          <w:szCs w:val="22"/>
        </w:rPr>
        <w:t xml:space="preserve"> foram </w:t>
      </w:r>
      <w:r w:rsidR="00BC7545">
        <w:rPr>
          <w:rFonts w:cs="Arial"/>
          <w:szCs w:val="22"/>
        </w:rPr>
        <w:t>desenvolvidos tendo como referência o índice iGovTI utilizado pelo TCU em 2021</w:t>
      </w:r>
      <w:r w:rsidR="0064403B">
        <w:rPr>
          <w:rFonts w:cs="Arial"/>
          <w:szCs w:val="22"/>
        </w:rPr>
        <w:t>. Em ambos</w:t>
      </w:r>
      <w:r w:rsidRPr="00B92BF6" w:rsidR="00B92BF6">
        <w:rPr>
          <w:rFonts w:cs="Arial"/>
          <w:szCs w:val="22"/>
        </w:rPr>
        <w:t>, o núcleo do iGovTI foi estruturado a partir da lógica de governança e gestão de TI, com escala de adoção em seis níveis, exigência de evidências para respostas mais elevadas e possibilidade de subitens para explicitar o grau de adoção.</w:t>
      </w:r>
    </w:p>
    <w:p w:rsidRPr="00B92BF6" w:rsidR="00B92BF6" w:rsidP="006C1C61" w:rsidRDefault="006A2494" w14:paraId="22EFBF82" w14:textId="384A530E">
      <w:pPr>
        <w:spacing w:line="360" w:lineRule="auto"/>
        <w:ind w:firstLine="708"/>
        <w:jc w:val="both"/>
        <w:rPr>
          <w:rFonts w:cs="Arial"/>
          <w:szCs w:val="22"/>
        </w:rPr>
      </w:pPr>
      <w:r>
        <w:rPr>
          <w:rFonts w:cs="Arial"/>
          <w:szCs w:val="22"/>
        </w:rPr>
        <w:t>O</w:t>
      </w:r>
      <w:r w:rsidRPr="00B92BF6" w:rsidR="00B92BF6">
        <w:rPr>
          <w:rFonts w:cs="Arial"/>
          <w:szCs w:val="22"/>
        </w:rPr>
        <w:t xml:space="preserve"> índice foi organizado </w:t>
      </w:r>
      <w:r>
        <w:rPr>
          <w:rFonts w:cs="Arial"/>
          <w:szCs w:val="22"/>
        </w:rPr>
        <w:t xml:space="preserve">como uma combinação entre os subíndices </w:t>
      </w:r>
      <w:proofErr w:type="spellStart"/>
      <w:r>
        <w:rPr>
          <w:rFonts w:cs="Arial"/>
          <w:szCs w:val="22"/>
        </w:rPr>
        <w:t>G</w:t>
      </w:r>
      <w:r w:rsidRPr="00B92BF6" w:rsidR="00B92BF6">
        <w:rPr>
          <w:rFonts w:cs="Arial"/>
          <w:b/>
          <w:bCs/>
          <w:szCs w:val="22"/>
        </w:rPr>
        <w:t>overnançaTI</w:t>
      </w:r>
      <w:proofErr w:type="spellEnd"/>
      <w:r w:rsidRPr="00B92BF6" w:rsidR="00B92BF6">
        <w:rPr>
          <w:rFonts w:cs="Arial"/>
          <w:szCs w:val="22"/>
        </w:rPr>
        <w:t xml:space="preserve"> e </w:t>
      </w:r>
      <w:proofErr w:type="spellStart"/>
      <w:r w:rsidRPr="00B92BF6" w:rsidR="00B92BF6">
        <w:rPr>
          <w:rFonts w:cs="Arial"/>
          <w:b/>
          <w:bCs/>
          <w:szCs w:val="22"/>
        </w:rPr>
        <w:t>iGestTI</w:t>
      </w:r>
      <w:proofErr w:type="spellEnd"/>
      <w:r w:rsidRPr="00B92BF6" w:rsidR="00B92BF6">
        <w:rPr>
          <w:rFonts w:cs="Arial"/>
          <w:szCs w:val="22"/>
        </w:rPr>
        <w:t>, sendo este último composto por planejamento, gestão de pessoas e processos de TI. O</w:t>
      </w:r>
      <w:r>
        <w:rPr>
          <w:rFonts w:cs="Arial"/>
          <w:szCs w:val="22"/>
        </w:rPr>
        <w:t>s</w:t>
      </w:r>
      <w:r w:rsidRPr="00B92BF6" w:rsidR="00B92BF6">
        <w:rPr>
          <w:rFonts w:cs="Arial"/>
          <w:szCs w:val="22"/>
        </w:rPr>
        <w:t xml:space="preserve"> principais agregadores do modelo: </w:t>
      </w:r>
      <w:proofErr w:type="spellStart"/>
      <w:r w:rsidRPr="00B92BF6" w:rsidR="00B92BF6">
        <w:rPr>
          <w:rFonts w:cs="Arial"/>
          <w:b/>
          <w:bCs/>
          <w:szCs w:val="22"/>
        </w:rPr>
        <w:t>ModeloTI</w:t>
      </w:r>
      <w:proofErr w:type="spellEnd"/>
      <w:r w:rsidRPr="00B92BF6" w:rsidR="00B92BF6">
        <w:rPr>
          <w:rFonts w:cs="Arial"/>
          <w:szCs w:val="22"/>
        </w:rPr>
        <w:t xml:space="preserve">, </w:t>
      </w:r>
      <w:proofErr w:type="spellStart"/>
      <w:r w:rsidRPr="00B92BF6" w:rsidR="00B92BF6">
        <w:rPr>
          <w:rFonts w:cs="Arial"/>
          <w:b/>
          <w:bCs/>
          <w:szCs w:val="22"/>
        </w:rPr>
        <w:t>MonitorAvaliaTI</w:t>
      </w:r>
      <w:proofErr w:type="spellEnd"/>
      <w:r w:rsidRPr="00B92BF6" w:rsidR="00B92BF6">
        <w:rPr>
          <w:rFonts w:cs="Arial"/>
          <w:szCs w:val="22"/>
        </w:rPr>
        <w:t xml:space="preserve"> e </w:t>
      </w:r>
      <w:proofErr w:type="spellStart"/>
      <w:r w:rsidRPr="00B92BF6" w:rsidR="00B92BF6">
        <w:rPr>
          <w:rFonts w:cs="Arial"/>
          <w:b/>
          <w:bCs/>
          <w:szCs w:val="22"/>
        </w:rPr>
        <w:t>ResultadoTI</w:t>
      </w:r>
      <w:proofErr w:type="spellEnd"/>
      <w:r w:rsidRPr="00B92BF6" w:rsidR="00B92BF6">
        <w:rPr>
          <w:rFonts w:cs="Arial"/>
          <w:szCs w:val="22"/>
        </w:rPr>
        <w:t xml:space="preserve">, na dimensão de governança; e </w:t>
      </w:r>
      <w:proofErr w:type="spellStart"/>
      <w:r w:rsidRPr="00B92BF6" w:rsidR="00B92BF6">
        <w:rPr>
          <w:rFonts w:cs="Arial"/>
          <w:b/>
          <w:bCs/>
          <w:szCs w:val="22"/>
        </w:rPr>
        <w:t>PlanejamentoTI</w:t>
      </w:r>
      <w:proofErr w:type="spellEnd"/>
      <w:r w:rsidRPr="00B92BF6" w:rsidR="00B92BF6">
        <w:rPr>
          <w:rFonts w:cs="Arial"/>
          <w:szCs w:val="22"/>
        </w:rPr>
        <w:t xml:space="preserve">, </w:t>
      </w:r>
      <w:proofErr w:type="spellStart"/>
      <w:r w:rsidRPr="00B92BF6" w:rsidR="00B92BF6">
        <w:rPr>
          <w:rFonts w:cs="Arial"/>
          <w:b/>
          <w:bCs/>
          <w:szCs w:val="22"/>
        </w:rPr>
        <w:t>PessoasTI</w:t>
      </w:r>
      <w:proofErr w:type="spellEnd"/>
      <w:r w:rsidRPr="00B92BF6" w:rsidR="00B92BF6">
        <w:rPr>
          <w:rFonts w:cs="Arial"/>
          <w:szCs w:val="22"/>
        </w:rPr>
        <w:t xml:space="preserve"> e </w:t>
      </w:r>
      <w:proofErr w:type="spellStart"/>
      <w:r w:rsidRPr="00B92BF6" w:rsidR="00B92BF6">
        <w:rPr>
          <w:rFonts w:cs="Arial"/>
          <w:b/>
          <w:bCs/>
          <w:szCs w:val="22"/>
        </w:rPr>
        <w:t>ProcessosTI</w:t>
      </w:r>
      <w:proofErr w:type="spellEnd"/>
      <w:r w:rsidRPr="00B92BF6" w:rsidR="00B92BF6">
        <w:rPr>
          <w:rFonts w:cs="Arial"/>
          <w:szCs w:val="22"/>
        </w:rPr>
        <w:t xml:space="preserve"> na dimensão de gestão. </w:t>
      </w:r>
    </w:p>
    <w:p w:rsidR="00B92BF6" w:rsidP="006C1C61" w:rsidRDefault="00B92BF6" w14:paraId="66CD63FF" w14:textId="77777777">
      <w:pPr>
        <w:spacing w:line="360" w:lineRule="auto"/>
        <w:ind w:firstLine="708"/>
        <w:jc w:val="both"/>
        <w:rPr>
          <w:rFonts w:cs="Arial"/>
          <w:szCs w:val="22"/>
        </w:rPr>
      </w:pPr>
      <w:r w:rsidRPr="00B92BF6">
        <w:rPr>
          <w:rFonts w:cs="Arial"/>
          <w:szCs w:val="22"/>
        </w:rPr>
        <w:t xml:space="preserve">Além disso, a matriz de práticas apresentada no relatório municipal mostra que o núcleo avaliado abrangeu, em governança: promover a gestão estratégica, monitorar desempenho, monitorar satisfação de usuários e assegurar efetividade da auditoria interna; e, em gestão: planejamento de TI, gestão de serviços, níveis de serviço, riscos e continuidade, segurança da informação, processo de software e projetos. </w:t>
      </w:r>
    </w:p>
    <w:p w:rsidR="006E236B" w:rsidP="006E236B" w:rsidRDefault="006E236B" w14:paraId="5890708C" w14:textId="77777777">
      <w:pPr>
        <w:spacing w:line="360" w:lineRule="auto"/>
        <w:jc w:val="both"/>
        <w:rPr>
          <w:rFonts w:cs="Arial"/>
          <w:szCs w:val="22"/>
        </w:rPr>
      </w:pPr>
    </w:p>
    <w:p w:rsidRPr="00B92BF6" w:rsidR="00DF54CD" w:rsidP="006E236B" w:rsidRDefault="00DF54CD" w14:paraId="292797E5" w14:textId="77777777">
      <w:pPr>
        <w:spacing w:line="360" w:lineRule="auto"/>
        <w:jc w:val="both"/>
        <w:rPr>
          <w:rFonts w:cs="Arial"/>
          <w:szCs w:val="22"/>
        </w:rPr>
      </w:pPr>
    </w:p>
    <w:p w:rsidRPr="00B92BF6" w:rsidR="00B92BF6" w:rsidP="00B92BF6" w:rsidRDefault="00B92BF6" w14:paraId="4C05EFB6" w14:textId="63103CB1">
      <w:pPr>
        <w:spacing w:after="200" w:line="276" w:lineRule="auto"/>
        <w:jc w:val="both"/>
        <w:rPr>
          <w:rFonts w:cs="Arial"/>
          <w:b/>
          <w:bCs/>
          <w:szCs w:val="22"/>
        </w:rPr>
      </w:pPr>
      <w:r w:rsidRPr="00B92BF6">
        <w:rPr>
          <w:rFonts w:cs="Arial"/>
          <w:b/>
          <w:bCs/>
          <w:szCs w:val="22"/>
        </w:rPr>
        <w:t>1.2. Aplicação nos municípios</w:t>
      </w:r>
    </w:p>
    <w:p w:rsidRPr="00B92BF6" w:rsidR="00B92BF6" w:rsidP="006C1C61" w:rsidRDefault="00B92BF6" w14:paraId="1AC9E8C5" w14:textId="6EFB0760">
      <w:pPr>
        <w:spacing w:line="360" w:lineRule="auto"/>
        <w:ind w:firstLine="708"/>
        <w:jc w:val="both"/>
        <w:rPr>
          <w:rFonts w:cs="Arial"/>
          <w:szCs w:val="22"/>
        </w:rPr>
      </w:pPr>
      <w:r w:rsidRPr="00B92BF6">
        <w:rPr>
          <w:rFonts w:cs="Arial"/>
          <w:szCs w:val="22"/>
        </w:rPr>
        <w:t xml:space="preserve">Na aplicação municipal, o questionário recebeu itens adicionais para atender às especificidades da fiscalização, especialmente em conformidade externa, governo digital e aspectos complementares de gestão de pessoas. </w:t>
      </w:r>
    </w:p>
    <w:p w:rsidRPr="00B92BF6" w:rsidR="00B92BF6" w:rsidP="006C1C61" w:rsidRDefault="00B92BF6" w14:paraId="6F25EF1B" w14:textId="77777777">
      <w:pPr>
        <w:spacing w:line="360" w:lineRule="auto"/>
        <w:ind w:firstLine="708"/>
        <w:jc w:val="both"/>
        <w:rPr>
          <w:rFonts w:cs="Arial"/>
          <w:szCs w:val="22"/>
        </w:rPr>
      </w:pPr>
      <w:r w:rsidRPr="00B92BF6">
        <w:rPr>
          <w:rFonts w:cs="Arial"/>
          <w:szCs w:val="22"/>
        </w:rPr>
        <w:t xml:space="preserve">O instrumento municipal manteve o núcleo de governança e gestão de TI, mas incorporou um bloco próprio de Conformidade Externa, com perguntas sobre recepção da Lei de Governo Digital, iniciativas de governo digital, Carta de Serviços ao Usuário, processo administrativo eletrônico, adequação ao </w:t>
      </w:r>
      <w:proofErr w:type="spellStart"/>
      <w:r w:rsidRPr="00B92BF6">
        <w:rPr>
          <w:rFonts w:cs="Arial"/>
          <w:szCs w:val="22"/>
        </w:rPr>
        <w:t>Siafic</w:t>
      </w:r>
      <w:proofErr w:type="spellEnd"/>
      <w:r w:rsidRPr="00B92BF6">
        <w:rPr>
          <w:rFonts w:cs="Arial"/>
          <w:szCs w:val="22"/>
        </w:rPr>
        <w:t xml:space="preserve"> e integração ao PNCP. </w:t>
      </w:r>
    </w:p>
    <w:p w:rsidR="00B92BF6" w:rsidP="006C1C61" w:rsidRDefault="00B92BF6" w14:paraId="0BA1D18A" w14:textId="77777777">
      <w:pPr>
        <w:spacing w:line="360" w:lineRule="auto"/>
        <w:ind w:firstLine="708"/>
        <w:jc w:val="both"/>
        <w:rPr>
          <w:rFonts w:cs="Arial"/>
          <w:szCs w:val="22"/>
        </w:rPr>
      </w:pPr>
      <w:r w:rsidRPr="00B92BF6">
        <w:rPr>
          <w:rFonts w:cs="Arial"/>
          <w:szCs w:val="22"/>
        </w:rPr>
        <w:t xml:space="preserve">Essa ampliação dialogou diretamente com o objetivo da auditoria, que era verificar a governança e gestão de TI como norteadoras das contratações, mas também responder a requisitos externos com forte impacto operacional e de transformação digital. </w:t>
      </w:r>
    </w:p>
    <w:p w:rsidRPr="00B92BF6" w:rsidR="006E236B" w:rsidP="006E236B" w:rsidRDefault="006E236B" w14:paraId="3A1840A5" w14:textId="77777777">
      <w:pPr>
        <w:spacing w:line="360" w:lineRule="auto"/>
        <w:jc w:val="both"/>
        <w:rPr>
          <w:rFonts w:cs="Arial"/>
          <w:szCs w:val="22"/>
        </w:rPr>
      </w:pPr>
    </w:p>
    <w:p w:rsidRPr="00B92BF6" w:rsidR="00B92BF6" w:rsidP="00B92BF6" w:rsidRDefault="00B92BF6" w14:paraId="7135BD2A" w14:textId="77777777">
      <w:pPr>
        <w:spacing w:after="200" w:line="276" w:lineRule="auto"/>
        <w:jc w:val="both"/>
        <w:rPr>
          <w:rFonts w:cs="Arial"/>
          <w:b/>
          <w:bCs/>
          <w:szCs w:val="22"/>
        </w:rPr>
      </w:pPr>
      <w:r w:rsidRPr="00B92BF6">
        <w:rPr>
          <w:rFonts w:cs="Arial"/>
          <w:b/>
          <w:bCs/>
          <w:szCs w:val="22"/>
        </w:rPr>
        <w:t>1.3. Aplicação no SETIC</w:t>
      </w:r>
    </w:p>
    <w:p w:rsidRPr="00B92BF6" w:rsidR="00B92BF6" w:rsidP="006C1C61" w:rsidRDefault="00B92BF6" w14:paraId="35A6D8F6" w14:textId="77777777">
      <w:pPr>
        <w:spacing w:line="360" w:lineRule="auto"/>
        <w:ind w:firstLine="708"/>
        <w:jc w:val="both"/>
        <w:rPr>
          <w:rFonts w:cs="Arial"/>
          <w:szCs w:val="22"/>
        </w:rPr>
      </w:pPr>
      <w:r w:rsidRPr="00B92BF6">
        <w:rPr>
          <w:rFonts w:cs="Arial"/>
          <w:szCs w:val="22"/>
        </w:rPr>
        <w:t>Na aplicação do SETIC, o questionário teve dupla finalidade. Além do núcleo de governança e gestão de TI, incluiu uma seção inicial específica sobre o próprio sistema, com perguntas sobre:</w:t>
      </w:r>
    </w:p>
    <w:p w:rsidRPr="00B92BF6" w:rsidR="00B92BF6" w:rsidP="00B92BF6" w:rsidRDefault="00B92BF6" w14:paraId="5CDE3400" w14:textId="77777777">
      <w:pPr>
        <w:numPr>
          <w:ilvl w:val="0"/>
          <w:numId w:val="48"/>
        </w:numPr>
        <w:spacing w:after="200" w:line="276" w:lineRule="auto"/>
        <w:jc w:val="both"/>
        <w:rPr>
          <w:rFonts w:cs="Arial"/>
          <w:szCs w:val="22"/>
        </w:rPr>
      </w:pPr>
      <w:r w:rsidRPr="00B92BF6">
        <w:rPr>
          <w:rFonts w:cs="Arial"/>
          <w:szCs w:val="22"/>
        </w:rPr>
        <w:t>existência e formalização do setor de TI;</w:t>
      </w:r>
    </w:p>
    <w:p w:rsidRPr="00B92BF6" w:rsidR="00B92BF6" w:rsidP="00B92BF6" w:rsidRDefault="00B92BF6" w14:paraId="537DCDA6" w14:textId="77777777">
      <w:pPr>
        <w:numPr>
          <w:ilvl w:val="0"/>
          <w:numId w:val="48"/>
        </w:numPr>
        <w:spacing w:after="200" w:line="276" w:lineRule="auto"/>
        <w:jc w:val="both"/>
        <w:rPr>
          <w:rFonts w:cs="Arial"/>
          <w:szCs w:val="22"/>
        </w:rPr>
      </w:pPr>
      <w:r w:rsidRPr="00B92BF6">
        <w:rPr>
          <w:rFonts w:cs="Arial"/>
          <w:szCs w:val="22"/>
        </w:rPr>
        <w:t>conhecimento e atendimento aos normativos expedidos pelo PRODERJ;</w:t>
      </w:r>
    </w:p>
    <w:p w:rsidRPr="00B92BF6" w:rsidR="00B92BF6" w:rsidP="00B92BF6" w:rsidRDefault="00B92BF6" w14:paraId="1C47377E" w14:textId="77777777">
      <w:pPr>
        <w:numPr>
          <w:ilvl w:val="0"/>
          <w:numId w:val="48"/>
        </w:numPr>
        <w:spacing w:after="200" w:line="276" w:lineRule="auto"/>
        <w:jc w:val="both"/>
        <w:rPr>
          <w:rFonts w:cs="Arial"/>
          <w:szCs w:val="22"/>
        </w:rPr>
      </w:pPr>
      <w:r w:rsidRPr="00B92BF6">
        <w:rPr>
          <w:rFonts w:cs="Arial"/>
          <w:szCs w:val="22"/>
        </w:rPr>
        <w:t xml:space="preserve">percepção do gestor de TI sobre comunicação, orientação, utilidade das boas práticas induzidas, clareza/exequibilidade dos normativos e atuação do PRODERJ como integrador de soluções. </w:t>
      </w:r>
    </w:p>
    <w:p w:rsidRPr="00B92BF6" w:rsidR="00B92BF6" w:rsidP="006C1C61" w:rsidRDefault="00B92BF6" w14:paraId="264F4F29" w14:textId="77777777">
      <w:pPr>
        <w:spacing w:line="360" w:lineRule="auto"/>
        <w:ind w:firstLine="708"/>
        <w:jc w:val="both"/>
        <w:rPr>
          <w:rFonts w:cs="Arial"/>
          <w:szCs w:val="22"/>
        </w:rPr>
      </w:pPr>
      <w:r w:rsidRPr="00B92BF6">
        <w:rPr>
          <w:rFonts w:cs="Arial"/>
          <w:szCs w:val="22"/>
        </w:rPr>
        <w:t xml:space="preserve">O relatório do SETIC deixa isso explícito ao afirmar que, para avaliar a percepção dos gestores, utilizou as seções 1010 Informações do Setor de TI, 1020 Normativos do SETIC e 1030 Avaliação do SETIC pelos órgãos setoriais; somente depois examina o iGovTI propriamente dito. </w:t>
      </w:r>
    </w:p>
    <w:p w:rsidRPr="00B92BF6" w:rsidR="00B92BF6" w:rsidP="006C1C61" w:rsidRDefault="00B92BF6" w14:paraId="526FEC98" w14:textId="311C2F7A">
      <w:pPr>
        <w:spacing w:line="360" w:lineRule="auto"/>
        <w:ind w:firstLine="708"/>
        <w:jc w:val="both"/>
        <w:rPr>
          <w:rFonts w:cs="Arial"/>
          <w:szCs w:val="22"/>
        </w:rPr>
      </w:pPr>
      <w:r w:rsidRPr="00B92BF6">
        <w:rPr>
          <w:rFonts w:cs="Arial"/>
          <w:szCs w:val="22"/>
        </w:rPr>
        <w:t>Essa é uma diferença importante em relação ao questionário municipal: no SETIC, o instrumento não mediu apenas maturidade organizacional de TI, mas também funcionamento d</w:t>
      </w:r>
      <w:r w:rsidR="00954688">
        <w:rPr>
          <w:rFonts w:cs="Arial"/>
          <w:szCs w:val="22"/>
        </w:rPr>
        <w:t xml:space="preserve">a estrutura </w:t>
      </w:r>
      <w:r w:rsidRPr="00B92BF6">
        <w:rPr>
          <w:rFonts w:cs="Arial"/>
          <w:szCs w:val="22"/>
        </w:rPr>
        <w:t>de governança estadual.</w:t>
      </w:r>
    </w:p>
    <w:p w:rsidRPr="00FE1726" w:rsidR="00FE1726" w:rsidP="00FE1726" w:rsidRDefault="002E6E1D" w14:paraId="79E6F8DF" w14:textId="08A10225">
      <w:pPr>
        <w:pStyle w:val="Ttulo2"/>
        <w:rPr>
          <w:rFonts w:eastAsia="Times New Roman"/>
        </w:rPr>
      </w:pPr>
      <w:r w:rsidRPr="00052321">
        <w:br w:type="page"/>
      </w:r>
      <w:r w:rsidRPr="00FE1726" w:rsidR="00FE1726">
        <w:rPr>
          <w:rFonts w:eastAsia="Times New Roman"/>
        </w:rPr>
        <w:t>2</w:t>
      </w:r>
      <w:r w:rsidR="00FE1726">
        <w:rPr>
          <w:rFonts w:eastAsia="Times New Roman"/>
        </w:rPr>
        <w:t>.7.2.</w:t>
      </w:r>
      <w:r w:rsidRPr="00FE1726" w:rsidR="00FE1726">
        <w:rPr>
          <w:rFonts w:eastAsia="Times New Roman"/>
        </w:rPr>
        <w:t xml:space="preserve"> Problemas e achados apontados nos relatórios</w:t>
      </w:r>
    </w:p>
    <w:p w:rsidRPr="00FE1726" w:rsidR="00FE1726" w:rsidP="00FE1726" w:rsidRDefault="00FE1726" w14:paraId="2CE67F2B" w14:textId="3AA001A6">
      <w:pPr>
        <w:spacing w:after="200" w:line="276" w:lineRule="auto"/>
        <w:jc w:val="both"/>
        <w:rPr>
          <w:b/>
          <w:bCs/>
        </w:rPr>
      </w:pPr>
      <w:r w:rsidRPr="00FE1726">
        <w:rPr>
          <w:b/>
          <w:bCs/>
        </w:rPr>
        <w:t>Municípios</w:t>
      </w:r>
    </w:p>
    <w:p w:rsidRPr="00FE1726" w:rsidR="00FE1726" w:rsidP="00FE1726" w:rsidRDefault="00FE1726" w14:paraId="21A96DB7" w14:textId="77777777">
      <w:pPr>
        <w:spacing w:line="360" w:lineRule="auto"/>
        <w:ind w:firstLine="708"/>
        <w:jc w:val="both"/>
        <w:rPr>
          <w:rFonts w:cs="Arial"/>
          <w:szCs w:val="22"/>
        </w:rPr>
      </w:pPr>
      <w:r w:rsidRPr="00FE1726">
        <w:rPr>
          <w:rFonts w:cs="Arial"/>
          <w:szCs w:val="22"/>
        </w:rPr>
        <w:t xml:space="preserve">O relatório municipal conclui que o cenário encontrado foi de governança e gestão de TI não estruturadas e não gerenciadas, com atividades realizadas sem processos definidos e formalizados. </w:t>
      </w:r>
    </w:p>
    <w:p w:rsidRPr="00FE1726" w:rsidR="00FE1726" w:rsidP="00FE1726" w:rsidRDefault="00FE1726" w14:paraId="43B3429E" w14:textId="14C7DF41">
      <w:pPr>
        <w:spacing w:line="360" w:lineRule="auto"/>
        <w:ind w:firstLine="708"/>
        <w:jc w:val="both"/>
        <w:rPr>
          <w:rFonts w:cs="Arial"/>
          <w:szCs w:val="22"/>
        </w:rPr>
      </w:pPr>
      <w:r w:rsidRPr="00FE1726">
        <w:rPr>
          <w:rFonts w:cs="Arial"/>
          <w:szCs w:val="22"/>
        </w:rPr>
        <w:t xml:space="preserve">Os resultados ajustados do iGovTI 2023 foram baixos: Maricá 0,2164; Rio das Ostras 0,0745; Saquarema 0,0722; e Volta Redonda 0,0489. O próprio relatório destaca que apenas Maricá alcançou nível “inicial”, enquanto os demais permaneceram em patamares muito baixos. </w:t>
      </w:r>
    </w:p>
    <w:p w:rsidRPr="00FE1726" w:rsidR="00FE1726" w:rsidP="00FE1726" w:rsidRDefault="00FE1726" w14:paraId="1E936D38" w14:textId="77777777">
      <w:pPr>
        <w:spacing w:line="360" w:lineRule="auto"/>
        <w:ind w:firstLine="708"/>
        <w:jc w:val="both"/>
        <w:rPr>
          <w:rFonts w:cs="Arial"/>
          <w:szCs w:val="22"/>
        </w:rPr>
      </w:pPr>
      <w:r w:rsidRPr="00FE1726">
        <w:rPr>
          <w:rFonts w:cs="Arial"/>
          <w:szCs w:val="22"/>
        </w:rPr>
        <w:t xml:space="preserve">Os 20 achados da auditoria municipal se distribuíram por governança, serviços, segurança da informação, gestão de pessoas, conformidade externa, governo digital e contratações. Entre eles, destacam-se: ausência de comitê de TI, ausência de gestão de riscos, inexistência ou insuficiência de PDTI, fragilidades em catálogo de serviços, configuração e ativos, incidentes, níveis de serviço, continuidade, segurança da informação, carência de quadro efetivo e de perfis profissionais de TI, ausência de plano de cargos e salários, falhas relativas ao PNCP e ao </w:t>
      </w:r>
      <w:proofErr w:type="spellStart"/>
      <w:r w:rsidRPr="00FE1726">
        <w:rPr>
          <w:rFonts w:cs="Arial"/>
          <w:szCs w:val="22"/>
        </w:rPr>
        <w:t>Siafic</w:t>
      </w:r>
      <w:proofErr w:type="spellEnd"/>
      <w:r w:rsidRPr="00FE1726">
        <w:rPr>
          <w:rFonts w:cs="Arial"/>
          <w:szCs w:val="22"/>
        </w:rPr>
        <w:t xml:space="preserve">, iniciativas incipientes de governo digital e processo eletrônico, além de problemas no planejamento e no processo de contratação de TI. </w:t>
      </w:r>
    </w:p>
    <w:p w:rsidRPr="00FE1726" w:rsidR="00FE1726" w:rsidP="00FE1726" w:rsidRDefault="00FE1726" w14:paraId="1EF0BD3A" w14:textId="77777777">
      <w:pPr>
        <w:spacing w:line="360" w:lineRule="auto"/>
        <w:ind w:firstLine="708"/>
        <w:jc w:val="both"/>
        <w:rPr>
          <w:rFonts w:cs="Arial"/>
          <w:szCs w:val="22"/>
        </w:rPr>
      </w:pPr>
      <w:r w:rsidRPr="00FE1726">
        <w:rPr>
          <w:rFonts w:cs="Arial"/>
          <w:szCs w:val="22"/>
        </w:rPr>
        <w:t xml:space="preserve">O relatório também mostra que as práticas menos adotadas foram justamente as de </w:t>
      </w:r>
      <w:proofErr w:type="spellStart"/>
      <w:r w:rsidRPr="00FE1726">
        <w:rPr>
          <w:rFonts w:cs="Arial"/>
          <w:szCs w:val="22"/>
        </w:rPr>
        <w:t>ModeloTI</w:t>
      </w:r>
      <w:proofErr w:type="spellEnd"/>
      <w:r w:rsidRPr="00FE1726">
        <w:rPr>
          <w:rFonts w:cs="Arial"/>
          <w:szCs w:val="22"/>
        </w:rPr>
        <w:t xml:space="preserve">, </w:t>
      </w:r>
      <w:proofErr w:type="spellStart"/>
      <w:r w:rsidRPr="00FE1726">
        <w:rPr>
          <w:rFonts w:cs="Arial"/>
          <w:szCs w:val="22"/>
        </w:rPr>
        <w:t>MonitorAvaliaTI</w:t>
      </w:r>
      <w:proofErr w:type="spellEnd"/>
      <w:r w:rsidRPr="00FE1726">
        <w:rPr>
          <w:rFonts w:cs="Arial"/>
          <w:szCs w:val="22"/>
        </w:rPr>
        <w:t xml:space="preserve">, </w:t>
      </w:r>
      <w:proofErr w:type="spellStart"/>
      <w:r w:rsidRPr="00FE1726">
        <w:rPr>
          <w:rFonts w:cs="Arial"/>
          <w:szCs w:val="22"/>
        </w:rPr>
        <w:t>PlanejamentoTI</w:t>
      </w:r>
      <w:proofErr w:type="spellEnd"/>
      <w:r w:rsidRPr="00FE1726">
        <w:rPr>
          <w:rFonts w:cs="Arial"/>
          <w:szCs w:val="22"/>
        </w:rPr>
        <w:t xml:space="preserve"> e </w:t>
      </w:r>
      <w:proofErr w:type="spellStart"/>
      <w:r w:rsidRPr="00FE1726">
        <w:rPr>
          <w:rFonts w:cs="Arial"/>
          <w:szCs w:val="22"/>
        </w:rPr>
        <w:t>iGestRiscosTI</w:t>
      </w:r>
      <w:proofErr w:type="spellEnd"/>
      <w:r w:rsidRPr="00FE1726">
        <w:rPr>
          <w:rFonts w:cs="Arial"/>
          <w:szCs w:val="22"/>
        </w:rPr>
        <w:t xml:space="preserve">, isto é, os elementos mais estruturantes da governança e do planejamento. </w:t>
      </w:r>
    </w:p>
    <w:p w:rsidRPr="00FE1726" w:rsidR="00FE1726" w:rsidP="00FE1726" w:rsidRDefault="00FE1726" w14:paraId="298017B2" w14:textId="134E2F37">
      <w:pPr>
        <w:spacing w:line="360" w:lineRule="auto"/>
        <w:ind w:firstLine="708"/>
        <w:jc w:val="both"/>
        <w:rPr>
          <w:rFonts w:cs="Arial"/>
          <w:szCs w:val="22"/>
        </w:rPr>
      </w:pPr>
      <w:r w:rsidRPr="00FE1726">
        <w:rPr>
          <w:rFonts w:cs="Arial"/>
          <w:szCs w:val="22"/>
        </w:rPr>
        <w:t xml:space="preserve">Esse ponto é relevante porque indica que </w:t>
      </w:r>
      <w:r w:rsidRPr="00FE1726">
        <w:rPr>
          <w:rFonts w:cs="Arial"/>
          <w:szCs w:val="22"/>
          <w:u w:val="single"/>
        </w:rPr>
        <w:t>as maiores fragilidades não estavam apenas na operação cotidiana, mas na falta de direção, de priorização, de monitoramento e de base organizacional para que os processos funcionassem de maneira sustentável</w:t>
      </w:r>
      <w:r w:rsidRPr="00FE1726">
        <w:rPr>
          <w:rFonts w:cs="Arial"/>
          <w:szCs w:val="22"/>
        </w:rPr>
        <w:t>.</w:t>
      </w:r>
    </w:p>
    <w:p w:rsidRPr="00FE1726" w:rsidR="00FE1726" w:rsidP="00FE1726" w:rsidRDefault="00FE1726" w14:paraId="3219CE19" w14:textId="276C0B9B">
      <w:pPr>
        <w:spacing w:after="200" w:line="276" w:lineRule="auto"/>
        <w:jc w:val="both"/>
        <w:rPr>
          <w:b/>
          <w:bCs/>
        </w:rPr>
      </w:pPr>
      <w:r w:rsidRPr="00FE1726">
        <w:rPr>
          <w:b/>
          <w:bCs/>
        </w:rPr>
        <w:t>SETIC</w:t>
      </w:r>
    </w:p>
    <w:p w:rsidRPr="00FE1726" w:rsidR="00FE1726" w:rsidP="00FE1726" w:rsidRDefault="00FE1726" w14:paraId="23046508" w14:textId="77777777">
      <w:pPr>
        <w:spacing w:line="360" w:lineRule="auto"/>
        <w:ind w:firstLine="708"/>
        <w:jc w:val="both"/>
        <w:rPr>
          <w:rFonts w:cs="Arial"/>
          <w:szCs w:val="22"/>
        </w:rPr>
      </w:pPr>
      <w:r w:rsidRPr="00FE1726">
        <w:rPr>
          <w:rFonts w:cs="Arial"/>
          <w:szCs w:val="22"/>
        </w:rPr>
        <w:t xml:space="preserve">No caso do SETIC, o relatório conclui, em linhas gerais, pela baixa adesão dos órgãos setoriais aos normativos expedidos pelo PRODERJ e por um nível incipiente de adoção das boas práticas de governança e gestão de TI. </w:t>
      </w:r>
    </w:p>
    <w:p w:rsidRPr="00FE1726" w:rsidR="00FE1726" w:rsidP="00FE1726" w:rsidRDefault="00FE1726" w14:paraId="1BF9469B" w14:textId="3266A441">
      <w:pPr>
        <w:spacing w:line="360" w:lineRule="auto"/>
        <w:ind w:firstLine="708"/>
        <w:jc w:val="both"/>
        <w:rPr>
          <w:rFonts w:cs="Arial"/>
          <w:szCs w:val="22"/>
        </w:rPr>
      </w:pPr>
      <w:r w:rsidRPr="00FE1726">
        <w:rPr>
          <w:rFonts w:cs="Arial"/>
          <w:szCs w:val="22"/>
        </w:rPr>
        <w:t xml:space="preserve">Ao mesmo tempo, registra que a percepção dos gestores sobre a atuação do PRODERJ, em geral, foi positiva, embora com críticas relevantes quanto ao papel de integrador de soluções de TIC e quanto a atrasos e falhas na atuação operacional do sistema. </w:t>
      </w:r>
    </w:p>
    <w:p w:rsidRPr="00FE1726" w:rsidR="00FE1726" w:rsidP="00FE1726" w:rsidRDefault="00FE1726" w14:paraId="0827A489" w14:textId="358B0C61">
      <w:pPr>
        <w:spacing w:line="360" w:lineRule="auto"/>
        <w:ind w:firstLine="708"/>
        <w:jc w:val="both"/>
        <w:rPr>
          <w:rFonts w:cs="Arial"/>
          <w:szCs w:val="22"/>
        </w:rPr>
      </w:pPr>
      <w:r w:rsidRPr="00FE1726">
        <w:rPr>
          <w:rFonts w:cs="Arial"/>
          <w:szCs w:val="22"/>
        </w:rPr>
        <w:t xml:space="preserve">O relatório identificou que 65 das 73 organizações respondentes afirmaram possuir setor de TI próprio, e 64 dessas 65 declararam conhecer os normativos expedidos pelo Diretor Geral do SETIC. </w:t>
      </w:r>
    </w:p>
    <w:p w:rsidRPr="00FE1726" w:rsidR="00FE1726" w:rsidP="00FE1726" w:rsidRDefault="00FE1726" w14:paraId="6E96D91B" w14:textId="77777777">
      <w:pPr>
        <w:spacing w:line="360" w:lineRule="auto"/>
        <w:ind w:firstLine="708"/>
        <w:jc w:val="both"/>
        <w:rPr>
          <w:rFonts w:cs="Arial"/>
          <w:szCs w:val="22"/>
        </w:rPr>
      </w:pPr>
      <w:r w:rsidRPr="00FE1726">
        <w:rPr>
          <w:rFonts w:cs="Arial"/>
          <w:szCs w:val="22"/>
        </w:rPr>
        <w:t>Ainda assim, conhecimento não se converteu automaticamente em aderência suficiente.</w:t>
      </w:r>
    </w:p>
    <w:p w:rsidRPr="00FE1726" w:rsidR="00FE1726" w:rsidP="00FE1726" w:rsidRDefault="00FE1726" w14:paraId="2C13C870" w14:textId="77777777">
      <w:pPr>
        <w:spacing w:line="360" w:lineRule="auto"/>
        <w:ind w:firstLine="708"/>
        <w:jc w:val="both"/>
        <w:rPr>
          <w:rFonts w:cs="Arial"/>
          <w:szCs w:val="22"/>
        </w:rPr>
      </w:pPr>
      <w:r w:rsidRPr="00FE1726">
        <w:rPr>
          <w:rFonts w:cs="Arial"/>
          <w:szCs w:val="22"/>
        </w:rPr>
        <w:t xml:space="preserve">Os 10 achados do SETIC foram: estrutura organizacional inadequada do setor de TI; ausência de elaboração ou revisão do PEDTIC; ausência de Comitê Permanente do PEDTIC; práticas incipientes de gestão de serviços; práticas incipientes de segurança da informação; gestão de recursos humanos inadequada; contratações não aderentes à IN PRODERJ/PRE nº 01/2021; portais sem análise de vulnerabilidades pelo Diretor Geral; portais sem proteção adequada de dados na comunicação com o usuário; e atraso na análise de solicitações de contratação de TIC. </w:t>
      </w:r>
    </w:p>
    <w:p w:rsidRPr="00FE1726" w:rsidR="00FE1726" w:rsidP="00FE1726" w:rsidRDefault="00FE1726" w14:paraId="4497A2F6" w14:textId="0D6960A5">
      <w:pPr>
        <w:spacing w:line="360" w:lineRule="auto"/>
        <w:ind w:firstLine="708"/>
        <w:jc w:val="both"/>
        <w:rPr>
          <w:rFonts w:cs="Arial"/>
          <w:szCs w:val="22"/>
        </w:rPr>
      </w:pPr>
      <w:r w:rsidRPr="00FE1726">
        <w:rPr>
          <w:rFonts w:cs="Arial"/>
          <w:szCs w:val="22"/>
        </w:rPr>
        <w:t xml:space="preserve">Ao mesmo tempo, o cotejo com 2020 mostrou melhora em parte relevante das organizações comparáveis: entre </w:t>
      </w:r>
      <w:r w:rsidRPr="00FE1726">
        <w:rPr>
          <w:rFonts w:cs="Arial"/>
          <w:szCs w:val="22"/>
        </w:rPr>
        <w:t>os dez presentes</w:t>
      </w:r>
      <w:r w:rsidRPr="00FE1726">
        <w:rPr>
          <w:rFonts w:cs="Arial"/>
          <w:szCs w:val="22"/>
        </w:rPr>
        <w:t xml:space="preserve"> nos dois ciclos, sete melhoraram sua nota e seis evoluíram de estágio, com avanços puxados sobretudo por práticas de gestão e, em especial, de planejamento de TI. </w:t>
      </w:r>
    </w:p>
    <w:p w:rsidRPr="00FE1726" w:rsidR="00FE1726" w:rsidP="00FE1726" w:rsidRDefault="00FE1726" w14:paraId="3BA696D7" w14:textId="155A46B4">
      <w:pPr>
        <w:spacing w:line="360" w:lineRule="auto"/>
        <w:ind w:firstLine="708"/>
        <w:jc w:val="both"/>
        <w:rPr>
          <w:rFonts w:cs="Arial"/>
          <w:szCs w:val="22"/>
        </w:rPr>
      </w:pPr>
      <w:r w:rsidRPr="00FE1726">
        <w:rPr>
          <w:rFonts w:cs="Arial"/>
          <w:szCs w:val="22"/>
        </w:rPr>
        <w:t>Isso sugere que o instrumento e a própria atuação fiscalizatória têm algum efeito indutor, embora ainda insuficiente para superar fragilidades estruturais do sistema.</w:t>
      </w:r>
    </w:p>
    <w:p w:rsidRPr="008D61F2" w:rsidR="008D61F2" w:rsidP="008D61F2" w:rsidRDefault="004A5DA6" w14:paraId="450882D8" w14:textId="1DC4F114">
      <w:pPr>
        <w:pStyle w:val="Ttulo2"/>
      </w:pPr>
      <w:r>
        <w:t>2.7.3.</w:t>
      </w:r>
      <w:r w:rsidRPr="008D61F2" w:rsidR="008D61F2">
        <w:t xml:space="preserve"> Avaliação crítica do iGovTI 2023 do TCE-RJ</w:t>
      </w:r>
    </w:p>
    <w:p w:rsidRPr="00E618C4" w:rsidR="00D92900" w:rsidP="00D92900" w:rsidRDefault="00D92900" w14:paraId="6E13C0C8" w14:textId="77777777">
      <w:pPr>
        <w:spacing w:line="360" w:lineRule="auto"/>
        <w:ind w:firstLine="708"/>
        <w:jc w:val="both"/>
        <w:rPr>
          <w:rFonts w:cs="Arial"/>
          <w:szCs w:val="22"/>
        </w:rPr>
      </w:pPr>
      <w:r w:rsidRPr="00D92900">
        <w:rPr>
          <w:rFonts w:cs="Arial"/>
          <w:szCs w:val="22"/>
        </w:rPr>
        <w:t>A experiência de 2023 mostra que o iGovTI do TCE-RJ teve méritos metodológicos importantes e já nasce com uma qualidade relevante: a base de cálculo do índice foi a mesma nas duas fiscalizações — municípios e SETIC — e esteve centrada nas práticas de governança e gestão de TI. Isso significa que, do ponto de vista do índice, houve comparabilidade metodológica entre as duas aplicações, pois o núcleo de práticas avaliadas e a lógica de mensuração permaneceram equivalentes.</w:t>
      </w:r>
    </w:p>
    <w:p w:rsidRPr="00E618C4" w:rsidR="00E618C4" w:rsidP="00E618C4" w:rsidRDefault="00E618C4" w14:paraId="17D871C2" w14:textId="334C33F1">
      <w:pPr>
        <w:spacing w:line="360" w:lineRule="auto"/>
        <w:ind w:firstLine="708"/>
        <w:jc w:val="both"/>
        <w:rPr>
          <w:rFonts w:cs="Arial"/>
          <w:szCs w:val="22"/>
        </w:rPr>
      </w:pPr>
      <w:r w:rsidRPr="00E618C4">
        <w:rPr>
          <w:rFonts w:cs="Arial"/>
          <w:szCs w:val="22"/>
        </w:rPr>
        <w:t xml:space="preserve">Esse é um ponto forte do modelo de 2023. Os itens adicionais incluídos em cada fiscalização não alteraram a estrutura do índice: no caso dos municípios, foram acrescidos blocos voltados a conformidade externa e governo digital; no caso do SETIC, foram incluídas perguntas específicas sobre estrutura do sistema, conhecimento/aderência a normativos e percepção dos órgãos setoriais sobre a atuação do PRODERJ. Esses itens foram utilizados para atender necessidades específicas de cada trabalho, mas não integraram o cômputo do iGovTI. Assim, o índice preservou sua coerência interna como medida de maturidade em governança e gestão de TI, enquanto os blocos adicionais funcionaram como módulos complementares de diagnóstico </w:t>
      </w:r>
      <w:r>
        <w:rPr>
          <w:rFonts w:cs="Arial"/>
          <w:szCs w:val="22"/>
        </w:rPr>
        <w:t>das fiscalizações</w:t>
      </w:r>
      <w:r w:rsidRPr="00E618C4">
        <w:rPr>
          <w:rFonts w:cs="Arial"/>
          <w:szCs w:val="22"/>
        </w:rPr>
        <w:t>.</w:t>
      </w:r>
    </w:p>
    <w:p w:rsidRPr="00E618C4" w:rsidR="00E618C4" w:rsidP="00E618C4" w:rsidRDefault="00E618C4" w14:paraId="0DC3C2CB" w14:textId="444E67AD">
      <w:pPr>
        <w:spacing w:line="360" w:lineRule="auto"/>
        <w:ind w:firstLine="708"/>
        <w:jc w:val="both"/>
        <w:rPr>
          <w:rFonts w:cs="Arial"/>
          <w:szCs w:val="22"/>
        </w:rPr>
      </w:pPr>
      <w:r w:rsidRPr="00E618C4">
        <w:rPr>
          <w:rFonts w:cs="Arial"/>
          <w:szCs w:val="22"/>
        </w:rPr>
        <w:t>A partir disso, a avaliação crítica do modelo de 2023 pode ser resumida em</w:t>
      </w:r>
      <w:r>
        <w:rPr>
          <w:rFonts w:cs="Arial"/>
          <w:szCs w:val="22"/>
        </w:rPr>
        <w:t>:</w:t>
      </w:r>
    </w:p>
    <w:p w:rsidRPr="00FD2176" w:rsidR="00FD2176" w:rsidP="00FD2176" w:rsidRDefault="00FD2176" w14:paraId="10F5AE54" w14:textId="7D4BD7FA">
      <w:pPr>
        <w:spacing w:line="360" w:lineRule="auto"/>
        <w:ind w:firstLine="708"/>
        <w:jc w:val="both"/>
        <w:rPr>
          <w:rFonts w:cs="Arial"/>
          <w:szCs w:val="22"/>
        </w:rPr>
      </w:pPr>
      <w:r w:rsidRPr="00FD2176">
        <w:rPr>
          <w:rFonts w:cs="Arial"/>
          <w:b/>
          <w:bCs/>
          <w:szCs w:val="22"/>
        </w:rPr>
        <w:t>(a) O núcleo do índice mostrou-se adequado e comparável</w:t>
      </w:r>
      <w:r w:rsidR="00886F55">
        <w:rPr>
          <w:rFonts w:cs="Arial"/>
          <w:szCs w:val="22"/>
        </w:rPr>
        <w:t xml:space="preserve">: </w:t>
      </w:r>
      <w:r w:rsidRPr="00FD2176">
        <w:rPr>
          <w:rFonts w:cs="Arial"/>
          <w:szCs w:val="22"/>
        </w:rPr>
        <w:t>O principal mérito do desenho adotado foi preservar um núcleo comum de práticas voltado a governança e gestão de TI, aplicável tanto aos municípios quanto às organizações do SETIC. Isso permitiu que o índice funcionasse como medida comparável de maturidade, ao mesmo tempo em que cada fiscalização pôde agregar perguntas contextuais sem comprometer o cálculo central.</w:t>
      </w:r>
    </w:p>
    <w:p w:rsidRPr="00CB1752" w:rsidR="00CB1752" w:rsidP="00CB1752" w:rsidRDefault="00CB1752" w14:paraId="408C4A6E" w14:textId="154BF0BB">
      <w:pPr>
        <w:spacing w:line="360" w:lineRule="auto"/>
        <w:ind w:firstLine="708"/>
        <w:jc w:val="both"/>
        <w:rPr>
          <w:rFonts w:cs="Arial"/>
          <w:b/>
          <w:bCs/>
          <w:szCs w:val="22"/>
        </w:rPr>
      </w:pPr>
      <w:r w:rsidRPr="00CB1752">
        <w:rPr>
          <w:rFonts w:cs="Arial"/>
          <w:b/>
          <w:bCs/>
          <w:szCs w:val="22"/>
        </w:rPr>
        <w:t>(b) O questionário foi corretamente utilizado como instrumento de auditoria, e não apenas de mensuração</w:t>
      </w:r>
      <w:r>
        <w:rPr>
          <w:rFonts w:cs="Arial"/>
          <w:b/>
          <w:bCs/>
          <w:szCs w:val="22"/>
        </w:rPr>
        <w:t xml:space="preserve">: </w:t>
      </w:r>
      <w:r w:rsidRPr="00CB1752">
        <w:rPr>
          <w:rFonts w:cs="Arial"/>
          <w:szCs w:val="22"/>
        </w:rPr>
        <w:t>Em ambos os trabalhos, o iGovTI não foi tratado como fim em si mesmo. O índice serviu de base para identificação de fragilidades, seleção de focos de aprofundamento e formulação de achados. Esse uso é metodologicamente positivo, porque evita reduzir a fiscalização a um ranking e preserva a relação entre pontuação, evidência e risco.</w:t>
      </w:r>
    </w:p>
    <w:p w:rsidRPr="00FD2176" w:rsidR="00FD2176" w:rsidP="008314CD" w:rsidRDefault="00FD2176" w14:paraId="3DCB9DD3" w14:textId="3FEAD746">
      <w:pPr>
        <w:spacing w:line="360" w:lineRule="auto"/>
        <w:ind w:firstLine="708"/>
        <w:jc w:val="both"/>
        <w:rPr>
          <w:rFonts w:cs="Arial"/>
          <w:szCs w:val="22"/>
        </w:rPr>
      </w:pPr>
      <w:r w:rsidRPr="00FD2176">
        <w:rPr>
          <w:rFonts w:cs="Arial"/>
          <w:b/>
          <w:bCs/>
          <w:szCs w:val="22"/>
        </w:rPr>
        <w:t>(</w:t>
      </w:r>
      <w:r w:rsidR="00CB1752">
        <w:rPr>
          <w:rFonts w:cs="Arial"/>
          <w:b/>
          <w:bCs/>
          <w:szCs w:val="22"/>
        </w:rPr>
        <w:t>c</w:t>
      </w:r>
      <w:r w:rsidRPr="00FD2176">
        <w:rPr>
          <w:rFonts w:cs="Arial"/>
          <w:b/>
          <w:bCs/>
          <w:szCs w:val="22"/>
        </w:rPr>
        <w:t>) O principal limite esteve menos no desenho do índice e mais na qualidade do dado declaratório</w:t>
      </w:r>
      <w:r w:rsidR="00886F55">
        <w:rPr>
          <w:rFonts w:cs="Arial"/>
          <w:b/>
          <w:bCs/>
          <w:szCs w:val="22"/>
        </w:rPr>
        <w:t xml:space="preserve">: </w:t>
      </w:r>
      <w:r w:rsidRPr="008314CD" w:rsidR="008314CD">
        <w:rPr>
          <w:rFonts w:cs="Arial"/>
          <w:szCs w:val="22"/>
        </w:rPr>
        <w:t xml:space="preserve">A experiência de 2023 mostrou que a autodeclaração ainda exigiu validações e ajustes posteriores pela equipe de auditoria, especialmente no caso dos municípios. Os comentários dos auditados reforçam esse diagnóstico de forma indireta: eles não indicam rejeição ao instrumento, mas </w:t>
      </w:r>
      <w:r w:rsidRPr="008314CD" w:rsidR="008314CD">
        <w:rPr>
          <w:rFonts w:cs="Arial"/>
          <w:szCs w:val="22"/>
          <w:u w:val="single"/>
        </w:rPr>
        <w:t>revelam dificuldades de preenchimento, de coleta de evidências e de adequação das alternativas à realidade concreta de cada órgão</w:t>
      </w:r>
      <w:r w:rsidRPr="008314CD" w:rsidR="008314CD">
        <w:rPr>
          <w:rFonts w:cs="Arial"/>
          <w:szCs w:val="22"/>
        </w:rPr>
        <w:t xml:space="preserve">. </w:t>
      </w:r>
      <w:r w:rsidRPr="008314CD" w:rsidR="008314CD">
        <w:rPr>
          <w:rFonts w:cs="Arial"/>
          <w:szCs w:val="22"/>
          <w:u w:val="single"/>
        </w:rPr>
        <w:t>Isso sugere que o problema central para 2026 não é refazer a lógica do índice, mas aumentar a robustez da coleta</w:t>
      </w:r>
      <w:r w:rsidRPr="008314CD" w:rsidR="008314CD">
        <w:rPr>
          <w:rFonts w:cs="Arial"/>
          <w:szCs w:val="22"/>
        </w:rPr>
        <w:t>.</w:t>
      </w:r>
    </w:p>
    <w:p w:rsidR="00FD2176" w:rsidP="00FD2176" w:rsidRDefault="00FD2176" w14:paraId="47727281" w14:textId="316A492F">
      <w:pPr>
        <w:spacing w:line="360" w:lineRule="auto"/>
        <w:ind w:firstLine="708"/>
        <w:jc w:val="both"/>
        <w:rPr>
          <w:rFonts w:cs="Arial"/>
          <w:szCs w:val="22"/>
        </w:rPr>
      </w:pPr>
      <w:r w:rsidRPr="00FD2176">
        <w:rPr>
          <w:rFonts w:cs="Arial"/>
          <w:b/>
          <w:bCs/>
          <w:szCs w:val="22"/>
        </w:rPr>
        <w:t>(</w:t>
      </w:r>
      <w:r w:rsidR="00704B0E">
        <w:rPr>
          <w:rFonts w:cs="Arial"/>
          <w:b/>
          <w:bCs/>
          <w:szCs w:val="22"/>
        </w:rPr>
        <w:t>d</w:t>
      </w:r>
      <w:r w:rsidRPr="00FD2176">
        <w:rPr>
          <w:rFonts w:cs="Arial"/>
          <w:b/>
          <w:bCs/>
          <w:szCs w:val="22"/>
        </w:rPr>
        <w:t>) Os módulos adicionais foram úteis, mas precisam de tratamento analítico mais explícito</w:t>
      </w:r>
      <w:r w:rsidR="00886F55">
        <w:rPr>
          <w:rFonts w:cs="Arial"/>
          <w:b/>
          <w:bCs/>
          <w:szCs w:val="22"/>
        </w:rPr>
        <w:t xml:space="preserve">: </w:t>
      </w:r>
      <w:r w:rsidRPr="00FD2176">
        <w:rPr>
          <w:rFonts w:cs="Arial"/>
          <w:szCs w:val="22"/>
        </w:rPr>
        <w:t xml:space="preserve">Os itens acrescidos para cada fiscalização se mostraram pertinentes e úteis para os objetivos específicos de cada trabalho. O ponto de atenção não é sua existência, mas </w:t>
      </w:r>
      <w:r w:rsidRPr="00FD2176">
        <w:rPr>
          <w:rFonts w:cs="Arial"/>
          <w:szCs w:val="22"/>
          <w:u w:val="single"/>
        </w:rPr>
        <w:t>a necessidade de deixar mais claro, no instrumento e no relatório, que eles compõem uma camada paralela de análise, distinta do núcleo do iGovTI</w:t>
      </w:r>
      <w:r w:rsidRPr="00FD2176">
        <w:rPr>
          <w:rFonts w:cs="Arial"/>
          <w:szCs w:val="22"/>
        </w:rPr>
        <w:t>. Em 2023, isso estava metodologicamente preservado, mas pode ser comunicado e estruturado de forma mais transparente em 2026.</w:t>
      </w:r>
    </w:p>
    <w:p w:rsidRPr="003C5C79" w:rsidR="003C5C79" w:rsidP="003C5C79" w:rsidRDefault="003C5C79" w14:paraId="2F7F70CA" w14:textId="5A0BAF7E">
      <w:pPr>
        <w:spacing w:line="360" w:lineRule="auto"/>
        <w:ind w:firstLine="708"/>
        <w:jc w:val="both"/>
        <w:rPr>
          <w:rFonts w:cs="Arial"/>
          <w:szCs w:val="22"/>
        </w:rPr>
      </w:pPr>
      <w:r w:rsidRPr="003C5C79">
        <w:rPr>
          <w:rFonts w:cs="Arial"/>
          <w:b/>
          <w:bCs/>
          <w:szCs w:val="22"/>
        </w:rPr>
        <w:t>(e) Os comentários dos auditados agregam uma dimensão operacional importante: o instrumento foi útil, mas custoso</w:t>
      </w:r>
      <w:r>
        <w:rPr>
          <w:rFonts w:cs="Arial"/>
          <w:b/>
          <w:bCs/>
          <w:szCs w:val="22"/>
        </w:rPr>
        <w:t xml:space="preserve">: </w:t>
      </w:r>
      <w:r w:rsidRPr="003C5C79">
        <w:rPr>
          <w:rFonts w:cs="Arial"/>
          <w:szCs w:val="22"/>
        </w:rPr>
        <w:t>Esse talvez seja o acréscimo mais relevante trazido pelos comentários. Em geral, os auditados consideraram a fiscalização importante e útil para melhoria da governança e gestão de TI. Contudo, vários relataram:</w:t>
      </w:r>
    </w:p>
    <w:p w:rsidRPr="003C5C79" w:rsidR="003C5C79" w:rsidP="003C5C79" w:rsidRDefault="003C5C79" w14:paraId="4716D238" w14:textId="77777777">
      <w:pPr>
        <w:numPr>
          <w:ilvl w:val="0"/>
          <w:numId w:val="57"/>
        </w:numPr>
        <w:spacing w:line="360" w:lineRule="auto"/>
        <w:jc w:val="both"/>
        <w:rPr>
          <w:rFonts w:cs="Arial"/>
          <w:szCs w:val="22"/>
        </w:rPr>
      </w:pPr>
      <w:r w:rsidRPr="003C5C79">
        <w:rPr>
          <w:rFonts w:cs="Arial"/>
          <w:szCs w:val="22"/>
        </w:rPr>
        <w:t>questionário excessivamente extenso;</w:t>
      </w:r>
    </w:p>
    <w:p w:rsidRPr="003C5C79" w:rsidR="003C5C79" w:rsidP="003C5C79" w:rsidRDefault="003C5C79" w14:paraId="518B8A35" w14:textId="77777777">
      <w:pPr>
        <w:numPr>
          <w:ilvl w:val="0"/>
          <w:numId w:val="57"/>
        </w:numPr>
        <w:spacing w:line="360" w:lineRule="auto"/>
        <w:jc w:val="both"/>
        <w:rPr>
          <w:rFonts w:cs="Arial"/>
          <w:szCs w:val="22"/>
        </w:rPr>
      </w:pPr>
      <w:r w:rsidRPr="003C5C79">
        <w:rPr>
          <w:rFonts w:cs="Arial"/>
          <w:szCs w:val="22"/>
        </w:rPr>
        <w:t>prazo curto para resposta;</w:t>
      </w:r>
    </w:p>
    <w:p w:rsidRPr="003C5C79" w:rsidR="003C5C79" w:rsidP="003C5C79" w:rsidRDefault="003C5C79" w14:paraId="7141E140" w14:textId="77777777">
      <w:pPr>
        <w:numPr>
          <w:ilvl w:val="0"/>
          <w:numId w:val="57"/>
        </w:numPr>
        <w:spacing w:line="360" w:lineRule="auto"/>
        <w:jc w:val="both"/>
        <w:rPr>
          <w:rFonts w:cs="Arial"/>
          <w:szCs w:val="22"/>
        </w:rPr>
      </w:pPr>
      <w:r w:rsidRPr="003C5C79">
        <w:rPr>
          <w:rFonts w:cs="Arial"/>
          <w:szCs w:val="22"/>
        </w:rPr>
        <w:t>necessidade de mobilizar várias áreas internas;</w:t>
      </w:r>
    </w:p>
    <w:p w:rsidRPr="003C5C79" w:rsidR="003C5C79" w:rsidP="003C5C79" w:rsidRDefault="003C5C79" w14:paraId="076B57D4" w14:textId="77777777">
      <w:pPr>
        <w:numPr>
          <w:ilvl w:val="0"/>
          <w:numId w:val="57"/>
        </w:numPr>
        <w:spacing w:line="360" w:lineRule="auto"/>
        <w:jc w:val="both"/>
        <w:rPr>
          <w:rFonts w:cs="Arial"/>
          <w:szCs w:val="22"/>
        </w:rPr>
      </w:pPr>
      <w:r w:rsidRPr="003C5C79">
        <w:rPr>
          <w:rFonts w:cs="Arial"/>
          <w:szCs w:val="22"/>
        </w:rPr>
        <w:t>ausência, em alguns pontos, de alternativas ou campos que refletissem adequadamente a realidade do órgão;</w:t>
      </w:r>
    </w:p>
    <w:p w:rsidRPr="003C5C79" w:rsidR="003C5C79" w:rsidP="003C5C79" w:rsidRDefault="003C5C79" w14:paraId="3C1511FE" w14:textId="77777777">
      <w:pPr>
        <w:numPr>
          <w:ilvl w:val="0"/>
          <w:numId w:val="57"/>
        </w:numPr>
        <w:spacing w:line="360" w:lineRule="auto"/>
        <w:jc w:val="both"/>
        <w:rPr>
          <w:rFonts w:cs="Arial"/>
          <w:szCs w:val="22"/>
        </w:rPr>
      </w:pPr>
      <w:r w:rsidRPr="003C5C79">
        <w:rPr>
          <w:rFonts w:cs="Arial"/>
          <w:szCs w:val="22"/>
        </w:rPr>
        <w:t xml:space="preserve">necessidade de anexar documentos </w:t>
      </w:r>
      <w:proofErr w:type="gramStart"/>
      <w:r w:rsidRPr="003C5C79">
        <w:rPr>
          <w:rFonts w:cs="Arial"/>
          <w:szCs w:val="22"/>
        </w:rPr>
        <w:t>e também</w:t>
      </w:r>
      <w:proofErr w:type="gramEnd"/>
      <w:r w:rsidRPr="003C5C79">
        <w:rPr>
          <w:rFonts w:cs="Arial"/>
          <w:szCs w:val="22"/>
        </w:rPr>
        <w:t xml:space="preserve"> justificar em texto;</w:t>
      </w:r>
    </w:p>
    <w:p w:rsidRPr="003C5C79" w:rsidR="003C5C79" w:rsidP="003C5C79" w:rsidRDefault="003C5C79" w14:paraId="0F601D09" w14:textId="77777777">
      <w:pPr>
        <w:numPr>
          <w:ilvl w:val="0"/>
          <w:numId w:val="57"/>
        </w:numPr>
        <w:spacing w:line="360" w:lineRule="auto"/>
        <w:jc w:val="both"/>
        <w:rPr>
          <w:rFonts w:cs="Arial"/>
          <w:szCs w:val="22"/>
        </w:rPr>
      </w:pPr>
      <w:r w:rsidRPr="003C5C79">
        <w:rPr>
          <w:rFonts w:cs="Arial"/>
          <w:szCs w:val="22"/>
        </w:rPr>
        <w:t>conveniência de permitir salvamento parcial ou preenchimento em etapas.</w:t>
      </w:r>
    </w:p>
    <w:p w:rsidRPr="003C5C79" w:rsidR="003C5C79" w:rsidP="003C5C79" w:rsidRDefault="003C5C79" w14:paraId="75469AFD" w14:textId="77777777">
      <w:pPr>
        <w:spacing w:line="360" w:lineRule="auto"/>
        <w:ind w:firstLine="708"/>
        <w:jc w:val="both"/>
        <w:rPr>
          <w:rFonts w:cs="Arial"/>
          <w:szCs w:val="22"/>
        </w:rPr>
      </w:pPr>
      <w:r w:rsidRPr="003C5C79">
        <w:rPr>
          <w:rFonts w:cs="Arial"/>
          <w:szCs w:val="22"/>
        </w:rPr>
        <w:t>Esses registros são valiosos porque mostram que a crítica dos auditados não foi, em regra, ao conteúdo substantivo das práticas avaliadas, mas à operação do instrumento e à sua proporcionalidade frente às capacidades reais dos órgãos.</w:t>
      </w:r>
    </w:p>
    <w:p w:rsidRPr="002F369C" w:rsidR="002F369C" w:rsidP="002F369C" w:rsidRDefault="002F369C" w14:paraId="0088D06B" w14:textId="77777777">
      <w:pPr>
        <w:spacing w:line="360" w:lineRule="auto"/>
        <w:ind w:firstLine="708"/>
        <w:jc w:val="both"/>
        <w:rPr>
          <w:rFonts w:cs="Arial"/>
          <w:szCs w:val="22"/>
        </w:rPr>
      </w:pPr>
      <w:r w:rsidRPr="002F369C">
        <w:rPr>
          <w:rFonts w:cs="Arial"/>
          <w:szCs w:val="22"/>
        </w:rPr>
        <w:t xml:space="preserve">Além disso, alguns comentários reforçam achados estruturais já apontados nos relatórios: carência de equipe mínima de TI, baixa capacidade de investimento, dependência de estruturas compartilhadas, limitações derivadas do Regime de Recuperação Fiscal, e necessidade de maior participação de áreas como jurídico, RH, controle interno e administração no preenchimento do </w:t>
      </w:r>
      <w:r w:rsidRPr="002F369C">
        <w:rPr>
          <w:rFonts w:cs="Arial"/>
          <w:szCs w:val="22"/>
        </w:rPr>
        <w:t>questionário. Isso mostra que, para parte do universo fiscalizado, o questionário de governança e gestão de TI já funciona também como revelador de uma fragilidade mais básica: a insuficiência de capacidade instalada mínima.</w:t>
      </w:r>
    </w:p>
    <w:p w:rsidRPr="002F369C" w:rsidR="002F369C" w:rsidP="002F369C" w:rsidRDefault="002F369C" w14:paraId="1BB03891" w14:textId="77777777">
      <w:pPr>
        <w:spacing w:line="360" w:lineRule="auto"/>
        <w:ind w:firstLine="708"/>
        <w:jc w:val="both"/>
        <w:rPr>
          <w:rFonts w:cs="Arial"/>
          <w:szCs w:val="22"/>
        </w:rPr>
      </w:pPr>
      <w:r w:rsidRPr="002F369C">
        <w:rPr>
          <w:rFonts w:cs="Arial"/>
          <w:szCs w:val="22"/>
        </w:rPr>
        <w:t>Dessa forma, a principal conclusão crítica sobre a experiência de 2023 é a seguinte: o TCE-RJ acertou ao manter um núcleo único e comparável de governança e gestão de TI e, simultaneamente, agregar módulos específicos conforme o objeto da fiscalização; o principal aperfeiçoamento para 2026 está em organizar melhor essa arquitetura e tornar o processo de resposta mais proporcional, orientado e operacionalmente viável.</w:t>
      </w:r>
    </w:p>
    <w:p w:rsidRPr="002D3ADB" w:rsidR="002D3ADB" w:rsidP="002D3ADB" w:rsidRDefault="002D3ADB" w14:paraId="21E12D50" w14:textId="2C83F59B">
      <w:pPr>
        <w:pStyle w:val="Ttulo2"/>
      </w:pPr>
      <w:r>
        <w:t>2.7.4.</w:t>
      </w:r>
      <w:r w:rsidRPr="002D3ADB">
        <w:t xml:space="preserve"> Pontos de melhoria e ajustes para o iGovTI 2026</w:t>
      </w:r>
    </w:p>
    <w:p w:rsidRPr="00F46376" w:rsidR="002D3ADB" w:rsidP="002D3ADB" w:rsidRDefault="002D3ADB" w14:paraId="56941381" w14:textId="3EC33B02">
      <w:pPr>
        <w:spacing w:line="360" w:lineRule="auto"/>
        <w:ind w:firstLine="708"/>
        <w:jc w:val="both"/>
        <w:rPr>
          <w:rFonts w:cs="Arial"/>
          <w:szCs w:val="22"/>
        </w:rPr>
      </w:pPr>
      <w:r w:rsidRPr="002D3ADB">
        <w:rPr>
          <w:rFonts w:cs="Arial"/>
          <w:szCs w:val="22"/>
        </w:rPr>
        <w:t>A partir da experiência de 2023,</w:t>
      </w:r>
      <w:r w:rsidRPr="00F46376" w:rsidR="00F90F6F">
        <w:rPr>
          <w:rFonts w:cs="Arial"/>
          <w:szCs w:val="22"/>
        </w:rPr>
        <w:t xml:space="preserve"> </w:t>
      </w:r>
      <w:r w:rsidRPr="00F46376" w:rsidR="00F90F6F">
        <w:rPr>
          <w:rFonts w:cs="Arial"/>
          <w:szCs w:val="22"/>
        </w:rPr>
        <w:t>incluindo os comentários dos auditados</w:t>
      </w:r>
      <w:r w:rsidRPr="00F46376" w:rsidR="00F90F6F">
        <w:rPr>
          <w:rFonts w:cs="Arial"/>
          <w:szCs w:val="22"/>
        </w:rPr>
        <w:t xml:space="preserve">, </w:t>
      </w:r>
      <w:r w:rsidRPr="002D3ADB">
        <w:rPr>
          <w:rFonts w:cs="Arial"/>
          <w:szCs w:val="22"/>
        </w:rPr>
        <w:t xml:space="preserve">os ajustes para o iGovTI 2026 devem partir de uma premissa importante: a lógica central do índice deve ser preservada, pois ela já demonstrou capacidade de mensurar, de forma comparável, a maturidade de governança e gestão de TI em universos distintos. O aprimoramento, portanto, deve incidir principalmente sobre a arquitetura do instrumento, </w:t>
      </w:r>
      <w:r w:rsidRPr="00F46376" w:rsidR="00F46376">
        <w:rPr>
          <w:rFonts w:cs="Arial"/>
          <w:szCs w:val="22"/>
        </w:rPr>
        <w:t>a experiência de preenchimento</w:t>
      </w:r>
      <w:r w:rsidRPr="00F46376" w:rsidR="00F46376">
        <w:rPr>
          <w:rFonts w:cs="Arial"/>
          <w:szCs w:val="22"/>
        </w:rPr>
        <w:t xml:space="preserve">, </w:t>
      </w:r>
      <w:r w:rsidRPr="002D3ADB">
        <w:rPr>
          <w:rFonts w:cs="Arial"/>
          <w:szCs w:val="22"/>
        </w:rPr>
        <w:t>a qualidade da resposta e a forma de organizar módulos complementares.</w:t>
      </w:r>
    </w:p>
    <w:p w:rsidRPr="002D3ADB" w:rsidR="005D4F09" w:rsidP="002D3ADB" w:rsidRDefault="005D4F09" w14:paraId="1A5597C6" w14:textId="77777777">
      <w:pPr>
        <w:spacing w:line="360" w:lineRule="auto"/>
        <w:ind w:firstLine="708"/>
        <w:jc w:val="both"/>
        <w:rPr>
          <w:rFonts w:cs="Arial"/>
          <w:szCs w:val="22"/>
        </w:rPr>
      </w:pPr>
    </w:p>
    <w:p w:rsidRPr="002D3ADB" w:rsidR="002D3ADB" w:rsidP="005D4F09" w:rsidRDefault="002D3ADB" w14:paraId="09BD139C" w14:textId="72114B6E">
      <w:pPr>
        <w:spacing w:line="360" w:lineRule="auto"/>
        <w:jc w:val="both"/>
        <w:rPr>
          <w:rFonts w:cs="Arial"/>
          <w:b/>
          <w:bCs/>
          <w:szCs w:val="22"/>
        </w:rPr>
      </w:pPr>
      <w:r w:rsidRPr="002D3ADB">
        <w:rPr>
          <w:rFonts w:cs="Arial"/>
          <w:b/>
          <w:bCs/>
          <w:szCs w:val="22"/>
        </w:rPr>
        <w:t>Preservar o núcleo comum do índice</w:t>
      </w:r>
    </w:p>
    <w:p w:rsidRPr="002D3ADB" w:rsidR="002D3ADB" w:rsidP="002D3ADB" w:rsidRDefault="002D3ADB" w14:paraId="35A5EFAF" w14:textId="77777777">
      <w:pPr>
        <w:spacing w:line="360" w:lineRule="auto"/>
        <w:ind w:firstLine="708"/>
        <w:jc w:val="both"/>
        <w:rPr>
          <w:rFonts w:cs="Arial"/>
          <w:szCs w:val="22"/>
        </w:rPr>
      </w:pPr>
      <w:r w:rsidRPr="002D3ADB">
        <w:rPr>
          <w:rFonts w:cs="Arial"/>
          <w:szCs w:val="22"/>
        </w:rPr>
        <w:t>O primeiro ajuste é, na verdade, uma decisão de continuidade: manter o núcleo comum pequeno, estável e explicitamente voltado a práticas de governança e gestão de TI. A experiência de 2023 mostrou que esse núcleo foi suficientemente robusto para servir de base tanto à fiscalização municipal quanto à do SETIC, garantindo comparabilidade entre aplicações.</w:t>
      </w:r>
    </w:p>
    <w:p w:rsidRPr="002D3ADB" w:rsidR="002D3ADB" w:rsidP="002D3ADB" w:rsidRDefault="002D3ADB" w14:paraId="39E8E644" w14:textId="77777777">
      <w:pPr>
        <w:spacing w:line="360" w:lineRule="auto"/>
        <w:ind w:firstLine="708"/>
        <w:jc w:val="both"/>
        <w:rPr>
          <w:rFonts w:cs="Arial"/>
          <w:szCs w:val="22"/>
        </w:rPr>
      </w:pPr>
      <w:r w:rsidRPr="002D3ADB">
        <w:rPr>
          <w:rFonts w:cs="Arial"/>
          <w:szCs w:val="22"/>
        </w:rPr>
        <w:t>Esse núcleo deve continuar concentrado em:</w:t>
      </w:r>
    </w:p>
    <w:p w:rsidRPr="002D3ADB" w:rsidR="002D3ADB" w:rsidP="002D3ADB" w:rsidRDefault="002D3ADB" w14:paraId="36D68270" w14:textId="77777777">
      <w:pPr>
        <w:numPr>
          <w:ilvl w:val="0"/>
          <w:numId w:val="50"/>
        </w:numPr>
        <w:spacing w:line="360" w:lineRule="auto"/>
        <w:jc w:val="both"/>
        <w:rPr>
          <w:rFonts w:cs="Arial"/>
          <w:szCs w:val="22"/>
        </w:rPr>
      </w:pPr>
      <w:r w:rsidRPr="002D3ADB">
        <w:rPr>
          <w:rFonts w:cs="Arial"/>
          <w:szCs w:val="22"/>
        </w:rPr>
        <w:t>governança de TI;</w:t>
      </w:r>
    </w:p>
    <w:p w:rsidRPr="002D3ADB" w:rsidR="002D3ADB" w:rsidP="002D3ADB" w:rsidRDefault="002D3ADB" w14:paraId="5E56E451" w14:textId="5AE0C760">
      <w:pPr>
        <w:numPr>
          <w:ilvl w:val="0"/>
          <w:numId w:val="50"/>
        </w:numPr>
        <w:spacing w:line="360" w:lineRule="auto"/>
        <w:jc w:val="both"/>
        <w:rPr>
          <w:rFonts w:cs="Arial"/>
          <w:szCs w:val="22"/>
        </w:rPr>
      </w:pPr>
      <w:r w:rsidRPr="002D3ADB">
        <w:rPr>
          <w:rFonts w:cs="Arial"/>
          <w:szCs w:val="22"/>
        </w:rPr>
        <w:t>planejamento</w:t>
      </w:r>
      <w:r w:rsidR="002E5571">
        <w:rPr>
          <w:rFonts w:cs="Arial"/>
          <w:szCs w:val="22"/>
        </w:rPr>
        <w:t xml:space="preserve"> de TI</w:t>
      </w:r>
      <w:r w:rsidRPr="002D3ADB">
        <w:rPr>
          <w:rFonts w:cs="Arial"/>
          <w:szCs w:val="22"/>
        </w:rPr>
        <w:t>;</w:t>
      </w:r>
    </w:p>
    <w:p w:rsidRPr="002D3ADB" w:rsidR="002D3ADB" w:rsidP="002D3ADB" w:rsidRDefault="002D3ADB" w14:paraId="4681EB44" w14:textId="77777777">
      <w:pPr>
        <w:numPr>
          <w:ilvl w:val="0"/>
          <w:numId w:val="50"/>
        </w:numPr>
        <w:spacing w:line="360" w:lineRule="auto"/>
        <w:jc w:val="both"/>
        <w:rPr>
          <w:rFonts w:cs="Arial"/>
          <w:szCs w:val="22"/>
        </w:rPr>
      </w:pPr>
      <w:r w:rsidRPr="002D3ADB">
        <w:rPr>
          <w:rFonts w:cs="Arial"/>
          <w:szCs w:val="22"/>
        </w:rPr>
        <w:t>gestão de pessoas;</w:t>
      </w:r>
    </w:p>
    <w:p w:rsidRPr="002D3ADB" w:rsidR="002D3ADB" w:rsidP="002D3ADB" w:rsidRDefault="002D3ADB" w14:paraId="012B6281" w14:textId="77777777">
      <w:pPr>
        <w:numPr>
          <w:ilvl w:val="0"/>
          <w:numId w:val="50"/>
        </w:numPr>
        <w:spacing w:line="360" w:lineRule="auto"/>
        <w:jc w:val="both"/>
        <w:rPr>
          <w:rFonts w:cs="Arial"/>
          <w:szCs w:val="22"/>
        </w:rPr>
      </w:pPr>
      <w:r w:rsidRPr="002D3ADB">
        <w:rPr>
          <w:rFonts w:cs="Arial"/>
          <w:szCs w:val="22"/>
        </w:rPr>
        <w:t>serviços;</w:t>
      </w:r>
    </w:p>
    <w:p w:rsidRPr="002D3ADB" w:rsidR="002D3ADB" w:rsidP="002D3ADB" w:rsidRDefault="002D3ADB" w14:paraId="786E9752" w14:textId="77777777">
      <w:pPr>
        <w:numPr>
          <w:ilvl w:val="0"/>
          <w:numId w:val="50"/>
        </w:numPr>
        <w:spacing w:line="360" w:lineRule="auto"/>
        <w:jc w:val="both"/>
        <w:rPr>
          <w:rFonts w:cs="Arial"/>
          <w:szCs w:val="22"/>
        </w:rPr>
      </w:pPr>
      <w:r w:rsidRPr="002D3ADB">
        <w:rPr>
          <w:rFonts w:cs="Arial"/>
          <w:szCs w:val="22"/>
        </w:rPr>
        <w:t>riscos e continuidade;</w:t>
      </w:r>
    </w:p>
    <w:p w:rsidRPr="002D3ADB" w:rsidR="002D3ADB" w:rsidP="002D3ADB" w:rsidRDefault="002D3ADB" w14:paraId="45B0284A" w14:textId="77777777">
      <w:pPr>
        <w:numPr>
          <w:ilvl w:val="0"/>
          <w:numId w:val="50"/>
        </w:numPr>
        <w:spacing w:line="360" w:lineRule="auto"/>
        <w:jc w:val="both"/>
        <w:rPr>
          <w:rFonts w:cs="Arial"/>
          <w:szCs w:val="22"/>
        </w:rPr>
      </w:pPr>
      <w:r w:rsidRPr="002D3ADB">
        <w:rPr>
          <w:rFonts w:cs="Arial"/>
          <w:szCs w:val="22"/>
        </w:rPr>
        <w:t>segurança da informação;</w:t>
      </w:r>
    </w:p>
    <w:p w:rsidRPr="002D3ADB" w:rsidR="002D3ADB" w:rsidP="002D3ADB" w:rsidRDefault="002D3ADB" w14:paraId="12067BDF" w14:textId="77777777">
      <w:pPr>
        <w:numPr>
          <w:ilvl w:val="0"/>
          <w:numId w:val="50"/>
        </w:numPr>
        <w:spacing w:line="360" w:lineRule="auto"/>
        <w:jc w:val="both"/>
        <w:rPr>
          <w:rFonts w:cs="Arial"/>
          <w:szCs w:val="22"/>
        </w:rPr>
      </w:pPr>
      <w:r w:rsidRPr="002D3ADB">
        <w:rPr>
          <w:rFonts w:cs="Arial"/>
          <w:szCs w:val="22"/>
        </w:rPr>
        <w:t>projetos/software;</w:t>
      </w:r>
    </w:p>
    <w:p w:rsidRPr="002D3ADB" w:rsidR="002D3ADB" w:rsidP="002D3ADB" w:rsidRDefault="002D3ADB" w14:paraId="1DCADD73" w14:textId="77777777">
      <w:pPr>
        <w:numPr>
          <w:ilvl w:val="0"/>
          <w:numId w:val="50"/>
        </w:numPr>
        <w:spacing w:line="360" w:lineRule="auto"/>
        <w:jc w:val="both"/>
        <w:rPr>
          <w:rFonts w:cs="Arial"/>
          <w:szCs w:val="22"/>
        </w:rPr>
      </w:pPr>
      <w:r w:rsidRPr="002D3ADB">
        <w:rPr>
          <w:rFonts w:cs="Arial"/>
          <w:szCs w:val="22"/>
        </w:rPr>
        <w:t>contratos de TI.</w:t>
      </w:r>
    </w:p>
    <w:p w:rsidRPr="002D3ADB" w:rsidR="002D3ADB" w:rsidP="002D3ADB" w:rsidRDefault="002D3ADB" w14:paraId="0A9E4A8A" w14:textId="77777777">
      <w:pPr>
        <w:spacing w:line="360" w:lineRule="auto"/>
        <w:ind w:firstLine="708"/>
        <w:jc w:val="both"/>
        <w:rPr>
          <w:rFonts w:cs="Arial"/>
          <w:szCs w:val="22"/>
        </w:rPr>
      </w:pPr>
      <w:r w:rsidRPr="002D3ADB">
        <w:rPr>
          <w:rFonts w:cs="Arial"/>
          <w:szCs w:val="22"/>
        </w:rPr>
        <w:t>Esse é o componente que melhor sustenta série histórica e comparações entre contextos distintos.</w:t>
      </w:r>
    </w:p>
    <w:p w:rsidR="005D4F09" w:rsidP="005D4F09" w:rsidRDefault="005D4F09" w14:paraId="4C9C7EAF" w14:textId="77777777">
      <w:pPr>
        <w:spacing w:line="360" w:lineRule="auto"/>
        <w:jc w:val="both"/>
        <w:rPr>
          <w:rFonts w:cs="Arial"/>
          <w:b/>
          <w:bCs/>
          <w:szCs w:val="22"/>
        </w:rPr>
      </w:pPr>
    </w:p>
    <w:p w:rsidR="00741A23" w:rsidP="005D4F09" w:rsidRDefault="00741A23" w14:paraId="0DE9A5FB" w14:textId="77777777">
      <w:pPr>
        <w:spacing w:line="360" w:lineRule="auto"/>
        <w:jc w:val="both"/>
        <w:rPr>
          <w:rFonts w:cs="Arial"/>
          <w:b/>
          <w:bCs/>
          <w:szCs w:val="22"/>
        </w:rPr>
      </w:pPr>
    </w:p>
    <w:p w:rsidR="00741A23" w:rsidP="005D4F09" w:rsidRDefault="00741A23" w14:paraId="7A1247C1" w14:textId="77777777">
      <w:pPr>
        <w:spacing w:line="360" w:lineRule="auto"/>
        <w:jc w:val="both"/>
        <w:rPr>
          <w:rFonts w:cs="Arial"/>
          <w:b/>
          <w:bCs/>
          <w:szCs w:val="22"/>
        </w:rPr>
      </w:pPr>
    </w:p>
    <w:p w:rsidRPr="002D3ADB" w:rsidR="002D3ADB" w:rsidP="005D4F09" w:rsidRDefault="002D3ADB" w14:paraId="759E47BA" w14:textId="49EE5C31">
      <w:pPr>
        <w:spacing w:line="360" w:lineRule="auto"/>
        <w:jc w:val="both"/>
        <w:rPr>
          <w:rFonts w:cs="Arial"/>
          <w:b/>
          <w:bCs/>
          <w:szCs w:val="22"/>
        </w:rPr>
      </w:pPr>
      <w:r w:rsidRPr="002D3ADB">
        <w:rPr>
          <w:rFonts w:cs="Arial"/>
          <w:b/>
          <w:bCs/>
          <w:szCs w:val="22"/>
        </w:rPr>
        <w:t>Explicitar a separação entre índice central e módulos específicos</w:t>
      </w:r>
    </w:p>
    <w:p w:rsidRPr="002D3ADB" w:rsidR="002D3ADB" w:rsidP="002D3ADB" w:rsidRDefault="002D3ADB" w14:paraId="5432A23B" w14:textId="77777777">
      <w:pPr>
        <w:spacing w:line="360" w:lineRule="auto"/>
        <w:ind w:firstLine="708"/>
        <w:jc w:val="both"/>
        <w:rPr>
          <w:rFonts w:cs="Arial"/>
          <w:szCs w:val="22"/>
        </w:rPr>
      </w:pPr>
      <w:r w:rsidRPr="002D3ADB">
        <w:rPr>
          <w:rFonts w:cs="Arial"/>
          <w:szCs w:val="22"/>
        </w:rPr>
        <w:t>Se, em 2023, a comparabilidade do índice foi preservada, em 2026 isso pode ser mais claramente refletido no próprio desenho do questionário e na apresentação dos resultados.</w:t>
      </w:r>
    </w:p>
    <w:p w:rsidRPr="002D3ADB" w:rsidR="002D3ADB" w:rsidP="002D3ADB" w:rsidRDefault="002D3ADB" w14:paraId="35868E6C" w14:textId="77777777">
      <w:pPr>
        <w:spacing w:line="360" w:lineRule="auto"/>
        <w:ind w:firstLine="708"/>
        <w:jc w:val="both"/>
        <w:rPr>
          <w:rFonts w:cs="Arial"/>
          <w:szCs w:val="22"/>
        </w:rPr>
      </w:pPr>
      <w:r w:rsidRPr="002D3ADB">
        <w:rPr>
          <w:rFonts w:cs="Arial"/>
          <w:szCs w:val="22"/>
        </w:rPr>
        <w:t>A recomendação é estruturar formalmente o instrumento em duas camadas:</w:t>
      </w:r>
    </w:p>
    <w:p w:rsidRPr="002D3ADB" w:rsidR="002D3ADB" w:rsidP="002D3ADB" w:rsidRDefault="002D3ADB" w14:paraId="061288AC" w14:textId="1AEB58B3">
      <w:pPr>
        <w:spacing w:line="360" w:lineRule="auto"/>
        <w:ind w:firstLine="708"/>
        <w:jc w:val="both"/>
        <w:rPr>
          <w:rFonts w:cs="Arial"/>
          <w:szCs w:val="22"/>
        </w:rPr>
      </w:pPr>
      <w:r w:rsidRPr="002D3ADB">
        <w:rPr>
          <w:rFonts w:cs="Arial"/>
          <w:b/>
          <w:bCs/>
          <w:szCs w:val="22"/>
        </w:rPr>
        <w:t>(i) Núcleo iGovTI</w:t>
      </w:r>
      <w:r w:rsidR="005D4F09">
        <w:rPr>
          <w:rFonts w:cs="Arial"/>
          <w:szCs w:val="22"/>
        </w:rPr>
        <w:t xml:space="preserve">: </w:t>
      </w:r>
      <w:r w:rsidRPr="002D3ADB">
        <w:rPr>
          <w:rFonts w:cs="Arial"/>
          <w:szCs w:val="22"/>
        </w:rPr>
        <w:t>Conjunto de práticas que entram no cálculo do índice e que será idêntico — ou substancialmente equivalente — para todos os universos avaliados.</w:t>
      </w:r>
    </w:p>
    <w:p w:rsidRPr="002D3ADB" w:rsidR="002D3ADB" w:rsidP="002D3ADB" w:rsidRDefault="002D3ADB" w14:paraId="1011F43F" w14:textId="5AC0F30A">
      <w:pPr>
        <w:spacing w:line="360" w:lineRule="auto"/>
        <w:ind w:firstLine="708"/>
        <w:jc w:val="both"/>
        <w:rPr>
          <w:rFonts w:cs="Arial"/>
          <w:szCs w:val="22"/>
        </w:rPr>
      </w:pPr>
      <w:r w:rsidRPr="002D3ADB">
        <w:rPr>
          <w:rFonts w:cs="Arial"/>
          <w:b/>
          <w:bCs/>
          <w:szCs w:val="22"/>
        </w:rPr>
        <w:t>(</w:t>
      </w:r>
      <w:proofErr w:type="spellStart"/>
      <w:r w:rsidRPr="002D3ADB">
        <w:rPr>
          <w:rFonts w:cs="Arial"/>
          <w:b/>
          <w:bCs/>
          <w:szCs w:val="22"/>
        </w:rPr>
        <w:t>ii</w:t>
      </w:r>
      <w:proofErr w:type="spellEnd"/>
      <w:r w:rsidRPr="002D3ADB">
        <w:rPr>
          <w:rFonts w:cs="Arial"/>
          <w:b/>
          <w:bCs/>
          <w:szCs w:val="22"/>
        </w:rPr>
        <w:t>) Módulos complementares por fiscalização</w:t>
      </w:r>
      <w:r w:rsidR="005D4F09">
        <w:rPr>
          <w:rFonts w:cs="Arial"/>
          <w:szCs w:val="22"/>
        </w:rPr>
        <w:t xml:space="preserve">: </w:t>
      </w:r>
      <w:r w:rsidRPr="002D3ADB">
        <w:rPr>
          <w:rFonts w:cs="Arial"/>
          <w:szCs w:val="22"/>
        </w:rPr>
        <w:t xml:space="preserve">Perguntas específicas que não entram no cômputo do índice, mas subsidiam objetivos </w:t>
      </w:r>
      <w:r w:rsidR="00810A40">
        <w:rPr>
          <w:rFonts w:cs="Arial"/>
          <w:szCs w:val="22"/>
        </w:rPr>
        <w:t>específicos</w:t>
      </w:r>
      <w:r w:rsidRPr="002D3ADB">
        <w:rPr>
          <w:rFonts w:cs="Arial"/>
          <w:szCs w:val="22"/>
        </w:rPr>
        <w:t xml:space="preserve"> do trabalho.</w:t>
      </w:r>
    </w:p>
    <w:p w:rsidR="002D3ADB" w:rsidP="002D3ADB" w:rsidRDefault="002D3ADB" w14:paraId="0BE50892" w14:textId="77777777">
      <w:pPr>
        <w:spacing w:line="360" w:lineRule="auto"/>
        <w:ind w:firstLine="708"/>
        <w:jc w:val="both"/>
        <w:rPr>
          <w:rFonts w:cs="Arial"/>
          <w:szCs w:val="22"/>
        </w:rPr>
      </w:pPr>
      <w:r w:rsidRPr="002D3ADB">
        <w:rPr>
          <w:rFonts w:cs="Arial"/>
          <w:szCs w:val="22"/>
        </w:rPr>
        <w:t>Essa separação explícita melhora a leitura metodológica, evita confusão entre “o que compõe o índice” e “o que serve ao diagnóstico contextual”, e facilita a comunicação dos resultados.</w:t>
      </w:r>
    </w:p>
    <w:p w:rsidRPr="002D3ADB" w:rsidR="005D4F09" w:rsidP="002D3ADB" w:rsidRDefault="005D4F09" w14:paraId="02CF92F0" w14:textId="77777777">
      <w:pPr>
        <w:spacing w:line="360" w:lineRule="auto"/>
        <w:ind w:firstLine="708"/>
        <w:jc w:val="both"/>
        <w:rPr>
          <w:rFonts w:cs="Arial"/>
          <w:szCs w:val="22"/>
        </w:rPr>
      </w:pPr>
    </w:p>
    <w:p w:rsidRPr="002D3ADB" w:rsidR="002D3ADB" w:rsidP="005D4F09" w:rsidRDefault="002D3ADB" w14:paraId="6C8692EA" w14:textId="6F82C66E">
      <w:pPr>
        <w:spacing w:line="360" w:lineRule="auto"/>
        <w:jc w:val="both"/>
        <w:rPr>
          <w:rFonts w:cs="Arial"/>
          <w:b/>
          <w:bCs/>
          <w:szCs w:val="22"/>
        </w:rPr>
      </w:pPr>
      <w:r w:rsidRPr="002D3ADB">
        <w:rPr>
          <w:rFonts w:cs="Arial"/>
          <w:b/>
          <w:bCs/>
          <w:szCs w:val="22"/>
        </w:rPr>
        <w:t>Melhorar a robustez do dado sem alterar a lógica do índice</w:t>
      </w:r>
    </w:p>
    <w:p w:rsidRPr="002D3ADB" w:rsidR="002D3ADB" w:rsidP="002D3ADB" w:rsidRDefault="002D3ADB" w14:paraId="01BF1EF6" w14:textId="77777777">
      <w:pPr>
        <w:spacing w:line="360" w:lineRule="auto"/>
        <w:ind w:firstLine="708"/>
        <w:jc w:val="both"/>
        <w:rPr>
          <w:rFonts w:cs="Arial"/>
          <w:szCs w:val="22"/>
        </w:rPr>
      </w:pPr>
      <w:r w:rsidRPr="002D3ADB">
        <w:rPr>
          <w:rFonts w:cs="Arial"/>
          <w:szCs w:val="22"/>
        </w:rPr>
        <w:t xml:space="preserve">O principal problema identificado em 2023 não foi a estrutura do índice, mas a qualidade das respostas autodeclaradas. Assim, </w:t>
      </w:r>
      <w:r w:rsidRPr="002D3ADB">
        <w:rPr>
          <w:rFonts w:cs="Arial"/>
          <w:szCs w:val="22"/>
          <w:u w:val="single"/>
        </w:rPr>
        <w:t>os ajustes de 2026 devem buscar aumentar a consistência da coleta</w:t>
      </w:r>
      <w:r w:rsidRPr="002D3ADB">
        <w:rPr>
          <w:rFonts w:cs="Arial"/>
          <w:szCs w:val="22"/>
        </w:rPr>
        <w:t>, por exemplo, com:</w:t>
      </w:r>
    </w:p>
    <w:p w:rsidRPr="002D3ADB" w:rsidR="002D3ADB" w:rsidP="002D3ADB" w:rsidRDefault="002D3ADB" w14:paraId="1C1371E6" w14:textId="77777777">
      <w:pPr>
        <w:numPr>
          <w:ilvl w:val="0"/>
          <w:numId w:val="52"/>
        </w:numPr>
        <w:spacing w:line="360" w:lineRule="auto"/>
        <w:jc w:val="both"/>
        <w:rPr>
          <w:rFonts w:cs="Arial"/>
          <w:szCs w:val="22"/>
        </w:rPr>
      </w:pPr>
      <w:r w:rsidRPr="002D3ADB">
        <w:rPr>
          <w:rFonts w:cs="Arial"/>
          <w:szCs w:val="22"/>
        </w:rPr>
        <w:t>subitens confirmatórios mais objetivos;</w:t>
      </w:r>
    </w:p>
    <w:p w:rsidRPr="002D3ADB" w:rsidR="002D3ADB" w:rsidP="002D3ADB" w:rsidRDefault="002D3ADB" w14:paraId="310556AE" w14:textId="77777777">
      <w:pPr>
        <w:numPr>
          <w:ilvl w:val="0"/>
          <w:numId w:val="52"/>
        </w:numPr>
        <w:spacing w:line="360" w:lineRule="auto"/>
        <w:jc w:val="both"/>
        <w:rPr>
          <w:rFonts w:cs="Arial"/>
          <w:szCs w:val="22"/>
        </w:rPr>
      </w:pPr>
      <w:r w:rsidRPr="002D3ADB">
        <w:rPr>
          <w:rFonts w:cs="Arial"/>
          <w:szCs w:val="22"/>
        </w:rPr>
        <w:t>exemplos claros de evidências aceitáveis;</w:t>
      </w:r>
    </w:p>
    <w:p w:rsidRPr="002D3ADB" w:rsidR="002D3ADB" w:rsidP="002D3ADB" w:rsidRDefault="002D3ADB" w14:paraId="34DB1EB0" w14:textId="77777777">
      <w:pPr>
        <w:numPr>
          <w:ilvl w:val="0"/>
          <w:numId w:val="52"/>
        </w:numPr>
        <w:spacing w:line="360" w:lineRule="auto"/>
        <w:jc w:val="both"/>
        <w:rPr>
          <w:rFonts w:cs="Arial"/>
          <w:szCs w:val="22"/>
        </w:rPr>
      </w:pPr>
      <w:r w:rsidRPr="002D3ADB">
        <w:rPr>
          <w:rFonts w:cs="Arial"/>
          <w:szCs w:val="22"/>
        </w:rPr>
        <w:t>validações lógicas entre respostas;</w:t>
      </w:r>
    </w:p>
    <w:p w:rsidRPr="002D3ADB" w:rsidR="002D3ADB" w:rsidP="002D3ADB" w:rsidRDefault="002D3ADB" w14:paraId="553518BB" w14:textId="77777777">
      <w:pPr>
        <w:numPr>
          <w:ilvl w:val="0"/>
          <w:numId w:val="52"/>
        </w:numPr>
        <w:spacing w:line="360" w:lineRule="auto"/>
        <w:jc w:val="both"/>
        <w:rPr>
          <w:rFonts w:cs="Arial"/>
          <w:szCs w:val="22"/>
        </w:rPr>
      </w:pPr>
      <w:r w:rsidRPr="002D3ADB">
        <w:rPr>
          <w:rFonts w:cs="Arial"/>
          <w:szCs w:val="22"/>
        </w:rPr>
        <w:t>regras de coerência entre pergunta principal e subitens;</w:t>
      </w:r>
    </w:p>
    <w:p w:rsidRPr="002D3ADB" w:rsidR="002D3ADB" w:rsidP="002D3ADB" w:rsidRDefault="002D3ADB" w14:paraId="7102B31E" w14:textId="77777777">
      <w:pPr>
        <w:numPr>
          <w:ilvl w:val="0"/>
          <w:numId w:val="52"/>
        </w:numPr>
        <w:spacing w:line="360" w:lineRule="auto"/>
        <w:jc w:val="both"/>
        <w:rPr>
          <w:rFonts w:cs="Arial"/>
          <w:szCs w:val="22"/>
        </w:rPr>
      </w:pPr>
      <w:r w:rsidRPr="002D3ADB">
        <w:rPr>
          <w:rFonts w:cs="Arial"/>
          <w:szCs w:val="22"/>
        </w:rPr>
        <w:t>glossário mais preciso para reduzir interpretações divergentes.</w:t>
      </w:r>
    </w:p>
    <w:p w:rsidR="00741A23" w:rsidP="002D3ADB" w:rsidRDefault="00741A23" w14:paraId="52B4A30C" w14:textId="77777777">
      <w:pPr>
        <w:spacing w:line="360" w:lineRule="auto"/>
        <w:ind w:firstLine="708"/>
        <w:jc w:val="both"/>
        <w:rPr>
          <w:rFonts w:cs="Arial"/>
          <w:szCs w:val="22"/>
        </w:rPr>
      </w:pPr>
    </w:p>
    <w:p w:rsidR="002D3ADB" w:rsidP="002D3ADB" w:rsidRDefault="00741A23" w14:paraId="0F9E8967" w14:textId="6661D852">
      <w:pPr>
        <w:spacing w:line="360" w:lineRule="auto"/>
        <w:ind w:firstLine="708"/>
        <w:jc w:val="both"/>
        <w:rPr>
          <w:rFonts w:cs="Arial"/>
          <w:szCs w:val="22"/>
        </w:rPr>
      </w:pPr>
      <w:r w:rsidRPr="00741A23">
        <w:rPr>
          <w:rFonts w:cs="Arial"/>
          <w:szCs w:val="22"/>
        </w:rPr>
        <w:t>Os comentários dos auditados também apontam melhoria prática importante: em todas as questões críticas, deve-se considerar a possibilidade de combinar campo de texto explicativo com upload de documento, em vez de exigir apenas uma dessas modalidades. Isso tende a melhorar a compreensão da resposta e a reduzir ruído na análise.</w:t>
      </w:r>
    </w:p>
    <w:p w:rsidR="00F07ECB" w:rsidP="002D3ADB" w:rsidRDefault="00F07ECB" w14:paraId="780B2DF3" w14:textId="77777777">
      <w:pPr>
        <w:spacing w:line="360" w:lineRule="auto"/>
        <w:ind w:firstLine="708"/>
        <w:jc w:val="both"/>
        <w:rPr>
          <w:rFonts w:cs="Arial"/>
          <w:szCs w:val="22"/>
        </w:rPr>
      </w:pPr>
    </w:p>
    <w:p w:rsidRPr="007358CE" w:rsidR="007358CE" w:rsidP="007358CE" w:rsidRDefault="007358CE" w14:paraId="4508B480" w14:textId="74B8FE78">
      <w:pPr>
        <w:spacing w:line="360" w:lineRule="auto"/>
        <w:jc w:val="both"/>
        <w:rPr>
          <w:rFonts w:cs="Arial"/>
          <w:b/>
          <w:bCs/>
          <w:szCs w:val="22"/>
        </w:rPr>
      </w:pPr>
      <w:r w:rsidRPr="007358CE">
        <w:rPr>
          <w:rFonts w:cs="Arial"/>
          <w:b/>
          <w:bCs/>
          <w:szCs w:val="22"/>
        </w:rPr>
        <w:t>Aprimorar a experiência de preenchimento</w:t>
      </w:r>
    </w:p>
    <w:p w:rsidRPr="007358CE" w:rsidR="007358CE" w:rsidP="007358CE" w:rsidRDefault="007358CE" w14:paraId="7A0161B2" w14:textId="77777777">
      <w:pPr>
        <w:spacing w:line="360" w:lineRule="auto"/>
        <w:ind w:firstLine="708"/>
        <w:jc w:val="both"/>
        <w:rPr>
          <w:rFonts w:cs="Arial"/>
          <w:szCs w:val="22"/>
        </w:rPr>
      </w:pPr>
      <w:r w:rsidRPr="007358CE">
        <w:rPr>
          <w:rFonts w:cs="Arial"/>
          <w:szCs w:val="22"/>
        </w:rPr>
        <w:t>Os comentários mostram de forma consistente que o instrumento foi percebido como útil, mas operacionalmente pesado. Por isso, o iGovTI 2026 deve considerar melhorias na experiência de resposta, como:</w:t>
      </w:r>
    </w:p>
    <w:p w:rsidRPr="007358CE" w:rsidR="007358CE" w:rsidP="007358CE" w:rsidRDefault="007358CE" w14:paraId="220DE9A5" w14:textId="77777777">
      <w:pPr>
        <w:numPr>
          <w:ilvl w:val="0"/>
          <w:numId w:val="58"/>
        </w:numPr>
        <w:spacing w:line="360" w:lineRule="auto"/>
        <w:jc w:val="both"/>
        <w:rPr>
          <w:rFonts w:cs="Arial"/>
          <w:szCs w:val="22"/>
        </w:rPr>
      </w:pPr>
      <w:r w:rsidRPr="007358CE">
        <w:rPr>
          <w:rFonts w:cs="Arial"/>
          <w:szCs w:val="22"/>
        </w:rPr>
        <w:t>prazo mais compatível com a complexidade e interdisciplinaridade das perguntas;</w:t>
      </w:r>
    </w:p>
    <w:p w:rsidRPr="007358CE" w:rsidR="007358CE" w:rsidP="007358CE" w:rsidRDefault="007358CE" w14:paraId="0AC91BB6" w14:textId="77777777">
      <w:pPr>
        <w:numPr>
          <w:ilvl w:val="0"/>
          <w:numId w:val="58"/>
        </w:numPr>
        <w:spacing w:line="360" w:lineRule="auto"/>
        <w:jc w:val="both"/>
        <w:rPr>
          <w:rFonts w:cs="Arial"/>
          <w:szCs w:val="22"/>
        </w:rPr>
      </w:pPr>
      <w:r w:rsidRPr="007358CE">
        <w:rPr>
          <w:rFonts w:cs="Arial"/>
          <w:szCs w:val="22"/>
        </w:rPr>
        <w:t xml:space="preserve">possibilidade de </w:t>
      </w:r>
      <w:r w:rsidRPr="007358CE">
        <w:rPr>
          <w:rFonts w:cs="Arial"/>
          <w:b/>
          <w:bCs/>
          <w:szCs w:val="22"/>
        </w:rPr>
        <w:t>salvamento parcial</w:t>
      </w:r>
      <w:r w:rsidRPr="007358CE">
        <w:rPr>
          <w:rFonts w:cs="Arial"/>
          <w:szCs w:val="22"/>
        </w:rPr>
        <w:t xml:space="preserve"> e continuação posterior;</w:t>
      </w:r>
    </w:p>
    <w:p w:rsidRPr="007358CE" w:rsidR="007358CE" w:rsidP="007358CE" w:rsidRDefault="007358CE" w14:paraId="6038D481" w14:textId="77777777">
      <w:pPr>
        <w:numPr>
          <w:ilvl w:val="0"/>
          <w:numId w:val="58"/>
        </w:numPr>
        <w:spacing w:line="360" w:lineRule="auto"/>
        <w:jc w:val="both"/>
        <w:rPr>
          <w:rFonts w:cs="Arial"/>
          <w:szCs w:val="22"/>
        </w:rPr>
      </w:pPr>
      <w:r w:rsidRPr="007358CE">
        <w:rPr>
          <w:rFonts w:cs="Arial"/>
          <w:szCs w:val="22"/>
        </w:rPr>
        <w:t>eventualmente, divisão do preenchimento em etapas ou blocos;</w:t>
      </w:r>
    </w:p>
    <w:p w:rsidRPr="007358CE" w:rsidR="007358CE" w:rsidP="007358CE" w:rsidRDefault="007358CE" w14:paraId="7F3D4C53" w14:textId="77777777">
      <w:pPr>
        <w:numPr>
          <w:ilvl w:val="0"/>
          <w:numId w:val="58"/>
        </w:numPr>
        <w:spacing w:line="360" w:lineRule="auto"/>
        <w:jc w:val="both"/>
        <w:rPr>
          <w:rFonts w:cs="Arial"/>
          <w:szCs w:val="22"/>
        </w:rPr>
      </w:pPr>
      <w:r w:rsidRPr="007358CE">
        <w:rPr>
          <w:rFonts w:cs="Arial"/>
          <w:szCs w:val="22"/>
        </w:rPr>
        <w:t>melhor adequação das alternativas às realidades organizacionais muito distintas;</w:t>
      </w:r>
    </w:p>
    <w:p w:rsidRPr="007358CE" w:rsidR="007358CE" w:rsidP="007358CE" w:rsidRDefault="007358CE" w14:paraId="6DA608D5" w14:textId="77777777">
      <w:pPr>
        <w:numPr>
          <w:ilvl w:val="0"/>
          <w:numId w:val="58"/>
        </w:numPr>
        <w:spacing w:line="360" w:lineRule="auto"/>
        <w:jc w:val="both"/>
        <w:rPr>
          <w:rFonts w:cs="Arial"/>
          <w:szCs w:val="22"/>
        </w:rPr>
      </w:pPr>
      <w:r w:rsidRPr="007358CE">
        <w:rPr>
          <w:rFonts w:cs="Arial"/>
          <w:szCs w:val="22"/>
        </w:rPr>
        <w:t>possibilidade de complementação textual mais ampla em itens sensíveis.</w:t>
      </w:r>
    </w:p>
    <w:p w:rsidRPr="007358CE" w:rsidR="007358CE" w:rsidP="007358CE" w:rsidRDefault="007358CE" w14:paraId="15ADB6D0" w14:textId="77777777">
      <w:pPr>
        <w:spacing w:line="360" w:lineRule="auto"/>
        <w:ind w:firstLine="708"/>
        <w:jc w:val="both"/>
        <w:rPr>
          <w:rFonts w:cs="Arial"/>
          <w:szCs w:val="22"/>
        </w:rPr>
      </w:pPr>
      <w:r w:rsidRPr="007358CE">
        <w:rPr>
          <w:rFonts w:cs="Arial"/>
          <w:szCs w:val="22"/>
        </w:rPr>
        <w:t>Esses ajustes não alteram o conteúdo do índice, mas podem elevar significativamente a qualidade do dado e reduzir a resistência operacional ao preenchimento.</w:t>
      </w:r>
    </w:p>
    <w:p w:rsidRPr="002D3ADB" w:rsidR="007358CE" w:rsidP="002D3ADB" w:rsidRDefault="007358CE" w14:paraId="2709B418" w14:textId="77777777">
      <w:pPr>
        <w:spacing w:line="360" w:lineRule="auto"/>
        <w:ind w:firstLine="708"/>
        <w:jc w:val="both"/>
        <w:rPr>
          <w:rFonts w:cs="Arial"/>
          <w:szCs w:val="22"/>
        </w:rPr>
      </w:pPr>
    </w:p>
    <w:p w:rsidRPr="002D3ADB" w:rsidR="002D3ADB" w:rsidP="005D4F09" w:rsidRDefault="002D3ADB" w14:paraId="5009DF80" w14:textId="70062EE5">
      <w:pPr>
        <w:spacing w:line="360" w:lineRule="auto"/>
        <w:jc w:val="both"/>
        <w:rPr>
          <w:rFonts w:cs="Arial"/>
          <w:b/>
          <w:bCs/>
          <w:szCs w:val="22"/>
        </w:rPr>
      </w:pPr>
      <w:r w:rsidRPr="002D3ADB">
        <w:rPr>
          <w:rFonts w:cs="Arial"/>
          <w:b/>
          <w:bCs/>
          <w:szCs w:val="22"/>
        </w:rPr>
        <w:t>Dar maior visibilidade analítica aos módulos complementares</w:t>
      </w:r>
    </w:p>
    <w:p w:rsidRPr="002D3ADB" w:rsidR="002D3ADB" w:rsidP="002D3ADB" w:rsidRDefault="002D3ADB" w14:paraId="25D01C5A" w14:textId="77777777">
      <w:pPr>
        <w:spacing w:line="360" w:lineRule="auto"/>
        <w:ind w:firstLine="708"/>
        <w:jc w:val="both"/>
        <w:rPr>
          <w:rFonts w:cs="Arial"/>
          <w:szCs w:val="22"/>
        </w:rPr>
      </w:pPr>
      <w:r w:rsidRPr="002D3ADB">
        <w:rPr>
          <w:rFonts w:cs="Arial"/>
          <w:szCs w:val="22"/>
        </w:rPr>
        <w:t>Em 2023, os itens adicionais foram relevantes para os achados, mas sua posição no modelo poderia ser mais clara. Para 2026, vale prever que esses módulos gerem produtos próprios, por exemplo:</w:t>
      </w:r>
    </w:p>
    <w:p w:rsidRPr="002D3ADB" w:rsidR="002D3ADB" w:rsidP="002D3ADB" w:rsidRDefault="002D3ADB" w14:paraId="3BDC5CEC" w14:textId="77777777">
      <w:pPr>
        <w:numPr>
          <w:ilvl w:val="0"/>
          <w:numId w:val="53"/>
        </w:numPr>
        <w:spacing w:line="360" w:lineRule="auto"/>
        <w:jc w:val="both"/>
        <w:rPr>
          <w:rFonts w:cs="Arial"/>
          <w:szCs w:val="22"/>
        </w:rPr>
      </w:pPr>
      <w:r w:rsidRPr="002D3ADB">
        <w:rPr>
          <w:rFonts w:cs="Arial"/>
          <w:szCs w:val="22"/>
        </w:rPr>
        <w:t>painel de conformidade externa e governo digital para municípios;</w:t>
      </w:r>
    </w:p>
    <w:p w:rsidRPr="002D3ADB" w:rsidR="002D3ADB" w:rsidP="002D3ADB" w:rsidRDefault="002D3ADB" w14:paraId="0FE5945E" w14:textId="77777777">
      <w:pPr>
        <w:numPr>
          <w:ilvl w:val="0"/>
          <w:numId w:val="53"/>
        </w:numPr>
        <w:spacing w:line="360" w:lineRule="auto"/>
        <w:jc w:val="both"/>
        <w:rPr>
          <w:rFonts w:cs="Arial"/>
          <w:szCs w:val="22"/>
        </w:rPr>
      </w:pPr>
      <w:r w:rsidRPr="002D3ADB">
        <w:rPr>
          <w:rFonts w:cs="Arial"/>
          <w:szCs w:val="22"/>
        </w:rPr>
        <w:t>painel de aderência ao SETIC e percepção sobre o sistema para a esfera estadual.</w:t>
      </w:r>
    </w:p>
    <w:p w:rsidR="006C03AF" w:rsidP="002D3ADB" w:rsidRDefault="006C03AF" w14:paraId="7F0A3C2C" w14:textId="77777777">
      <w:pPr>
        <w:spacing w:line="360" w:lineRule="auto"/>
        <w:ind w:firstLine="708"/>
        <w:jc w:val="both"/>
        <w:rPr>
          <w:rFonts w:cs="Arial"/>
          <w:szCs w:val="22"/>
        </w:rPr>
      </w:pPr>
    </w:p>
    <w:p w:rsidRPr="002D3ADB" w:rsidR="002D3ADB" w:rsidP="002D3ADB" w:rsidRDefault="002D3ADB" w14:paraId="75798A53" w14:textId="4C22AEB4">
      <w:pPr>
        <w:spacing w:line="360" w:lineRule="auto"/>
        <w:ind w:firstLine="708"/>
        <w:jc w:val="both"/>
        <w:rPr>
          <w:rFonts w:cs="Arial"/>
          <w:szCs w:val="22"/>
        </w:rPr>
      </w:pPr>
      <w:r w:rsidRPr="002D3ADB">
        <w:rPr>
          <w:rFonts w:cs="Arial"/>
          <w:szCs w:val="22"/>
        </w:rPr>
        <w:t>Com isso, o relatório final passa</w:t>
      </w:r>
      <w:r w:rsidR="006C03AF">
        <w:rPr>
          <w:rFonts w:cs="Arial"/>
          <w:szCs w:val="22"/>
        </w:rPr>
        <w:t>ria</w:t>
      </w:r>
      <w:r w:rsidRPr="002D3ADB">
        <w:rPr>
          <w:rFonts w:cs="Arial"/>
          <w:szCs w:val="22"/>
        </w:rPr>
        <w:t xml:space="preserve"> a ter:</w:t>
      </w:r>
    </w:p>
    <w:p w:rsidRPr="002D3ADB" w:rsidR="002D3ADB" w:rsidP="002D3ADB" w:rsidRDefault="002D3ADB" w14:paraId="52BC8A7D" w14:textId="77777777">
      <w:pPr>
        <w:numPr>
          <w:ilvl w:val="0"/>
          <w:numId w:val="54"/>
        </w:numPr>
        <w:spacing w:line="360" w:lineRule="auto"/>
        <w:jc w:val="both"/>
        <w:rPr>
          <w:rFonts w:cs="Arial"/>
          <w:szCs w:val="22"/>
        </w:rPr>
      </w:pPr>
      <w:r w:rsidRPr="002D3ADB">
        <w:rPr>
          <w:rFonts w:cs="Arial"/>
          <w:szCs w:val="22"/>
        </w:rPr>
        <w:t>um índice central comparável de maturidade em governança e gestão de TI;</w:t>
      </w:r>
    </w:p>
    <w:p w:rsidRPr="002D3ADB" w:rsidR="002D3ADB" w:rsidP="002D3ADB" w:rsidRDefault="002D3ADB" w14:paraId="2619AC76" w14:textId="77777777">
      <w:pPr>
        <w:numPr>
          <w:ilvl w:val="0"/>
          <w:numId w:val="54"/>
        </w:numPr>
        <w:spacing w:line="360" w:lineRule="auto"/>
        <w:jc w:val="both"/>
        <w:rPr>
          <w:rFonts w:cs="Arial"/>
          <w:szCs w:val="22"/>
        </w:rPr>
      </w:pPr>
      <w:r w:rsidRPr="002D3ADB">
        <w:rPr>
          <w:rFonts w:cs="Arial"/>
          <w:szCs w:val="22"/>
        </w:rPr>
        <w:t>e um ou mais painéis temáticos complementares, voltados a exigências normativas ou características específicas do universo fiscalizado.</w:t>
      </w:r>
    </w:p>
    <w:p w:rsidRPr="005D4F09" w:rsidR="002D3ADB" w:rsidP="002D3ADB" w:rsidRDefault="002D3ADB" w14:paraId="41F9F68C" w14:textId="77777777">
      <w:pPr>
        <w:spacing w:line="360" w:lineRule="auto"/>
        <w:ind w:firstLine="708"/>
        <w:jc w:val="both"/>
        <w:rPr>
          <w:rFonts w:cs="Arial"/>
          <w:szCs w:val="22"/>
        </w:rPr>
      </w:pPr>
      <w:r w:rsidRPr="002D3ADB">
        <w:rPr>
          <w:rFonts w:cs="Arial"/>
          <w:szCs w:val="22"/>
        </w:rPr>
        <w:t>Isso aumenta a utilidade gerencial do trabalho sem contaminar a comparabilidade do índice.</w:t>
      </w:r>
    </w:p>
    <w:p w:rsidR="00447079" w:rsidP="00447079" w:rsidRDefault="00447079" w14:paraId="34A5FD90" w14:textId="77777777">
      <w:pPr>
        <w:spacing w:line="360" w:lineRule="auto"/>
        <w:jc w:val="both"/>
        <w:rPr>
          <w:rFonts w:cs="Arial"/>
          <w:b/>
          <w:bCs/>
          <w:szCs w:val="22"/>
        </w:rPr>
      </w:pPr>
    </w:p>
    <w:p w:rsidRPr="00A65253" w:rsidR="00447079" w:rsidP="00447079" w:rsidRDefault="00447079" w14:paraId="5EFD441E" w14:textId="77777777">
      <w:pPr>
        <w:spacing w:line="360" w:lineRule="auto"/>
        <w:jc w:val="both"/>
        <w:rPr>
          <w:rFonts w:cs="Arial"/>
          <w:b/>
          <w:bCs/>
          <w:szCs w:val="22"/>
        </w:rPr>
      </w:pPr>
      <w:r w:rsidRPr="00A65253">
        <w:rPr>
          <w:rFonts w:cs="Arial"/>
          <w:b/>
          <w:bCs/>
          <w:szCs w:val="22"/>
        </w:rPr>
        <w:t>Reforçar o caráter orientativo e pedagógico do instrumento</w:t>
      </w:r>
    </w:p>
    <w:p w:rsidRPr="00A65253" w:rsidR="00447079" w:rsidP="00447079" w:rsidRDefault="00447079" w14:paraId="352B25B1" w14:textId="77777777">
      <w:pPr>
        <w:spacing w:line="360" w:lineRule="auto"/>
        <w:ind w:firstLine="708"/>
        <w:jc w:val="both"/>
        <w:rPr>
          <w:rFonts w:cs="Arial"/>
          <w:szCs w:val="22"/>
        </w:rPr>
      </w:pPr>
      <w:r w:rsidRPr="00A65253">
        <w:rPr>
          <w:rFonts w:cs="Arial"/>
          <w:szCs w:val="22"/>
        </w:rPr>
        <w:t>Os comentários também revelam uma demanda clara por orientação prévia, capacitação e maior clareza sobre o que o Tribunal espera encontrar. Em alguns casos, os auditados chegaram a sugerir que o TCE-RJ apresentasse uma estrutura mínima de governança e gestão de TI ou promovesse encontros prévios com áreas envolvidas.</w:t>
      </w:r>
    </w:p>
    <w:p w:rsidRPr="00A65253" w:rsidR="00447079" w:rsidP="00447079" w:rsidRDefault="00447079" w14:paraId="5351B544" w14:textId="77777777">
      <w:pPr>
        <w:spacing w:line="360" w:lineRule="auto"/>
        <w:ind w:firstLine="708"/>
        <w:jc w:val="both"/>
        <w:rPr>
          <w:rFonts w:cs="Arial"/>
          <w:szCs w:val="22"/>
        </w:rPr>
      </w:pPr>
      <w:r w:rsidRPr="00A65253">
        <w:rPr>
          <w:rFonts w:cs="Arial"/>
          <w:szCs w:val="22"/>
        </w:rPr>
        <w:t>Para 2026, isso sugere:</w:t>
      </w:r>
    </w:p>
    <w:p w:rsidRPr="00A65253" w:rsidR="00447079" w:rsidP="00447079" w:rsidRDefault="00447079" w14:paraId="00A3D3DD" w14:textId="77777777">
      <w:pPr>
        <w:numPr>
          <w:ilvl w:val="0"/>
          <w:numId w:val="59"/>
        </w:numPr>
        <w:spacing w:line="360" w:lineRule="auto"/>
        <w:jc w:val="both"/>
        <w:rPr>
          <w:rFonts w:cs="Arial"/>
          <w:szCs w:val="22"/>
        </w:rPr>
      </w:pPr>
      <w:r w:rsidRPr="00A65253">
        <w:rPr>
          <w:rFonts w:cs="Arial"/>
          <w:szCs w:val="22"/>
        </w:rPr>
        <w:t>guia de evidências mínimas por questão;</w:t>
      </w:r>
    </w:p>
    <w:p w:rsidRPr="00A65253" w:rsidR="00447079" w:rsidP="00447079" w:rsidRDefault="00447079" w14:paraId="280376D1" w14:textId="77777777">
      <w:pPr>
        <w:numPr>
          <w:ilvl w:val="0"/>
          <w:numId w:val="59"/>
        </w:numPr>
        <w:spacing w:line="360" w:lineRule="auto"/>
        <w:jc w:val="both"/>
        <w:rPr>
          <w:rFonts w:cs="Arial"/>
          <w:szCs w:val="22"/>
        </w:rPr>
      </w:pPr>
      <w:r w:rsidRPr="00A65253">
        <w:rPr>
          <w:rFonts w:cs="Arial"/>
          <w:szCs w:val="22"/>
        </w:rPr>
        <w:t>orientações prévias ao preenchimento;</w:t>
      </w:r>
    </w:p>
    <w:p w:rsidRPr="00A65253" w:rsidR="00447079" w:rsidP="00447079" w:rsidRDefault="00447079" w14:paraId="27F1E5E1" w14:textId="77777777">
      <w:pPr>
        <w:numPr>
          <w:ilvl w:val="0"/>
          <w:numId w:val="59"/>
        </w:numPr>
        <w:spacing w:line="360" w:lineRule="auto"/>
        <w:jc w:val="both"/>
        <w:rPr>
          <w:rFonts w:cs="Arial"/>
          <w:szCs w:val="22"/>
        </w:rPr>
      </w:pPr>
      <w:r w:rsidRPr="00A65253">
        <w:rPr>
          <w:rFonts w:cs="Arial"/>
          <w:szCs w:val="22"/>
        </w:rPr>
        <w:t>reforço do glossário;</w:t>
      </w:r>
    </w:p>
    <w:p w:rsidRPr="00A65253" w:rsidR="00447079" w:rsidP="00447079" w:rsidRDefault="00447079" w14:paraId="060C9F54" w14:textId="77777777">
      <w:pPr>
        <w:numPr>
          <w:ilvl w:val="0"/>
          <w:numId w:val="59"/>
        </w:numPr>
        <w:spacing w:line="360" w:lineRule="auto"/>
        <w:jc w:val="both"/>
        <w:rPr>
          <w:rFonts w:cs="Arial"/>
          <w:szCs w:val="22"/>
        </w:rPr>
      </w:pPr>
      <w:r w:rsidRPr="00A65253">
        <w:rPr>
          <w:rFonts w:cs="Arial"/>
          <w:szCs w:val="22"/>
        </w:rPr>
        <w:t>estímulo para que o ponto focal de TI envolva, desde o início, áreas como RH, jurídico, administração e controle interno.</w:t>
      </w:r>
    </w:p>
    <w:p w:rsidR="00447079" w:rsidP="00447079" w:rsidRDefault="00447079" w14:paraId="2D490649" w14:textId="77777777">
      <w:pPr>
        <w:spacing w:line="360" w:lineRule="auto"/>
        <w:ind w:firstLine="708"/>
        <w:jc w:val="both"/>
        <w:rPr>
          <w:rFonts w:cs="Arial"/>
          <w:szCs w:val="22"/>
        </w:rPr>
      </w:pPr>
    </w:p>
    <w:p w:rsidRPr="00A65253" w:rsidR="00447079" w:rsidP="00447079" w:rsidRDefault="00447079" w14:paraId="6582F985" w14:textId="77777777">
      <w:pPr>
        <w:spacing w:line="360" w:lineRule="auto"/>
        <w:ind w:firstLine="708"/>
        <w:jc w:val="both"/>
        <w:rPr>
          <w:rFonts w:cs="Arial"/>
          <w:szCs w:val="22"/>
        </w:rPr>
      </w:pPr>
      <w:r w:rsidRPr="00A65253">
        <w:rPr>
          <w:rFonts w:cs="Arial"/>
          <w:szCs w:val="22"/>
        </w:rPr>
        <w:t>Esse aperfeiçoamento é coerente com o caráter indutor do iGovTI: não basta medir; é preciso também orientar a melhoria.</w:t>
      </w:r>
    </w:p>
    <w:p w:rsidRPr="002D3ADB" w:rsidR="005D4F09" w:rsidP="00447079" w:rsidRDefault="005D4F09" w14:paraId="55AA1BE4" w14:textId="77777777">
      <w:pPr>
        <w:spacing w:line="360" w:lineRule="auto"/>
        <w:jc w:val="both"/>
        <w:rPr>
          <w:rFonts w:cs="Arial"/>
          <w:szCs w:val="22"/>
        </w:rPr>
      </w:pPr>
    </w:p>
    <w:p w:rsidRPr="002D3ADB" w:rsidR="002D3ADB" w:rsidP="005D4F09" w:rsidRDefault="002D3ADB" w14:paraId="2D741DDF" w14:textId="149B3BCD">
      <w:pPr>
        <w:spacing w:line="360" w:lineRule="auto"/>
        <w:jc w:val="both"/>
        <w:rPr>
          <w:rFonts w:cs="Arial"/>
          <w:b/>
          <w:bCs/>
          <w:szCs w:val="22"/>
        </w:rPr>
      </w:pPr>
      <w:r w:rsidRPr="002D3ADB">
        <w:rPr>
          <w:rFonts w:cs="Arial"/>
          <w:b/>
          <w:bCs/>
          <w:szCs w:val="22"/>
        </w:rPr>
        <w:t>Reforçar os itens de maior poder explicativo</w:t>
      </w:r>
    </w:p>
    <w:p w:rsidRPr="002D3ADB" w:rsidR="002D3ADB" w:rsidP="002D3ADB" w:rsidRDefault="002D3ADB" w14:paraId="5AAAB2A7" w14:textId="77777777">
      <w:pPr>
        <w:spacing w:line="360" w:lineRule="auto"/>
        <w:ind w:firstLine="708"/>
        <w:jc w:val="both"/>
        <w:rPr>
          <w:rFonts w:cs="Arial"/>
          <w:szCs w:val="22"/>
        </w:rPr>
      </w:pPr>
      <w:r w:rsidRPr="002D3ADB">
        <w:rPr>
          <w:rFonts w:cs="Arial"/>
          <w:szCs w:val="22"/>
        </w:rPr>
        <w:t>A experiência de 2023 mostrou que as maiores fragilidades se concentraram nos elementos mais estruturantes da governança e da gestão. Por isso, em 2026, esses itens devem receber atenção especial na redação, nos subitens e nas evidências mínimas exigidas:</w:t>
      </w:r>
    </w:p>
    <w:p w:rsidRPr="002D3ADB" w:rsidR="002D3ADB" w:rsidP="002D3ADB" w:rsidRDefault="002D3ADB" w14:paraId="619484D0" w14:textId="77777777">
      <w:pPr>
        <w:numPr>
          <w:ilvl w:val="0"/>
          <w:numId w:val="55"/>
        </w:numPr>
        <w:spacing w:line="360" w:lineRule="auto"/>
        <w:jc w:val="both"/>
        <w:rPr>
          <w:rFonts w:cs="Arial"/>
          <w:szCs w:val="22"/>
        </w:rPr>
      </w:pPr>
      <w:r w:rsidRPr="002D3ADB">
        <w:rPr>
          <w:rFonts w:cs="Arial"/>
          <w:szCs w:val="22"/>
        </w:rPr>
        <w:t>instância decisória e monitoramento pela alta administração;</w:t>
      </w:r>
    </w:p>
    <w:p w:rsidRPr="002D3ADB" w:rsidR="002D3ADB" w:rsidP="002D3ADB" w:rsidRDefault="002D3ADB" w14:paraId="19B7F8BB" w14:textId="77777777">
      <w:pPr>
        <w:numPr>
          <w:ilvl w:val="0"/>
          <w:numId w:val="55"/>
        </w:numPr>
        <w:spacing w:line="360" w:lineRule="auto"/>
        <w:jc w:val="both"/>
        <w:rPr>
          <w:rFonts w:cs="Arial"/>
          <w:szCs w:val="22"/>
        </w:rPr>
      </w:pPr>
      <w:r w:rsidRPr="002D3ADB">
        <w:rPr>
          <w:rFonts w:cs="Arial"/>
          <w:szCs w:val="22"/>
        </w:rPr>
        <w:t>planejamento de TI com vínculo a orçamento e contratações;</w:t>
      </w:r>
    </w:p>
    <w:p w:rsidRPr="002D3ADB" w:rsidR="002D3ADB" w:rsidP="002D3ADB" w:rsidRDefault="002D3ADB" w14:paraId="41CDD741" w14:textId="77777777">
      <w:pPr>
        <w:numPr>
          <w:ilvl w:val="0"/>
          <w:numId w:val="55"/>
        </w:numPr>
        <w:spacing w:line="360" w:lineRule="auto"/>
        <w:jc w:val="both"/>
        <w:rPr>
          <w:rFonts w:cs="Arial"/>
          <w:szCs w:val="22"/>
        </w:rPr>
      </w:pPr>
      <w:r w:rsidRPr="002D3ADB">
        <w:rPr>
          <w:rFonts w:cs="Arial"/>
          <w:szCs w:val="22"/>
        </w:rPr>
        <w:t>gestão de riscos e continuidade;</w:t>
      </w:r>
    </w:p>
    <w:p w:rsidRPr="002D3ADB" w:rsidR="002D3ADB" w:rsidP="002D3ADB" w:rsidRDefault="002D3ADB" w14:paraId="10C7B0BB" w14:textId="77777777">
      <w:pPr>
        <w:numPr>
          <w:ilvl w:val="0"/>
          <w:numId w:val="55"/>
        </w:numPr>
        <w:spacing w:line="360" w:lineRule="auto"/>
        <w:jc w:val="both"/>
        <w:rPr>
          <w:rFonts w:cs="Arial"/>
          <w:szCs w:val="22"/>
        </w:rPr>
      </w:pPr>
      <w:r w:rsidRPr="002D3ADB">
        <w:rPr>
          <w:rFonts w:cs="Arial"/>
          <w:szCs w:val="22"/>
        </w:rPr>
        <w:t>estrutura mínima de pessoal e competências;</w:t>
      </w:r>
    </w:p>
    <w:p w:rsidRPr="002D3ADB" w:rsidR="002D3ADB" w:rsidP="002D3ADB" w:rsidRDefault="002D3ADB" w14:paraId="57D3C0C9" w14:textId="77777777">
      <w:pPr>
        <w:numPr>
          <w:ilvl w:val="0"/>
          <w:numId w:val="55"/>
        </w:numPr>
        <w:spacing w:line="360" w:lineRule="auto"/>
        <w:jc w:val="both"/>
        <w:rPr>
          <w:rFonts w:cs="Arial"/>
          <w:szCs w:val="22"/>
        </w:rPr>
      </w:pPr>
      <w:r w:rsidRPr="002D3ADB">
        <w:rPr>
          <w:rFonts w:cs="Arial"/>
          <w:szCs w:val="22"/>
        </w:rPr>
        <w:t>gestão de serviços e níveis de serviço;</w:t>
      </w:r>
    </w:p>
    <w:p w:rsidRPr="002D3ADB" w:rsidR="002D3ADB" w:rsidP="002D3ADB" w:rsidRDefault="002D3ADB" w14:paraId="7197CA77" w14:textId="77777777">
      <w:pPr>
        <w:numPr>
          <w:ilvl w:val="0"/>
          <w:numId w:val="55"/>
        </w:numPr>
        <w:spacing w:line="360" w:lineRule="auto"/>
        <w:jc w:val="both"/>
        <w:rPr>
          <w:rFonts w:cs="Arial"/>
          <w:szCs w:val="22"/>
        </w:rPr>
      </w:pPr>
      <w:r w:rsidRPr="002D3ADB">
        <w:rPr>
          <w:rFonts w:cs="Arial"/>
          <w:szCs w:val="22"/>
        </w:rPr>
        <w:t>segurança da informação.</w:t>
      </w:r>
    </w:p>
    <w:p w:rsidR="00A05CD8" w:rsidP="002D3ADB" w:rsidRDefault="00A05CD8" w14:paraId="0352F225" w14:textId="77777777">
      <w:pPr>
        <w:spacing w:line="360" w:lineRule="auto"/>
        <w:ind w:firstLine="708"/>
        <w:jc w:val="both"/>
        <w:rPr>
          <w:rFonts w:cs="Arial"/>
          <w:szCs w:val="22"/>
        </w:rPr>
      </w:pPr>
    </w:p>
    <w:p w:rsidRPr="00A05CD8" w:rsidR="002D3ADB" w:rsidP="002D3ADB" w:rsidRDefault="002D3ADB" w14:paraId="673F2333" w14:textId="62A23187">
      <w:pPr>
        <w:spacing w:line="360" w:lineRule="auto"/>
        <w:ind w:firstLine="708"/>
        <w:jc w:val="both"/>
        <w:rPr>
          <w:rFonts w:cs="Arial"/>
          <w:szCs w:val="22"/>
          <w:u w:val="single"/>
        </w:rPr>
      </w:pPr>
      <w:r w:rsidRPr="002D3ADB">
        <w:rPr>
          <w:rFonts w:cs="Arial"/>
          <w:szCs w:val="22"/>
          <w:u w:val="single"/>
        </w:rPr>
        <w:t>Esses são os itens com maior poder de explicação do resultado global e com maior potencial de indução de melhoria.</w:t>
      </w:r>
    </w:p>
    <w:p w:rsidRPr="002D3ADB" w:rsidR="00A05CD8" w:rsidP="002D3ADB" w:rsidRDefault="00A05CD8" w14:paraId="57B8ABC3" w14:textId="77777777">
      <w:pPr>
        <w:spacing w:line="360" w:lineRule="auto"/>
        <w:ind w:firstLine="708"/>
        <w:jc w:val="both"/>
        <w:rPr>
          <w:rFonts w:cs="Arial"/>
          <w:szCs w:val="22"/>
        </w:rPr>
      </w:pPr>
    </w:p>
    <w:p w:rsidRPr="002D3ADB" w:rsidR="002D3ADB" w:rsidP="005D4F09" w:rsidRDefault="002D3ADB" w14:paraId="7C3651FC" w14:textId="0555E1A4">
      <w:pPr>
        <w:spacing w:line="360" w:lineRule="auto"/>
        <w:jc w:val="both"/>
        <w:rPr>
          <w:rFonts w:cs="Arial"/>
          <w:b/>
          <w:bCs/>
          <w:szCs w:val="22"/>
        </w:rPr>
      </w:pPr>
      <w:r w:rsidRPr="002D3ADB">
        <w:rPr>
          <w:rFonts w:cs="Arial"/>
          <w:b/>
          <w:bCs/>
          <w:szCs w:val="22"/>
        </w:rPr>
        <w:t>Tornar a devolutiva mais aderente à arquitetura do instrumento</w:t>
      </w:r>
    </w:p>
    <w:p w:rsidRPr="002D3ADB" w:rsidR="002D3ADB" w:rsidP="002D3ADB" w:rsidRDefault="002D3ADB" w14:paraId="4AF4376B" w14:textId="77777777">
      <w:pPr>
        <w:spacing w:line="360" w:lineRule="auto"/>
        <w:ind w:firstLine="708"/>
        <w:jc w:val="both"/>
        <w:rPr>
          <w:rFonts w:cs="Arial"/>
          <w:szCs w:val="22"/>
        </w:rPr>
      </w:pPr>
      <w:r w:rsidRPr="002D3ADB">
        <w:rPr>
          <w:rFonts w:cs="Arial"/>
          <w:szCs w:val="22"/>
        </w:rPr>
        <w:t>Por fim, a forma de apresentar os resultados pode refletir melhor essa estrutura em 2026. Uma alternativa promissora é que cada organização receba:</w:t>
      </w:r>
    </w:p>
    <w:p w:rsidRPr="002D3ADB" w:rsidR="002D3ADB" w:rsidP="002D3ADB" w:rsidRDefault="002D3ADB" w14:paraId="15FEDBEA" w14:textId="77777777">
      <w:pPr>
        <w:numPr>
          <w:ilvl w:val="0"/>
          <w:numId w:val="56"/>
        </w:numPr>
        <w:spacing w:line="360" w:lineRule="auto"/>
        <w:jc w:val="both"/>
        <w:rPr>
          <w:rFonts w:cs="Arial"/>
          <w:szCs w:val="22"/>
        </w:rPr>
      </w:pPr>
      <w:r w:rsidRPr="002D3ADB">
        <w:rPr>
          <w:rFonts w:cs="Arial"/>
          <w:szCs w:val="22"/>
        </w:rPr>
        <w:t>sua nota do iGovTI no núcleo comum;</w:t>
      </w:r>
    </w:p>
    <w:p w:rsidRPr="002D3ADB" w:rsidR="002D3ADB" w:rsidP="002D3ADB" w:rsidRDefault="002D3ADB" w14:paraId="6D4763E4" w14:textId="77777777">
      <w:pPr>
        <w:numPr>
          <w:ilvl w:val="0"/>
          <w:numId w:val="56"/>
        </w:numPr>
        <w:spacing w:line="360" w:lineRule="auto"/>
        <w:jc w:val="both"/>
        <w:rPr>
          <w:rFonts w:cs="Arial"/>
          <w:szCs w:val="22"/>
        </w:rPr>
      </w:pPr>
      <w:r w:rsidRPr="002D3ADB">
        <w:rPr>
          <w:rFonts w:cs="Arial"/>
          <w:szCs w:val="22"/>
        </w:rPr>
        <w:t>sua posição relativa frente a pares;</w:t>
      </w:r>
    </w:p>
    <w:p w:rsidRPr="002D3ADB" w:rsidR="002D3ADB" w:rsidP="002D3ADB" w:rsidRDefault="002D3ADB" w14:paraId="66D01165" w14:textId="77777777">
      <w:pPr>
        <w:numPr>
          <w:ilvl w:val="0"/>
          <w:numId w:val="56"/>
        </w:numPr>
        <w:spacing w:line="360" w:lineRule="auto"/>
        <w:jc w:val="both"/>
        <w:rPr>
          <w:rFonts w:cs="Arial"/>
          <w:szCs w:val="22"/>
        </w:rPr>
      </w:pPr>
      <w:r w:rsidRPr="002D3ADB">
        <w:rPr>
          <w:rFonts w:cs="Arial"/>
          <w:szCs w:val="22"/>
        </w:rPr>
        <w:t>e, separadamente, um diagnóstico dos módulos complementares pertinentes ao seu contexto.</w:t>
      </w:r>
    </w:p>
    <w:p w:rsidRPr="002D3ADB" w:rsidR="002D3ADB" w:rsidP="002D3ADB" w:rsidRDefault="002D3ADB" w14:paraId="57383B5D" w14:textId="77777777">
      <w:pPr>
        <w:spacing w:line="360" w:lineRule="auto"/>
        <w:ind w:firstLine="708"/>
        <w:jc w:val="both"/>
        <w:rPr>
          <w:rFonts w:cs="Arial"/>
          <w:szCs w:val="22"/>
        </w:rPr>
      </w:pPr>
      <w:r w:rsidRPr="002D3ADB">
        <w:rPr>
          <w:rFonts w:cs="Arial"/>
          <w:szCs w:val="22"/>
        </w:rPr>
        <w:t>Isso permite que o índice continue sendo usado como referência de maturidade, enquanto os módulos adicionais orientam ações corretivas ou de aperfeiçoamento específicas da fiscalização.</w:t>
      </w:r>
    </w:p>
    <w:p w:rsidRPr="002D3ADB" w:rsidR="002D3ADB" w:rsidP="005D4F09" w:rsidRDefault="005D4F09" w14:paraId="718502A1" w14:textId="4128D215">
      <w:pPr>
        <w:pStyle w:val="Ttulo2"/>
      </w:pPr>
      <w:r>
        <w:t xml:space="preserve">2.7.5. </w:t>
      </w:r>
      <w:r w:rsidRPr="002D3ADB" w:rsidR="002D3ADB">
        <w:t>Fechamento</w:t>
      </w:r>
    </w:p>
    <w:p w:rsidRPr="00C26755" w:rsidR="00C26755" w:rsidP="00C26755" w:rsidRDefault="00C26755" w14:paraId="2BE41BF6" w14:textId="643AF18E">
      <w:pPr>
        <w:spacing w:line="360" w:lineRule="auto"/>
        <w:ind w:firstLine="708"/>
        <w:jc w:val="both"/>
        <w:rPr>
          <w:rFonts w:cs="Arial"/>
          <w:szCs w:val="22"/>
        </w:rPr>
      </w:pPr>
      <w:r>
        <w:rPr>
          <w:rFonts w:cs="Arial"/>
          <w:szCs w:val="22"/>
        </w:rPr>
        <w:t xml:space="preserve">A análise da experiência de 2023 confirma a </w:t>
      </w:r>
      <w:r w:rsidRPr="00C26755">
        <w:rPr>
          <w:rFonts w:cs="Arial"/>
          <w:szCs w:val="22"/>
        </w:rPr>
        <w:t>utilidade e a legitimidade do instrumento</w:t>
      </w:r>
      <w:r>
        <w:rPr>
          <w:rFonts w:cs="Arial"/>
          <w:szCs w:val="22"/>
        </w:rPr>
        <w:t xml:space="preserve"> aplicado</w:t>
      </w:r>
      <w:r w:rsidRPr="00C26755">
        <w:rPr>
          <w:rFonts w:cs="Arial"/>
          <w:szCs w:val="22"/>
        </w:rPr>
        <w:t>, mas também deixam claro que o principal desafio para 2026 está em torná-lo mais proporcional, mais orientado e mais operacionalmente viável, sem perder comparabilidade.</w:t>
      </w:r>
    </w:p>
    <w:p w:rsidRPr="008D61F2" w:rsidR="008D61F2" w:rsidP="00C26755" w:rsidRDefault="00C26755" w14:paraId="30BA1B6E" w14:textId="348BA913">
      <w:pPr>
        <w:spacing w:line="360" w:lineRule="auto"/>
        <w:ind w:firstLine="708"/>
        <w:jc w:val="both"/>
        <w:rPr>
          <w:rFonts w:cs="Arial"/>
          <w:szCs w:val="22"/>
        </w:rPr>
      </w:pPr>
      <w:r w:rsidRPr="00C26755">
        <w:rPr>
          <w:rFonts w:cs="Arial"/>
          <w:szCs w:val="22"/>
        </w:rPr>
        <w:t>Assim, o caminho mais consistente é preservar o núcleo comum de governança e gestão de TI, explicitar formalmente a existência de módulos complementares não computados no índice, fortalecer os mecanismos de qualidade da resposta e aperfeiçoar a experiência de preenchimento. Isso tende a aumentar simultaneamente a clareza metodológica, a utilidade analítica e o poder indutor do iGovTI 2026.</w:t>
      </w:r>
    </w:p>
    <w:p w:rsidRPr="00FE1726" w:rsidR="002E6E1D" w:rsidP="00FE1726" w:rsidRDefault="002E6E1D" w14:paraId="3AED62DB" w14:textId="00F581CA">
      <w:pPr>
        <w:spacing w:line="360" w:lineRule="auto"/>
        <w:ind w:firstLine="708"/>
        <w:jc w:val="both"/>
        <w:rPr>
          <w:rFonts w:cs="Arial"/>
          <w:szCs w:val="22"/>
        </w:rPr>
      </w:pPr>
    </w:p>
    <w:p w:rsidR="00FE1726" w:rsidRDefault="00FE1726" w14:paraId="02074D4C" w14:textId="77777777">
      <w:pPr>
        <w:spacing w:after="200" w:line="276" w:lineRule="auto"/>
        <w:rPr>
          <w:rFonts w:asciiTheme="majorHAnsi" w:hAnsiTheme="majorHAnsi" w:eastAsiaTheme="majorEastAsia" w:cstheme="majorBidi"/>
          <w:b/>
          <w:bCs/>
          <w:color w:val="365F91" w:themeColor="accent1" w:themeShade="BF"/>
          <w:sz w:val="28"/>
          <w:szCs w:val="28"/>
        </w:rPr>
      </w:pPr>
      <w:r>
        <w:br w:type="page"/>
      </w:r>
    </w:p>
    <w:p w:rsidRPr="004F7713" w:rsidR="008C3398" w:rsidP="008C3398" w:rsidRDefault="008C3398" w14:paraId="776A890A" w14:textId="77777777">
      <w:pPr>
        <w:pStyle w:val="Ttulo1"/>
      </w:pPr>
      <w:r>
        <w:t xml:space="preserve">2.8. </w:t>
      </w:r>
      <w:r w:rsidRPr="00BB0139">
        <w:t>TCE-</w:t>
      </w:r>
      <w:r>
        <w:t>RJ – Trabalhos Antecedentes</w:t>
      </w:r>
    </w:p>
    <w:p w:rsidR="008C3398" w:rsidP="008C3398" w:rsidRDefault="008C3398" w14:paraId="4D183BEB" w14:textId="77777777">
      <w:pPr>
        <w:spacing w:line="360" w:lineRule="auto"/>
        <w:ind w:firstLine="708"/>
        <w:jc w:val="both"/>
        <w:rPr>
          <w:rFonts w:cs="Arial"/>
          <w:szCs w:val="22"/>
        </w:rPr>
      </w:pPr>
      <w:r w:rsidRPr="008D09B9">
        <w:rPr>
          <w:rFonts w:cs="Arial"/>
          <w:szCs w:val="22"/>
        </w:rPr>
        <w:t xml:space="preserve">Esta seção registra trabalhos recentes da CAD-TI que, embora não tenham por objeto direto a fiscalização iGovTI 2026, produziram evidências relevantes sobre fragilidades estruturais da governança e da gestão de TIC no Estado do Rio de Janeiro e, por isso, podem orientar a priorização de dimensões, práticas e itens do novo questionário. </w:t>
      </w:r>
    </w:p>
    <w:p w:rsidRPr="008D09B9" w:rsidR="008C3398" w:rsidP="008C3398" w:rsidRDefault="008C3398" w14:paraId="35BF86CE" w14:textId="77777777">
      <w:pPr>
        <w:spacing w:line="360" w:lineRule="auto"/>
        <w:ind w:firstLine="708"/>
        <w:jc w:val="both"/>
        <w:rPr>
          <w:rFonts w:cs="Arial"/>
          <w:szCs w:val="22"/>
        </w:rPr>
      </w:pPr>
      <w:r w:rsidRPr="008D09B9">
        <w:rPr>
          <w:rFonts w:cs="Arial"/>
          <w:szCs w:val="22"/>
        </w:rPr>
        <w:t xml:space="preserve">Em especial, destacam-se duas auditorias de 2025: a auditoria operacional sobre a eficiência do processo de contratação de objetos de TIC no âmbito do SETIC e a auditoria de conformidade sobre controles de segurança da informação e segurança cibernética na Administração Pública Estadual. </w:t>
      </w:r>
    </w:p>
    <w:p w:rsidR="008C3398" w:rsidP="008C3398" w:rsidRDefault="008C3398" w14:paraId="0FA35DE9" w14:textId="77777777">
      <w:pPr>
        <w:spacing w:line="360" w:lineRule="auto"/>
        <w:ind w:firstLine="708"/>
        <w:jc w:val="both"/>
        <w:rPr>
          <w:rFonts w:cs="Arial"/>
          <w:szCs w:val="22"/>
        </w:rPr>
      </w:pPr>
      <w:r w:rsidRPr="008D09B9">
        <w:rPr>
          <w:rFonts w:cs="Arial"/>
          <w:szCs w:val="22"/>
        </w:rPr>
        <w:t>A utilidade desses antecedentes para o iGovTI 2026 está no fato de que eles aprofundam, por meio de exames documentais, entrevistas, cruzamentos de dados, análise de evidências e achados</w:t>
      </w:r>
      <w:r>
        <w:rPr>
          <w:rFonts w:cs="Arial"/>
          <w:szCs w:val="22"/>
        </w:rPr>
        <w:t xml:space="preserve"> de</w:t>
      </w:r>
      <w:r w:rsidRPr="008D09B9">
        <w:rPr>
          <w:rFonts w:cs="Arial"/>
          <w:szCs w:val="22"/>
        </w:rPr>
        <w:t xml:space="preserve"> auditoria, temas que já haviam surgido nas aplicações do iGovTI em 2023, especialmente </w:t>
      </w:r>
      <w:r w:rsidRPr="008D09B9">
        <w:rPr>
          <w:rFonts w:cs="Arial"/>
          <w:szCs w:val="22"/>
          <w:u w:val="single"/>
        </w:rPr>
        <w:t>planejamento de TIC, governança das contratações, estrutura de pessoal, segurança da informação e capacidade de execução</w:t>
      </w:r>
      <w:r w:rsidRPr="008D09B9">
        <w:rPr>
          <w:rFonts w:cs="Arial"/>
          <w:szCs w:val="22"/>
        </w:rPr>
        <w:t xml:space="preserve">. </w:t>
      </w:r>
    </w:p>
    <w:p w:rsidR="008C3398" w:rsidP="008C3398" w:rsidRDefault="008C3398" w14:paraId="09567BA7" w14:textId="77777777">
      <w:pPr>
        <w:spacing w:line="360" w:lineRule="auto"/>
        <w:ind w:firstLine="708"/>
        <w:jc w:val="both"/>
        <w:rPr>
          <w:rFonts w:cs="Arial"/>
          <w:szCs w:val="22"/>
        </w:rPr>
      </w:pPr>
      <w:r w:rsidRPr="008D09B9">
        <w:rPr>
          <w:rFonts w:cs="Arial"/>
          <w:szCs w:val="22"/>
        </w:rPr>
        <w:t xml:space="preserve">Em outras palavras, esses trabalhos ajudam a identificar quais dimensões do iGovTI possuem maior poder explicativo e maior potencial de indução de melhorias. </w:t>
      </w:r>
    </w:p>
    <w:p w:rsidRPr="00791BE3" w:rsidR="008C3398" w:rsidP="008C3398" w:rsidRDefault="008C3398" w14:paraId="55D27E7F" w14:textId="77777777">
      <w:pPr>
        <w:pStyle w:val="Ttulo2"/>
      </w:pPr>
      <w:r w:rsidRPr="00791BE3">
        <w:t>Auditoria sobre contratações de TIC no âmbito do SETIC (Fiscalização 17/2025)</w:t>
      </w:r>
    </w:p>
    <w:p w:rsidRPr="00791BE3" w:rsidR="008C3398" w:rsidP="008C3398" w:rsidRDefault="008C3398" w14:paraId="074BBD42" w14:textId="77777777">
      <w:pPr>
        <w:spacing w:line="360" w:lineRule="auto"/>
        <w:ind w:firstLine="708"/>
        <w:jc w:val="both"/>
        <w:rPr>
          <w:rFonts w:cs="Arial"/>
          <w:szCs w:val="22"/>
        </w:rPr>
      </w:pPr>
      <w:r w:rsidRPr="00791BE3">
        <w:rPr>
          <w:rFonts w:cs="Arial"/>
          <w:szCs w:val="22"/>
        </w:rPr>
        <w:t xml:space="preserve">Em 2025, a CAD-TI realizou auditoria operacional, com contornos de conformidade, para avaliar a eficiência do processo de contratação de objetos de TIC no âmbito do SETIC, abrangendo 17 órgãos e entidades do Poder Executivo estadual, no período de 2021 a 2025. O trabalho foi motivado pela relevância estratégica do tema, pelo volume de recursos envolvidos — estimados em R$ 5,62 bilhões no período — e por fiscalizações anteriores que já apontavam fragilidades no planejamento e na governança de TIC da Administração Pública Estadual. </w:t>
      </w:r>
    </w:p>
    <w:p w:rsidRPr="00791BE3" w:rsidR="008C3398" w:rsidP="008C3398" w:rsidRDefault="008C3398" w14:paraId="7FA84EC3" w14:textId="77777777">
      <w:pPr>
        <w:spacing w:line="360" w:lineRule="auto"/>
        <w:ind w:firstLine="708"/>
        <w:jc w:val="both"/>
        <w:rPr>
          <w:rFonts w:cs="Arial"/>
          <w:szCs w:val="22"/>
        </w:rPr>
      </w:pPr>
      <w:r w:rsidRPr="00791BE3">
        <w:rPr>
          <w:rFonts w:cs="Arial"/>
          <w:szCs w:val="22"/>
        </w:rPr>
        <w:t xml:space="preserve">Os resultados mostraram que o principal problema do modelo de contratação de TIC no SETIC é a baixa maturidade do planejamento, com desconexão entre os planos estratégicos de TIC e os contratos efetivamente executados, além de baixa qualidade dos PCA-TIC, atuação meramente protocolar ou inexistente dos Comitês Permanentes do PEDTIC, ausência de PEDTIC em parte relevante das organizações, falta de padronização dos processos internos de contratação, artefatos de planejamento deficientes, barreiras à eficiência da centralização compulsória e baixa aderência das </w:t>
      </w:r>
      <w:proofErr w:type="spellStart"/>
      <w:r w:rsidRPr="00791BE3">
        <w:rPr>
          <w:rFonts w:cs="Arial"/>
          <w:szCs w:val="22"/>
        </w:rPr>
        <w:t>ARPs</w:t>
      </w:r>
      <w:proofErr w:type="spellEnd"/>
      <w:r w:rsidRPr="00791BE3">
        <w:rPr>
          <w:rFonts w:cs="Arial"/>
          <w:szCs w:val="22"/>
        </w:rPr>
        <w:t xml:space="preserve"> às necessidades reais dos órgãos. O relatório consolida esses problemas em 14 achados e 24 propostas de encaminhamento. </w:t>
      </w:r>
    </w:p>
    <w:p w:rsidRPr="00791BE3" w:rsidR="008C3398" w:rsidP="008C3398" w:rsidRDefault="008C3398" w14:paraId="76E27B1C" w14:textId="77777777">
      <w:pPr>
        <w:spacing w:line="360" w:lineRule="auto"/>
        <w:ind w:firstLine="708"/>
        <w:jc w:val="both"/>
        <w:rPr>
          <w:rFonts w:cs="Arial"/>
          <w:szCs w:val="22"/>
        </w:rPr>
      </w:pPr>
      <w:r w:rsidRPr="00791BE3">
        <w:rPr>
          <w:rFonts w:cs="Arial"/>
          <w:szCs w:val="22"/>
        </w:rPr>
        <w:t xml:space="preserve">Esse antecedente é especialmente relevante para o iGovTI 2026 porque mostra, com profundidade, que o simples fato de uma organização declarar possuir planejamento de TIC não é suficiente. O que se revelou crítico foi a qualidade do planejamento, sua conexão com </w:t>
      </w:r>
      <w:r w:rsidRPr="00791BE3">
        <w:rPr>
          <w:rFonts w:cs="Arial"/>
          <w:szCs w:val="22"/>
        </w:rPr>
        <w:t xml:space="preserve">orçamento e contratação, a participação efetiva da instância de governança e a utilização do planejamento como instrumento real de priorização e consolidação de demandas. O relatório chega a propor, entre outros encaminhamentos, a regulamentação do vínculo entre contratação, PEDTIC e PCA, a modernização do processo de planejamento, a exigência de reuniões formais dos comitês e o oferecimento contínuo de capacitação, modelos e guias pelo PRODERJ. </w:t>
      </w:r>
    </w:p>
    <w:p w:rsidRPr="00791BE3" w:rsidR="008C3398" w:rsidP="008C3398" w:rsidRDefault="008C3398" w14:paraId="6999CD24" w14:textId="77777777">
      <w:pPr>
        <w:spacing w:line="360" w:lineRule="auto"/>
        <w:ind w:firstLine="708"/>
        <w:jc w:val="both"/>
        <w:rPr>
          <w:rFonts w:cs="Arial"/>
          <w:szCs w:val="22"/>
        </w:rPr>
      </w:pPr>
      <w:r w:rsidRPr="00791BE3">
        <w:rPr>
          <w:rFonts w:cs="Arial"/>
          <w:szCs w:val="22"/>
        </w:rPr>
        <w:t xml:space="preserve">Dessa auditoria decorre uma lição importante para o iGovTI 2026: </w:t>
      </w:r>
      <w:r w:rsidRPr="00791BE3">
        <w:rPr>
          <w:rFonts w:cs="Arial"/>
          <w:b/>
          <w:bCs/>
          <w:szCs w:val="22"/>
        </w:rPr>
        <w:t>convém atribuir maior peso e melhor detalhamento aos itens ligados a planejamento de TIC, governança do planejamento, qualidade dos artefatos de contratação, participação de áreas de negócio e instâncias colegiadas, e vinculação entre plano, orçamento e execução contratual</w:t>
      </w:r>
      <w:r w:rsidRPr="00791BE3">
        <w:rPr>
          <w:rFonts w:cs="Arial"/>
          <w:szCs w:val="22"/>
        </w:rPr>
        <w:t xml:space="preserve">. Também é recomendável que o questionário diferencie melhor mera existência formal de PEDTIC/PCA-TIC de uso efetivo desses instrumentos como base para decisão e contratação. </w:t>
      </w:r>
    </w:p>
    <w:p w:rsidRPr="00791BE3" w:rsidR="008C3398" w:rsidP="008C3398" w:rsidRDefault="008C3398" w14:paraId="4C5FD48A" w14:textId="77777777">
      <w:pPr>
        <w:pStyle w:val="Ttulo2"/>
      </w:pPr>
      <w:r w:rsidRPr="00791BE3">
        <w:t>Auditoria de segurança da informação e segurança cibernética (Fiscalização 15/2025)</w:t>
      </w:r>
    </w:p>
    <w:p w:rsidRPr="00791BE3" w:rsidR="008C3398" w:rsidP="008C3398" w:rsidRDefault="008C3398" w14:paraId="136992A5" w14:textId="77777777">
      <w:pPr>
        <w:spacing w:line="360" w:lineRule="auto"/>
        <w:ind w:firstLine="708"/>
        <w:jc w:val="both"/>
        <w:rPr>
          <w:rFonts w:cs="Arial"/>
          <w:szCs w:val="22"/>
        </w:rPr>
      </w:pPr>
      <w:r w:rsidRPr="00791BE3">
        <w:rPr>
          <w:rFonts w:cs="Arial"/>
          <w:szCs w:val="22"/>
        </w:rPr>
        <w:t>Em 2025, a CAD-TI também realizou auditoria de conformidade, com contornos operacionais, para verificar a adoção de controles de segurança da informação e segurança cibernética nas organizações da Administração Pública Estadual. O trabalho abrangeu 36 organizações e utilizou questionário de autoavaliação, análise documental de evidências, verificação de planos de ação da fase anterior e consolidação comparativa por meio do Índice de Segurança Cibernética Básica (</w:t>
      </w:r>
      <w:proofErr w:type="spellStart"/>
      <w:r w:rsidRPr="00791BE3">
        <w:rPr>
          <w:rFonts w:cs="Arial"/>
          <w:szCs w:val="22"/>
        </w:rPr>
        <w:t>iSegCiber</w:t>
      </w:r>
      <w:proofErr w:type="spellEnd"/>
      <w:r w:rsidRPr="00791BE3">
        <w:rPr>
          <w:rFonts w:cs="Arial"/>
          <w:szCs w:val="22"/>
        </w:rPr>
        <w:t xml:space="preserve">). </w:t>
      </w:r>
    </w:p>
    <w:p w:rsidRPr="00791BE3" w:rsidR="008C3398" w:rsidP="008C3398" w:rsidRDefault="008C3398" w14:paraId="542B759E" w14:textId="77777777">
      <w:pPr>
        <w:spacing w:line="360" w:lineRule="auto"/>
        <w:ind w:firstLine="708"/>
        <w:jc w:val="both"/>
        <w:rPr>
          <w:rFonts w:cs="Arial"/>
          <w:szCs w:val="22"/>
        </w:rPr>
      </w:pPr>
      <w:r w:rsidRPr="00791BE3">
        <w:rPr>
          <w:rFonts w:cs="Arial"/>
          <w:szCs w:val="22"/>
        </w:rPr>
        <w:t xml:space="preserve">O relatório identificou um cenário de maturidade predominantemente incipiente: 63,9% das organizações ficaram nos níveis “Inexpressivo” ou “Inicial”, e apenas uma organização atingiu o nível “Aprimorado”. Além disso, na avaliação dos planos de ação da fase anterior, mais de dois terços dos encaminhamentos estavam apenas “Planejados” ou “Em Andamento”, e somente 14% haviam sido efetivamente atendidos. O trabalho registrou 9 achados em 29 situações encontradas, destacando, entre os problemas mais disseminados, insuficiência na gestão de vulnerabilidades, na gestão de logs, nas proteções de e-mail e navegador, nas defesas contra malware, na recuperação de dados, na infraestrutura de rede, no treinamento em segurança, na gestão de provedores e na resposta a incidentes. </w:t>
      </w:r>
    </w:p>
    <w:p w:rsidRPr="00791BE3" w:rsidR="008C3398" w:rsidP="008C3398" w:rsidRDefault="008C3398" w14:paraId="224C18A6" w14:textId="77777777">
      <w:pPr>
        <w:spacing w:line="360" w:lineRule="auto"/>
        <w:ind w:firstLine="708"/>
        <w:jc w:val="both"/>
        <w:rPr>
          <w:rFonts w:cs="Arial"/>
          <w:szCs w:val="22"/>
        </w:rPr>
      </w:pPr>
      <w:r w:rsidRPr="00791BE3">
        <w:rPr>
          <w:rFonts w:cs="Arial"/>
          <w:szCs w:val="22"/>
        </w:rPr>
        <w:t xml:space="preserve">Talvez a contribuição mais importante desse antecedente para o iGovTI 2026 esteja na análise dos fatores estruturantes. O relatório conclui que a estrutura de segurança da informação é o controle com maior correlação com o índice geral, demonstrando que comitês, políticas, normas e instâncias formais são fortes preditores do desempenho técnico das organizações. Também aponta uma inversão relevante: controles mais “comoditizados”, como proteções de e-mail e </w:t>
      </w:r>
      <w:proofErr w:type="spellStart"/>
      <w:r w:rsidRPr="00791BE3">
        <w:rPr>
          <w:rFonts w:cs="Arial"/>
          <w:i/>
          <w:iCs/>
          <w:szCs w:val="22"/>
        </w:rPr>
        <w:t>antimalware</w:t>
      </w:r>
      <w:proofErr w:type="spellEnd"/>
      <w:r w:rsidRPr="00791BE3">
        <w:rPr>
          <w:rFonts w:cs="Arial"/>
          <w:szCs w:val="22"/>
        </w:rPr>
        <w:t xml:space="preserve">, apresentaram notas superiores a controles de base, como inventário de ativos, inventário de software e proteção de dados, sugerindo investimento em ferramentas pontuais sem consolidação dos fundamentos. </w:t>
      </w:r>
    </w:p>
    <w:p w:rsidRPr="00791BE3" w:rsidR="008C3398" w:rsidP="008C3398" w:rsidRDefault="008C3398" w14:paraId="5C5A6182" w14:textId="77777777">
      <w:pPr>
        <w:spacing w:line="360" w:lineRule="auto"/>
        <w:ind w:firstLine="708"/>
        <w:jc w:val="both"/>
        <w:rPr>
          <w:rFonts w:cs="Arial"/>
          <w:szCs w:val="22"/>
        </w:rPr>
      </w:pPr>
      <w:r w:rsidRPr="00791BE3">
        <w:rPr>
          <w:rFonts w:cs="Arial"/>
          <w:szCs w:val="22"/>
        </w:rPr>
        <w:t xml:space="preserve">O relatório também registra que os principais obstáculos apontados pelos gestores foram escassez crítica de recursos humanos e financeiros, obsolescência tecnológica, dificuldade de retenção de talentos e necessidade de conciliar a operação diária com a formalização de processos. Ao mesmo tempo, a equipe recomenda priorizar controles fundamentais, como estrutura de segurança e inventários de ativos e softwares, por serem pré-requisitos para a eficácia dos demais controles. </w:t>
      </w:r>
    </w:p>
    <w:p w:rsidRPr="00791BE3" w:rsidR="008C3398" w:rsidP="008C3398" w:rsidRDefault="008C3398" w14:paraId="125BA3D4" w14:textId="77777777">
      <w:pPr>
        <w:spacing w:line="360" w:lineRule="auto"/>
        <w:ind w:firstLine="708"/>
        <w:jc w:val="both"/>
        <w:rPr>
          <w:rFonts w:cs="Arial"/>
          <w:szCs w:val="22"/>
        </w:rPr>
      </w:pPr>
      <w:r w:rsidRPr="00791BE3">
        <w:rPr>
          <w:rFonts w:cs="Arial"/>
          <w:szCs w:val="22"/>
        </w:rPr>
        <w:t xml:space="preserve">Para o iGovTI 2026, </w:t>
      </w:r>
      <w:r w:rsidRPr="00791BE3">
        <w:rPr>
          <w:rFonts w:cs="Arial"/>
          <w:b/>
          <w:bCs/>
          <w:szCs w:val="22"/>
        </w:rPr>
        <w:t xml:space="preserve">esse antecedente reforça a conveniência de dar maior ênfase a itens relacionados </w:t>
      </w:r>
      <w:proofErr w:type="spellStart"/>
      <w:r w:rsidRPr="00791BE3">
        <w:rPr>
          <w:rFonts w:cs="Arial"/>
          <w:b/>
          <w:bCs/>
          <w:szCs w:val="22"/>
        </w:rPr>
        <w:t>a</w:t>
      </w:r>
      <w:proofErr w:type="spellEnd"/>
      <w:r w:rsidRPr="00791BE3">
        <w:rPr>
          <w:rFonts w:cs="Arial"/>
          <w:b/>
          <w:bCs/>
          <w:szCs w:val="22"/>
        </w:rPr>
        <w:t xml:space="preserve"> segurança da informação, gestão de riscos, continuidade, inventário e gestão de ativos, estrutura formal de governança de segurança, capacidade instalada e gestão de terceiros/provedores</w:t>
      </w:r>
      <w:r w:rsidRPr="00791BE3">
        <w:rPr>
          <w:rFonts w:cs="Arial"/>
          <w:szCs w:val="22"/>
        </w:rPr>
        <w:t xml:space="preserve">. Também sugere que o questionário deve ser capaz de distinguir entre adoção “de fachada”, baseada em ferramentas isoladas, e adoção estruturada, baseada em política, processo, responsabilização e evidência de funcionamento. </w:t>
      </w:r>
    </w:p>
    <w:p w:rsidRPr="00791BE3" w:rsidR="008C3398" w:rsidP="008C3398" w:rsidRDefault="008C3398" w14:paraId="60A8A932" w14:textId="77777777">
      <w:pPr>
        <w:pStyle w:val="Ttulo2"/>
      </w:pPr>
      <w:r w:rsidRPr="00791BE3">
        <w:t>Síntese dos antecedentes e implicações para o iGovTI 2026</w:t>
      </w:r>
    </w:p>
    <w:p w:rsidRPr="00791BE3" w:rsidR="008C3398" w:rsidP="008C3398" w:rsidRDefault="008C3398" w14:paraId="416FD14F" w14:textId="77777777">
      <w:pPr>
        <w:spacing w:line="360" w:lineRule="auto"/>
        <w:ind w:firstLine="708"/>
        <w:jc w:val="both"/>
        <w:rPr>
          <w:rFonts w:cs="Arial"/>
          <w:szCs w:val="22"/>
        </w:rPr>
      </w:pPr>
      <w:r w:rsidRPr="00791BE3">
        <w:rPr>
          <w:rFonts w:cs="Arial"/>
          <w:szCs w:val="22"/>
        </w:rPr>
        <w:t xml:space="preserve">Tomados em conjunto, esses antecedentes sugerem que o iGovTI 2026 deve priorizar, com maior clareza e possivelmente maior peso analítico, os temas que se mostraram mais estruturantes e mais recorrentes nos trabalhos da equipe: </w:t>
      </w:r>
      <w:r w:rsidRPr="00791BE3">
        <w:rPr>
          <w:rFonts w:cs="Arial"/>
          <w:b/>
          <w:bCs/>
          <w:szCs w:val="22"/>
        </w:rPr>
        <w:t>planejamento de TIC</w:t>
      </w:r>
      <w:r w:rsidRPr="00791BE3">
        <w:rPr>
          <w:rFonts w:cs="Arial"/>
          <w:szCs w:val="22"/>
        </w:rPr>
        <w:t xml:space="preserve">, </w:t>
      </w:r>
      <w:r w:rsidRPr="00791BE3">
        <w:rPr>
          <w:rFonts w:cs="Arial"/>
          <w:b/>
          <w:bCs/>
          <w:szCs w:val="22"/>
        </w:rPr>
        <w:t>governança e efetividade dos comitês/instâncias decisórias</w:t>
      </w:r>
      <w:r w:rsidRPr="00791BE3">
        <w:rPr>
          <w:rFonts w:cs="Arial"/>
          <w:szCs w:val="22"/>
        </w:rPr>
        <w:t xml:space="preserve">, </w:t>
      </w:r>
      <w:r w:rsidRPr="00791BE3">
        <w:rPr>
          <w:rFonts w:cs="Arial"/>
          <w:b/>
          <w:bCs/>
          <w:szCs w:val="22"/>
        </w:rPr>
        <w:t>conexão entre planejamento, orçamento e contratações</w:t>
      </w:r>
      <w:r w:rsidRPr="00791BE3">
        <w:rPr>
          <w:rFonts w:cs="Arial"/>
          <w:szCs w:val="22"/>
        </w:rPr>
        <w:t xml:space="preserve">, </w:t>
      </w:r>
      <w:r w:rsidRPr="00791BE3">
        <w:rPr>
          <w:rFonts w:cs="Arial"/>
          <w:b/>
          <w:bCs/>
          <w:szCs w:val="22"/>
        </w:rPr>
        <w:t>capacidade instalada de pessoal e competências</w:t>
      </w:r>
      <w:r w:rsidRPr="00791BE3">
        <w:rPr>
          <w:rFonts w:cs="Arial"/>
          <w:szCs w:val="22"/>
        </w:rPr>
        <w:t xml:space="preserve">, </w:t>
      </w:r>
      <w:r w:rsidRPr="00791BE3">
        <w:rPr>
          <w:rFonts w:cs="Arial"/>
          <w:b/>
          <w:bCs/>
          <w:szCs w:val="22"/>
        </w:rPr>
        <w:t>segurança da informação e continuidade</w:t>
      </w:r>
      <w:r w:rsidRPr="00791BE3">
        <w:rPr>
          <w:rFonts w:cs="Arial"/>
          <w:szCs w:val="22"/>
        </w:rPr>
        <w:t xml:space="preserve">, e </w:t>
      </w:r>
      <w:r w:rsidRPr="00791BE3">
        <w:rPr>
          <w:rFonts w:cs="Arial"/>
          <w:b/>
          <w:bCs/>
          <w:szCs w:val="22"/>
        </w:rPr>
        <w:t>formalização de processos essenciais</w:t>
      </w:r>
      <w:r w:rsidRPr="00791BE3">
        <w:rPr>
          <w:rFonts w:cs="Arial"/>
          <w:szCs w:val="22"/>
        </w:rPr>
        <w:t xml:space="preserve">. </w:t>
      </w:r>
    </w:p>
    <w:p w:rsidRPr="00791BE3" w:rsidR="008C3398" w:rsidP="008C3398" w:rsidRDefault="008C3398" w14:paraId="79BD9DFC" w14:textId="77777777">
      <w:pPr>
        <w:spacing w:line="360" w:lineRule="auto"/>
        <w:ind w:firstLine="708"/>
        <w:jc w:val="both"/>
        <w:rPr>
          <w:rFonts w:cs="Arial"/>
          <w:szCs w:val="22"/>
        </w:rPr>
      </w:pPr>
      <w:r w:rsidRPr="00791BE3">
        <w:rPr>
          <w:rFonts w:cs="Arial"/>
          <w:szCs w:val="22"/>
        </w:rPr>
        <w:t xml:space="preserve">Esses trabalhos também recomendam cautela contra dois riscos metodológicos. O primeiro é supervalorizar a mera existência formal de documentos, estruturas ou controles, sem verificar seu uso efetivo. O segundo é dispersar o instrumento em excesso de itens periféricos, quando as evidências recentes mostram que algumas dimensões funcionam como verdadeiros “multiplicadores” de maturidade: se elas estão ausentes ou frágeis, todo o restante tende a funcionar de forma reativa, improvisada e pouco efetiva. </w:t>
      </w:r>
    </w:p>
    <w:p w:rsidRPr="00791BE3" w:rsidR="008C3398" w:rsidP="008C3398" w:rsidRDefault="008C3398" w14:paraId="7A62C807" w14:textId="77777777">
      <w:pPr>
        <w:spacing w:line="360" w:lineRule="auto"/>
        <w:ind w:firstLine="708"/>
        <w:jc w:val="both"/>
        <w:rPr>
          <w:rFonts w:cs="Arial"/>
          <w:szCs w:val="22"/>
        </w:rPr>
      </w:pPr>
      <w:r w:rsidRPr="00791BE3">
        <w:rPr>
          <w:rFonts w:cs="Arial"/>
          <w:szCs w:val="22"/>
        </w:rPr>
        <w:t>Em síntese, os antecedentes da equipe indicam que o iGovTI 2026 deve ser concebido não apenas como um instrumento de diagnóstico amplo, mas como um mecanismo de priorização e indução, concentrando-se com maior profundidade naquilo que, na prática, mais explica os problemas e mais favorece a melhoria sustentável da governança e da gestão de TIC.</w:t>
      </w:r>
    </w:p>
    <w:p w:rsidR="008C3398" w:rsidRDefault="008C3398" w14:paraId="68460941" w14:textId="77777777">
      <w:pPr>
        <w:spacing w:after="200" w:line="276" w:lineRule="auto"/>
        <w:rPr>
          <w:rFonts w:asciiTheme="majorHAnsi" w:hAnsiTheme="majorHAnsi" w:eastAsiaTheme="majorEastAsia" w:cstheme="majorBidi"/>
          <w:b/>
          <w:bCs/>
          <w:color w:val="365F91" w:themeColor="accent1" w:themeShade="BF"/>
          <w:sz w:val="28"/>
          <w:szCs w:val="28"/>
        </w:rPr>
      </w:pPr>
      <w:r>
        <w:br w:type="page"/>
      </w:r>
    </w:p>
    <w:p w:rsidRPr="004F7713" w:rsidR="00BB0139" w:rsidP="00BB0139" w:rsidRDefault="00CF0947" w14:paraId="04F2201A" w14:textId="3DAFD04E">
      <w:pPr>
        <w:pStyle w:val="Ttulo1"/>
      </w:pPr>
      <w:r w:rsidR="00CF0947">
        <w:rPr/>
        <w:t xml:space="preserve">3. </w:t>
      </w:r>
      <w:r w:rsidR="00B1390E">
        <w:rPr/>
        <w:t>Propostas de melhoria</w:t>
      </w:r>
    </w:p>
    <w:p w:rsidRPr="00B1390E" w:rsidR="00B1390E" w:rsidP="20C657D0" w:rsidRDefault="00B1390E" w14:paraId="7F9E47EA" w14:textId="060E678E">
      <w:pPr>
        <w:spacing w:line="360" w:lineRule="auto"/>
        <w:ind w:firstLine="708"/>
        <w:jc w:val="both"/>
        <w:rPr>
          <w:rFonts w:cs="Arial"/>
        </w:rPr>
      </w:pPr>
      <w:r w:rsidRPr="20C657D0" w:rsidR="631ED510">
        <w:rPr>
          <w:rFonts w:cs="Arial"/>
        </w:rPr>
        <w:t>Esta seção consolida, em caráter propositivo, os principais ajustes recomendados para o iGovTI 2026, a partir da avaliação comparativa realizada nas seções anteriores e das decisões discutidas pela equipe. O ponto de partida adotado permanece sendo o iGovTI aplicado pelo TCE-RJ em 2023, preservando sua base metodológica e sua comparabilidade, mas incorporando ajustes destinados a aumentar a clareza das perguntas, a qualidade do dado, o poder indutor do instrumento e sua aderência ao novo escopo da fiscalização, que passará a abranger, em um mesmo trabalho, as prefeituras municipais do Estado do Rio de Janeiro e as organizações da administração pública estadual em sentido amplo. O próprio relatório de avaliação foi construído com a finalidade de subsidiar os ajustes do questionário, preservando comparabilidade histórica e incorporando melhorias metodológicas.</w:t>
      </w:r>
    </w:p>
    <w:p w:rsidRPr="00B1390E" w:rsidR="00B1390E" w:rsidP="20C657D0" w:rsidRDefault="00B1390E" w14:paraId="104CD8AD" w14:textId="0F2DACA6">
      <w:pPr>
        <w:spacing w:line="360" w:lineRule="auto"/>
        <w:ind w:firstLine="708"/>
        <w:jc w:val="both"/>
        <w:rPr>
          <w:rFonts w:cs="Arial"/>
        </w:rPr>
      </w:pPr>
      <w:r w:rsidRPr="20C657D0" w:rsidR="631ED510">
        <w:rPr>
          <w:rFonts w:cs="Arial"/>
        </w:rPr>
        <w:t>As propostas abaixo estão organizadas da mais importante para a menos importante. Em cada uma, são indicados: o ajuste proposto, sua classificação de relevância, a fundamentação e o efeito esperado.</w:t>
      </w:r>
    </w:p>
    <w:p w:rsidRPr="00B1390E" w:rsidR="00B1390E" w:rsidP="20C657D0" w:rsidRDefault="00B1390E" w14:paraId="0A9F250E" w14:textId="62242FB4">
      <w:pPr>
        <w:pStyle w:val="Ttulo2"/>
      </w:pPr>
      <w:r w:rsidRPr="20C657D0" w:rsidR="631ED510">
        <w:rPr>
          <w:noProof w:val="0"/>
          <w:lang w:val="pt-BR"/>
        </w:rPr>
        <w:t>3.1. Preservar o núcleo comum do iGovTI 2023 como base do índice de 2026</w:t>
      </w:r>
    </w:p>
    <w:p w:rsidRPr="00B1390E" w:rsidR="00B1390E" w:rsidP="20C657D0" w:rsidRDefault="00B1390E" w14:paraId="07F69B01" w14:textId="794B17B4">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Classificação:</w:t>
      </w:r>
      <w:r w:rsidRPr="20C657D0" w:rsidR="631ED510">
        <w:rPr>
          <w:rFonts w:ascii="Arial" w:hAnsi="Arial" w:eastAsia="Arial" w:cs="Arial"/>
          <w:noProof w:val="0"/>
          <w:sz w:val="22"/>
          <w:szCs w:val="22"/>
          <w:lang w:val="pt-BR"/>
        </w:rPr>
        <w:t xml:space="preserve"> </w:t>
      </w:r>
      <w:r w:rsidRPr="20C657D0" w:rsidR="631ED510">
        <w:rPr>
          <w:rFonts w:ascii="Arial" w:hAnsi="Arial" w:eastAsia="Arial" w:cs="Arial"/>
          <w:b w:val="1"/>
          <w:bCs w:val="1"/>
          <w:noProof w:val="0"/>
          <w:sz w:val="22"/>
          <w:szCs w:val="22"/>
          <w:lang w:val="pt-BR"/>
        </w:rPr>
        <w:t>Alto</w:t>
      </w:r>
    </w:p>
    <w:p w:rsidRPr="00B1390E" w:rsidR="00B1390E" w:rsidP="20C657D0" w:rsidRDefault="00B1390E" w14:paraId="4493A4FD" w14:textId="7000727B">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Proposta</w:t>
      </w:r>
      <w:r w:rsidRPr="20C657D0" w:rsidR="53FE0CFF">
        <w:rPr>
          <w:rFonts w:ascii="Arial" w:hAnsi="Arial" w:eastAsia="Arial" w:cs="Arial"/>
          <w:b w:val="1"/>
          <w:bCs w:val="1"/>
          <w:noProof w:val="0"/>
          <w:sz w:val="22"/>
          <w:szCs w:val="22"/>
          <w:lang w:val="pt-BR"/>
        </w:rPr>
        <w:t xml:space="preserve">: </w:t>
      </w:r>
      <w:r w:rsidRPr="20C657D0" w:rsidR="631ED510">
        <w:rPr>
          <w:rFonts w:ascii="Arial" w:hAnsi="Arial" w:eastAsia="Arial" w:cs="Arial"/>
          <w:noProof w:val="0"/>
          <w:sz w:val="22"/>
          <w:szCs w:val="22"/>
          <w:lang w:val="pt-BR"/>
        </w:rPr>
        <w:t xml:space="preserve">Manter, como espinha dorsal do iGovTI 2026, o </w:t>
      </w:r>
      <w:r w:rsidRPr="20C657D0" w:rsidR="631ED510">
        <w:rPr>
          <w:rFonts w:ascii="Arial" w:hAnsi="Arial" w:eastAsia="Arial" w:cs="Arial"/>
          <w:b w:val="1"/>
          <w:bCs w:val="1"/>
          <w:noProof w:val="0"/>
          <w:sz w:val="22"/>
          <w:szCs w:val="22"/>
          <w:lang w:val="pt-BR"/>
        </w:rPr>
        <w:t>núcleo comum de práticas de governança e gestão de TIC</w:t>
      </w:r>
      <w:r w:rsidRPr="20C657D0" w:rsidR="631ED510">
        <w:rPr>
          <w:rFonts w:ascii="Arial" w:hAnsi="Arial" w:eastAsia="Arial" w:cs="Arial"/>
          <w:noProof w:val="0"/>
          <w:sz w:val="22"/>
          <w:szCs w:val="22"/>
          <w:lang w:val="pt-BR"/>
        </w:rPr>
        <w:t xml:space="preserve"> já utilizado pelo TCE-RJ em 2023. Esse núcleo deve continuar sendo o componente computado no índice e a principal referência de comparabilidade entre os ciclos.</w:t>
      </w:r>
    </w:p>
    <w:p w:rsidRPr="00B1390E" w:rsidR="00B1390E" w:rsidP="20C657D0" w:rsidRDefault="00B1390E" w14:paraId="78B78014" w14:textId="1F8ABC56">
      <w:pPr>
        <w:spacing w:before="240" w:beforeAutospacing="off" w:after="240" w:afterAutospacing="off" w:line="360" w:lineRule="auto"/>
        <w:ind/>
        <w:jc w:val="both"/>
      </w:pPr>
      <w:r w:rsidRPr="20C657D0" w:rsidR="631ED510">
        <w:rPr>
          <w:rFonts w:ascii="Arial" w:hAnsi="Arial" w:eastAsia="Arial" w:cs="Arial"/>
          <w:noProof w:val="0"/>
          <w:sz w:val="22"/>
          <w:szCs w:val="22"/>
          <w:lang w:val="pt-BR"/>
        </w:rPr>
        <w:t>Esse núcleo deve permanecer concentrado em:</w:t>
      </w:r>
    </w:p>
    <w:p w:rsidRPr="00B1390E" w:rsidR="00B1390E" w:rsidP="20C657D0" w:rsidRDefault="00B1390E" w14:paraId="6B256454" w14:textId="174B406D">
      <w:pPr>
        <w:pStyle w:val="PargrafodaLista"/>
        <w:numPr>
          <w:ilvl w:val="0"/>
          <w:numId w:val="60"/>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governança de TI;</w:t>
      </w:r>
    </w:p>
    <w:p w:rsidRPr="00B1390E" w:rsidR="00B1390E" w:rsidP="20C657D0" w:rsidRDefault="00B1390E" w14:paraId="180A36F7" w14:textId="4BFCB722">
      <w:pPr>
        <w:pStyle w:val="PargrafodaLista"/>
        <w:numPr>
          <w:ilvl w:val="0"/>
          <w:numId w:val="60"/>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gestão de pessoas de TI;</w:t>
      </w:r>
    </w:p>
    <w:p w:rsidRPr="00B1390E" w:rsidR="00B1390E" w:rsidP="20C657D0" w:rsidRDefault="00B1390E" w14:paraId="5DEEC293" w14:textId="16CC2392">
      <w:pPr>
        <w:pStyle w:val="PargrafodaLista"/>
        <w:numPr>
          <w:ilvl w:val="0"/>
          <w:numId w:val="60"/>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planejamento de TI;</w:t>
      </w:r>
    </w:p>
    <w:p w:rsidRPr="00B1390E" w:rsidR="00B1390E" w:rsidP="20C657D0" w:rsidRDefault="00B1390E" w14:paraId="25BE1172" w14:textId="50024ADA">
      <w:pPr>
        <w:pStyle w:val="PargrafodaLista"/>
        <w:numPr>
          <w:ilvl w:val="0"/>
          <w:numId w:val="60"/>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gestão de serviços de TI;</w:t>
      </w:r>
    </w:p>
    <w:p w:rsidRPr="00B1390E" w:rsidR="00B1390E" w:rsidP="20C657D0" w:rsidRDefault="00B1390E" w14:paraId="3A28F4A0" w14:textId="2A0B9BBF">
      <w:pPr>
        <w:pStyle w:val="PargrafodaLista"/>
        <w:numPr>
          <w:ilvl w:val="0"/>
          <w:numId w:val="60"/>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gestão de riscos e continuidade;</w:t>
      </w:r>
    </w:p>
    <w:p w:rsidRPr="00B1390E" w:rsidR="00B1390E" w:rsidP="20C657D0" w:rsidRDefault="00B1390E" w14:paraId="3CB0C1AE" w14:textId="477F9A50">
      <w:pPr>
        <w:pStyle w:val="PargrafodaLista"/>
        <w:numPr>
          <w:ilvl w:val="0"/>
          <w:numId w:val="60"/>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segurança da informação;</w:t>
      </w:r>
    </w:p>
    <w:p w:rsidRPr="00B1390E" w:rsidR="00B1390E" w:rsidP="20C657D0" w:rsidRDefault="00B1390E" w14:paraId="04D8A475" w14:textId="56B11B52">
      <w:pPr>
        <w:pStyle w:val="PargrafodaLista"/>
        <w:numPr>
          <w:ilvl w:val="0"/>
          <w:numId w:val="60"/>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processo de software e gestão de projetos;</w:t>
      </w:r>
    </w:p>
    <w:p w:rsidRPr="00B1390E" w:rsidR="00B1390E" w:rsidP="20C657D0" w:rsidRDefault="00B1390E" w14:paraId="7BCCE7EC" w14:textId="0C05BB81">
      <w:pPr>
        <w:pStyle w:val="PargrafodaLista"/>
        <w:numPr>
          <w:ilvl w:val="0"/>
          <w:numId w:val="60"/>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gestão de contratos de TI.</w:t>
      </w:r>
    </w:p>
    <w:p w:rsidRPr="00B1390E" w:rsidR="00B1390E" w:rsidP="20C657D0" w:rsidRDefault="00B1390E" w14:paraId="307A24F5" w14:textId="2568FC09">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Fundamentação</w:t>
      </w:r>
      <w:r w:rsidRPr="20C657D0" w:rsidR="4FA9CD20">
        <w:rPr>
          <w:rFonts w:ascii="Arial" w:hAnsi="Arial" w:eastAsia="Arial" w:cs="Arial"/>
          <w:b w:val="1"/>
          <w:bCs w:val="1"/>
          <w:noProof w:val="0"/>
          <w:sz w:val="22"/>
          <w:szCs w:val="22"/>
          <w:lang w:val="pt-BR"/>
        </w:rPr>
        <w:t>:</w:t>
      </w:r>
      <w:r w:rsidRPr="20C657D0" w:rsidR="631ED510">
        <w:rPr>
          <w:rFonts w:ascii="Arial" w:hAnsi="Arial" w:eastAsia="Arial" w:cs="Arial"/>
          <w:noProof w:val="0"/>
          <w:sz w:val="22"/>
          <w:szCs w:val="22"/>
          <w:lang w:val="pt-BR"/>
        </w:rPr>
        <w:t xml:space="preserve"> A avaliação consolidada do próprio trabalho mostra que a lógica central do índice de 2023 deve ser preservada, porque já demonstrou capacidade de mensurar, de forma comparável, a maturidade de governança e gestão de TI em universos distintos. O relatório também registra que o núcleo comum deve continuar concentrado exatamente nesses grandes blocos. </w:t>
      </w:r>
      <w:r>
        <w:br/>
      </w:r>
      <w:r w:rsidRPr="20C657D0" w:rsidR="631ED510">
        <w:rPr>
          <w:rFonts w:ascii="Arial" w:hAnsi="Arial" w:eastAsia="Arial" w:cs="Arial"/>
          <w:noProof w:val="0"/>
          <w:sz w:val="22"/>
          <w:szCs w:val="22"/>
          <w:lang w:val="pt-BR"/>
        </w:rPr>
        <w:t xml:space="preserve">Além disso, a experiência do TCE-PE confirma a utilidade de organizar o iGovTI em oito temas muito próximos a esse núcleo, também com foco exclusivo em governança e gestão de TI. </w:t>
      </w:r>
    </w:p>
    <w:p w:rsidRPr="00B1390E" w:rsidR="00B1390E" w:rsidP="20C657D0" w:rsidRDefault="00B1390E" w14:paraId="2D8C98EA" w14:textId="4EAE5949">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O que se espera com o ajuste</w:t>
      </w:r>
      <w:r w:rsidRPr="20C657D0" w:rsidR="7949623D">
        <w:rPr>
          <w:rFonts w:ascii="Arial" w:hAnsi="Arial" w:eastAsia="Arial" w:cs="Arial"/>
          <w:b w:val="1"/>
          <w:bCs w:val="1"/>
          <w:noProof w:val="0"/>
          <w:sz w:val="22"/>
          <w:szCs w:val="22"/>
          <w:lang w:val="pt-BR"/>
        </w:rPr>
        <w:t xml:space="preserve">: </w:t>
      </w:r>
      <w:r w:rsidRPr="20C657D0" w:rsidR="631ED510">
        <w:rPr>
          <w:rFonts w:ascii="Arial" w:hAnsi="Arial" w:eastAsia="Arial" w:cs="Arial"/>
          <w:noProof w:val="0"/>
          <w:sz w:val="22"/>
          <w:szCs w:val="22"/>
          <w:lang w:val="pt-BR"/>
        </w:rPr>
        <w:t>Preservar série histórica com 2023, evitar ruptura metodológica desnecessária e manter o instrumento centrado naquilo que mais explica a maturidade de TIC das organizações.</w:t>
      </w:r>
    </w:p>
    <w:p w:rsidRPr="00B1390E" w:rsidR="00B1390E" w:rsidP="20C657D0" w:rsidRDefault="00B1390E" w14:paraId="78007DEF" w14:textId="5ABC2EDB">
      <w:pPr>
        <w:pStyle w:val="Ttulo2"/>
      </w:pPr>
      <w:r w:rsidRPr="20C657D0" w:rsidR="631ED510">
        <w:rPr>
          <w:noProof w:val="0"/>
          <w:lang w:val="pt-BR"/>
        </w:rPr>
        <w:t>3.2. Adotar, quando cabível, a redação das questões do TCU 2024 (</w:t>
      </w:r>
      <w:r w:rsidRPr="20C657D0" w:rsidR="631ED510">
        <w:rPr>
          <w:noProof w:val="0"/>
          <w:lang w:val="pt-BR"/>
        </w:rPr>
        <w:t>iESGo</w:t>
      </w:r>
      <w:r w:rsidRPr="20C657D0" w:rsidR="631ED510">
        <w:rPr>
          <w:noProof w:val="0"/>
          <w:lang w:val="pt-BR"/>
        </w:rPr>
        <w:t>) como referência preferencial de simplificação</w:t>
      </w:r>
    </w:p>
    <w:p w:rsidRPr="00B1390E" w:rsidR="00B1390E" w:rsidP="20C657D0" w:rsidRDefault="00B1390E" w14:paraId="6A4D3CF9" w14:textId="640B1402">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Classificação:</w:t>
      </w:r>
      <w:r w:rsidRPr="20C657D0" w:rsidR="631ED510">
        <w:rPr>
          <w:rFonts w:ascii="Arial" w:hAnsi="Arial" w:eastAsia="Arial" w:cs="Arial"/>
          <w:noProof w:val="0"/>
          <w:sz w:val="22"/>
          <w:szCs w:val="22"/>
          <w:lang w:val="pt-BR"/>
        </w:rPr>
        <w:t xml:space="preserve"> </w:t>
      </w:r>
      <w:r w:rsidRPr="20C657D0" w:rsidR="631ED510">
        <w:rPr>
          <w:rFonts w:ascii="Arial" w:hAnsi="Arial" w:eastAsia="Arial" w:cs="Arial"/>
          <w:b w:val="1"/>
          <w:bCs w:val="1"/>
          <w:noProof w:val="0"/>
          <w:sz w:val="22"/>
          <w:szCs w:val="22"/>
          <w:lang w:val="pt-BR"/>
        </w:rPr>
        <w:t>Alto</w:t>
      </w:r>
    </w:p>
    <w:p w:rsidRPr="00B1390E" w:rsidR="00B1390E" w:rsidP="20C657D0" w:rsidRDefault="00B1390E" w14:paraId="12FFB057" w14:textId="54C47660">
      <w:pPr>
        <w:spacing w:before="240" w:beforeAutospacing="off" w:after="240" w:afterAutospacing="off" w:line="360" w:lineRule="auto"/>
        <w:ind/>
        <w:jc w:val="both"/>
        <w:rPr>
          <w:rFonts w:ascii="Arial" w:hAnsi="Arial" w:eastAsia="Arial" w:cs="Arial"/>
          <w:b w:val="0"/>
          <w:bCs w:val="0"/>
          <w:noProof w:val="0"/>
          <w:sz w:val="22"/>
          <w:szCs w:val="22"/>
          <w:lang w:val="pt-BR"/>
        </w:rPr>
      </w:pPr>
      <w:r w:rsidRPr="20C657D0" w:rsidR="631ED510">
        <w:rPr>
          <w:rFonts w:ascii="Arial" w:hAnsi="Arial" w:eastAsia="Arial" w:cs="Arial"/>
          <w:b w:val="1"/>
          <w:bCs w:val="1"/>
          <w:noProof w:val="0"/>
          <w:sz w:val="22"/>
          <w:szCs w:val="22"/>
          <w:lang w:val="pt-BR"/>
        </w:rPr>
        <w:t>Proposta</w:t>
      </w:r>
      <w:r w:rsidRPr="20C657D0" w:rsidR="44CD2024">
        <w:rPr>
          <w:rFonts w:ascii="Arial" w:hAnsi="Arial" w:eastAsia="Arial" w:cs="Arial"/>
          <w:b w:val="1"/>
          <w:bCs w:val="1"/>
          <w:noProof w:val="0"/>
          <w:sz w:val="22"/>
          <w:szCs w:val="22"/>
          <w:lang w:val="pt-BR"/>
        </w:rPr>
        <w:t>:</w:t>
      </w:r>
      <w:r w:rsidRPr="20C657D0" w:rsidR="631ED510">
        <w:rPr>
          <w:rFonts w:ascii="Arial" w:hAnsi="Arial" w:eastAsia="Arial" w:cs="Arial"/>
          <w:noProof w:val="0"/>
          <w:sz w:val="22"/>
          <w:szCs w:val="22"/>
          <w:lang w:val="pt-BR"/>
        </w:rPr>
        <w:t xml:space="preserve"> Utilizar, como diretriz de revisão textual do questionário, as formulações do TCU 2024 (</w:t>
      </w:r>
      <w:r w:rsidRPr="20C657D0" w:rsidR="631ED510">
        <w:rPr>
          <w:rFonts w:ascii="Arial" w:hAnsi="Arial" w:eastAsia="Arial" w:cs="Arial"/>
          <w:b w:val="0"/>
          <w:bCs w:val="0"/>
          <w:noProof w:val="0"/>
          <w:sz w:val="22"/>
          <w:szCs w:val="22"/>
          <w:lang w:val="pt-BR"/>
        </w:rPr>
        <w:t>iESGo</w:t>
      </w:r>
      <w:r w:rsidRPr="20C657D0" w:rsidR="631ED510">
        <w:rPr>
          <w:rFonts w:ascii="Arial" w:hAnsi="Arial" w:eastAsia="Arial" w:cs="Arial"/>
          <w:b w:val="0"/>
          <w:bCs w:val="0"/>
          <w:noProof w:val="0"/>
          <w:sz w:val="22"/>
          <w:szCs w:val="22"/>
          <w:lang w:val="pt-BR"/>
        </w:rPr>
        <w:t xml:space="preserve">) sempre que elas se mostrarem mais claras, objetivas e simples do que as formulações equivalentes do </w:t>
      </w:r>
      <w:r w:rsidRPr="20C657D0" w:rsidR="631ED510">
        <w:rPr>
          <w:rFonts w:ascii="Arial" w:hAnsi="Arial" w:eastAsia="Arial" w:cs="Arial"/>
          <w:b w:val="0"/>
          <w:bCs w:val="0"/>
          <w:noProof w:val="0"/>
          <w:sz w:val="22"/>
          <w:szCs w:val="22"/>
          <w:lang w:val="pt-BR"/>
        </w:rPr>
        <w:t>iGG</w:t>
      </w:r>
      <w:r w:rsidRPr="20C657D0" w:rsidR="631ED510">
        <w:rPr>
          <w:rFonts w:ascii="Arial" w:hAnsi="Arial" w:eastAsia="Arial" w:cs="Arial"/>
          <w:b w:val="0"/>
          <w:bCs w:val="0"/>
          <w:noProof w:val="0"/>
          <w:sz w:val="22"/>
          <w:szCs w:val="22"/>
          <w:lang w:val="pt-BR"/>
        </w:rPr>
        <w:t xml:space="preserve"> 2021, desde que isso não comprometa a comparabilidade com o núcleo do iGovTI 2023.</w:t>
      </w:r>
      <w:r w:rsidRPr="20C657D0" w:rsidR="54208D51">
        <w:rPr>
          <w:rFonts w:ascii="Arial" w:hAnsi="Arial" w:eastAsia="Arial" w:cs="Arial"/>
          <w:b w:val="0"/>
          <w:bCs w:val="0"/>
          <w:noProof w:val="0"/>
          <w:sz w:val="22"/>
          <w:szCs w:val="22"/>
          <w:lang w:val="pt-BR"/>
        </w:rPr>
        <w:t xml:space="preserve"> </w:t>
      </w:r>
      <w:r w:rsidRPr="20C657D0" w:rsidR="631ED510">
        <w:rPr>
          <w:rFonts w:ascii="Arial" w:hAnsi="Arial" w:eastAsia="Arial" w:cs="Arial"/>
          <w:noProof w:val="0"/>
          <w:sz w:val="22"/>
          <w:szCs w:val="22"/>
          <w:lang w:val="pt-BR"/>
        </w:rPr>
        <w:t xml:space="preserve">A ideia não é substituir o modelo do TCE-RJ pelo </w:t>
      </w:r>
      <w:r w:rsidRPr="20C657D0" w:rsidR="631ED510">
        <w:rPr>
          <w:rFonts w:ascii="Arial" w:hAnsi="Arial" w:eastAsia="Arial" w:cs="Arial"/>
          <w:noProof w:val="0"/>
          <w:sz w:val="22"/>
          <w:szCs w:val="22"/>
          <w:lang w:val="pt-BR"/>
        </w:rPr>
        <w:t>iESGo</w:t>
      </w:r>
      <w:r w:rsidRPr="20C657D0" w:rsidR="631ED510">
        <w:rPr>
          <w:rFonts w:ascii="Arial" w:hAnsi="Arial" w:eastAsia="Arial" w:cs="Arial"/>
          <w:noProof w:val="0"/>
          <w:sz w:val="22"/>
          <w:szCs w:val="22"/>
          <w:lang w:val="pt-BR"/>
        </w:rPr>
        <w:t>, mas aproveitar a redação mais madura e mais direta de itens que já tratam do mesmo conteúdo.</w:t>
      </w:r>
    </w:p>
    <w:p w:rsidRPr="00B1390E" w:rsidR="00B1390E" w:rsidP="20C657D0" w:rsidRDefault="00B1390E" w14:paraId="48D8B009" w14:textId="33212489">
      <w:p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b w:val="1"/>
          <w:bCs w:val="1"/>
          <w:noProof w:val="0"/>
          <w:sz w:val="22"/>
          <w:szCs w:val="22"/>
          <w:lang w:val="pt-BR"/>
        </w:rPr>
        <w:t>Fundamentação</w:t>
      </w:r>
      <w:r w:rsidRPr="20C657D0" w:rsidR="42E6ED14">
        <w:rPr>
          <w:rFonts w:ascii="Arial" w:hAnsi="Arial" w:eastAsia="Arial" w:cs="Arial"/>
          <w:b w:val="1"/>
          <w:bCs w:val="1"/>
          <w:noProof w:val="0"/>
          <w:sz w:val="22"/>
          <w:szCs w:val="22"/>
          <w:lang w:val="pt-BR"/>
        </w:rPr>
        <w:t>:</w:t>
      </w:r>
      <w:r w:rsidRPr="20C657D0" w:rsidR="631ED510">
        <w:rPr>
          <w:rFonts w:ascii="Arial" w:hAnsi="Arial" w:eastAsia="Arial" w:cs="Arial"/>
          <w:noProof w:val="0"/>
          <w:sz w:val="22"/>
          <w:szCs w:val="22"/>
          <w:lang w:val="pt-BR"/>
        </w:rPr>
        <w:t xml:space="preserve"> A análise consolidada já indicava que o iGovTI 2026 deveria preservar sua base, mas ajustar redação, critérios e itens para incorporar melhorias metodológicas. </w:t>
      </w:r>
      <w:r>
        <w:br/>
      </w:r>
      <w:r w:rsidRPr="20C657D0" w:rsidR="631ED510">
        <w:rPr>
          <w:rFonts w:ascii="Arial" w:hAnsi="Arial" w:eastAsia="Arial" w:cs="Arial"/>
          <w:noProof w:val="0"/>
          <w:sz w:val="22"/>
          <w:szCs w:val="22"/>
          <w:lang w:val="pt-BR"/>
        </w:rPr>
        <w:t>A discussão sobre a evolução do TCU mostrou que um dos ganhos mais recentes está menos em “novos temas” e mais em melhor engenharia do questionário, com formulações mais controladas e menos ambíguas.</w:t>
      </w:r>
      <w:r w:rsidRPr="20C657D0" w:rsidR="76770E58">
        <w:rPr>
          <w:rFonts w:ascii="Arial" w:hAnsi="Arial" w:eastAsia="Arial" w:cs="Arial"/>
          <w:noProof w:val="0"/>
          <w:sz w:val="22"/>
          <w:szCs w:val="22"/>
          <w:lang w:val="pt-BR"/>
        </w:rPr>
        <w:t xml:space="preserve"> </w:t>
      </w:r>
      <w:r w:rsidRPr="20C657D0" w:rsidR="631ED510">
        <w:rPr>
          <w:rFonts w:ascii="Arial" w:hAnsi="Arial" w:eastAsia="Arial" w:cs="Arial"/>
          <w:noProof w:val="0"/>
          <w:sz w:val="22"/>
          <w:szCs w:val="22"/>
          <w:lang w:val="pt-BR"/>
        </w:rPr>
        <w:t xml:space="preserve">A decisão da equipe de tomar o </w:t>
      </w:r>
      <w:r w:rsidRPr="20C657D0" w:rsidR="631ED510">
        <w:rPr>
          <w:rFonts w:ascii="Arial" w:hAnsi="Arial" w:eastAsia="Arial" w:cs="Arial"/>
          <w:noProof w:val="0"/>
          <w:sz w:val="22"/>
          <w:szCs w:val="22"/>
          <w:lang w:val="pt-BR"/>
        </w:rPr>
        <w:t>iESGo</w:t>
      </w:r>
      <w:r w:rsidRPr="20C657D0" w:rsidR="631ED510">
        <w:rPr>
          <w:rFonts w:ascii="Arial" w:hAnsi="Arial" w:eastAsia="Arial" w:cs="Arial"/>
          <w:noProof w:val="0"/>
          <w:sz w:val="22"/>
          <w:szCs w:val="22"/>
          <w:lang w:val="pt-BR"/>
        </w:rPr>
        <w:t xml:space="preserve"> 2024 como referência de redação, quando cabível, é compatível com esse diagnóstico.</w:t>
      </w:r>
    </w:p>
    <w:p w:rsidRPr="00B1390E" w:rsidR="00B1390E" w:rsidP="20C657D0" w:rsidRDefault="00B1390E" w14:paraId="79B4CF79" w14:textId="773B8B02">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O que se espera com o ajuste</w:t>
      </w:r>
      <w:r w:rsidRPr="20C657D0" w:rsidR="22CE6A37">
        <w:rPr>
          <w:rFonts w:ascii="Arial" w:hAnsi="Arial" w:eastAsia="Arial" w:cs="Arial"/>
          <w:b w:val="1"/>
          <w:bCs w:val="1"/>
          <w:noProof w:val="0"/>
          <w:sz w:val="22"/>
          <w:szCs w:val="22"/>
          <w:lang w:val="pt-BR"/>
        </w:rPr>
        <w:t xml:space="preserve">: </w:t>
      </w:r>
      <w:r w:rsidRPr="20C657D0" w:rsidR="631ED510">
        <w:rPr>
          <w:rFonts w:ascii="Arial" w:hAnsi="Arial" w:eastAsia="Arial" w:cs="Arial"/>
          <w:noProof w:val="0"/>
          <w:sz w:val="22"/>
          <w:szCs w:val="22"/>
          <w:lang w:val="pt-BR"/>
        </w:rPr>
        <w:t>Reduzir ambiguidade, facilitar o preenchimento, diminuir custo operacional para os respondentes e aumentar a consistência entre respostas de organizações muito diferentes.</w:t>
      </w:r>
    </w:p>
    <w:p w:rsidRPr="00B1390E" w:rsidR="00B1390E" w:rsidP="20C657D0" w:rsidRDefault="00B1390E" w14:paraId="276EB880" w14:textId="479D97BE">
      <w:pPr>
        <w:pStyle w:val="Ttulo2"/>
      </w:pPr>
      <w:r w:rsidRPr="20C657D0" w:rsidR="631ED510">
        <w:rPr>
          <w:noProof w:val="0"/>
          <w:lang w:val="pt-BR"/>
        </w:rPr>
        <w:t>3.3. Reescrever sistematicamente os itens para fechar o escopo à área de TI</w:t>
      </w:r>
    </w:p>
    <w:p w:rsidRPr="00B1390E" w:rsidR="00B1390E" w:rsidP="20C657D0" w:rsidRDefault="00B1390E" w14:paraId="510FC151" w14:textId="132D7DF4">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Classificação:</w:t>
      </w:r>
      <w:r w:rsidRPr="20C657D0" w:rsidR="631ED510">
        <w:rPr>
          <w:rFonts w:ascii="Arial" w:hAnsi="Arial" w:eastAsia="Arial" w:cs="Arial"/>
          <w:noProof w:val="0"/>
          <w:sz w:val="22"/>
          <w:szCs w:val="22"/>
          <w:lang w:val="pt-BR"/>
        </w:rPr>
        <w:t xml:space="preserve"> </w:t>
      </w:r>
      <w:r w:rsidRPr="20C657D0" w:rsidR="631ED510">
        <w:rPr>
          <w:rFonts w:ascii="Arial" w:hAnsi="Arial" w:eastAsia="Arial" w:cs="Arial"/>
          <w:b w:val="1"/>
          <w:bCs w:val="1"/>
          <w:noProof w:val="0"/>
          <w:sz w:val="22"/>
          <w:szCs w:val="22"/>
          <w:lang w:val="pt-BR"/>
        </w:rPr>
        <w:t>Alto</w:t>
      </w:r>
    </w:p>
    <w:p w:rsidRPr="00B1390E" w:rsidR="00B1390E" w:rsidP="20C657D0" w:rsidRDefault="00B1390E" w14:paraId="693CB5C8" w14:textId="299C2103">
      <w:pPr>
        <w:spacing w:before="240" w:beforeAutospacing="off" w:after="240" w:afterAutospacing="off" w:line="360" w:lineRule="auto"/>
        <w:ind/>
        <w:jc w:val="both"/>
        <w:rPr>
          <w:rFonts w:ascii="Arial" w:hAnsi="Arial" w:eastAsia="Arial" w:cs="Arial"/>
          <w:b w:val="0"/>
          <w:bCs w:val="0"/>
          <w:noProof w:val="0"/>
          <w:sz w:val="22"/>
          <w:szCs w:val="22"/>
          <w:lang w:val="pt-BR"/>
        </w:rPr>
      </w:pPr>
      <w:r w:rsidRPr="20C657D0" w:rsidR="631ED510">
        <w:rPr>
          <w:rFonts w:ascii="Arial" w:hAnsi="Arial" w:eastAsia="Arial" w:cs="Arial"/>
          <w:b w:val="1"/>
          <w:bCs w:val="1"/>
          <w:noProof w:val="0"/>
          <w:sz w:val="22"/>
          <w:szCs w:val="22"/>
          <w:lang w:val="pt-BR"/>
        </w:rPr>
        <w:t>Proposta</w:t>
      </w:r>
      <w:r w:rsidRPr="20C657D0" w:rsidR="168C05F3">
        <w:rPr>
          <w:rFonts w:ascii="Arial" w:hAnsi="Arial" w:eastAsia="Arial" w:cs="Arial"/>
          <w:b w:val="1"/>
          <w:bCs w:val="1"/>
          <w:noProof w:val="0"/>
          <w:sz w:val="22"/>
          <w:szCs w:val="22"/>
          <w:lang w:val="pt-BR"/>
        </w:rPr>
        <w:t>:</w:t>
      </w:r>
      <w:r w:rsidRPr="20C657D0" w:rsidR="631ED510">
        <w:rPr>
          <w:rFonts w:ascii="Arial" w:hAnsi="Arial" w:eastAsia="Arial" w:cs="Arial"/>
          <w:noProof w:val="0"/>
          <w:sz w:val="22"/>
          <w:szCs w:val="22"/>
          <w:lang w:val="pt-BR"/>
        </w:rPr>
        <w:t xml:space="preserve"> </w:t>
      </w:r>
      <w:r w:rsidRPr="20C657D0" w:rsidR="631ED510">
        <w:rPr>
          <w:rFonts w:ascii="Arial" w:hAnsi="Arial" w:eastAsia="Arial" w:cs="Arial"/>
          <w:b w:val="0"/>
          <w:bCs w:val="0"/>
          <w:noProof w:val="0"/>
          <w:sz w:val="22"/>
          <w:szCs w:val="22"/>
          <w:lang w:val="pt-BR"/>
        </w:rPr>
        <w:t xml:space="preserve">Revisar todos os itens do núcleo do questionário para que, sempre que possível, sejam redigidos de forma </w:t>
      </w:r>
      <w:r w:rsidRPr="20C657D0" w:rsidR="631ED510">
        <w:rPr>
          <w:rFonts w:ascii="Arial" w:hAnsi="Arial" w:eastAsia="Arial" w:cs="Arial"/>
          <w:b w:val="0"/>
          <w:bCs w:val="0"/>
          <w:noProof w:val="0"/>
          <w:sz w:val="22"/>
          <w:szCs w:val="22"/>
          <w:lang w:val="pt-BR"/>
        </w:rPr>
        <w:t>explicitamente direcionada à governança e à gestão de TIC</w:t>
      </w:r>
      <w:r w:rsidRPr="20C657D0" w:rsidR="631ED510">
        <w:rPr>
          <w:rFonts w:ascii="Arial" w:hAnsi="Arial" w:eastAsia="Arial" w:cs="Arial"/>
          <w:b w:val="0"/>
          <w:bCs w:val="0"/>
          <w:noProof w:val="0"/>
          <w:sz w:val="22"/>
          <w:szCs w:val="22"/>
          <w:lang w:val="pt-BR"/>
        </w:rPr>
        <w:t>, evitando formulações excessivamente amplas de governança organizacional, gestão de pessoas ou gestão de riscos que dependam de interpretação do respondente para serem “trazidas” ao contexto de TI.</w:t>
      </w:r>
    </w:p>
    <w:p w:rsidRPr="00B1390E" w:rsidR="00B1390E" w:rsidP="20C657D0" w:rsidRDefault="00B1390E" w14:paraId="5D44581C" w14:textId="34965243">
      <w:pPr>
        <w:spacing w:before="240" w:beforeAutospacing="off" w:after="240" w:afterAutospacing="off" w:line="360" w:lineRule="auto"/>
        <w:ind/>
        <w:jc w:val="both"/>
      </w:pPr>
      <w:r w:rsidRPr="20C657D0" w:rsidR="631ED510">
        <w:rPr>
          <w:rFonts w:ascii="Arial" w:hAnsi="Arial" w:eastAsia="Arial" w:cs="Arial"/>
          <w:noProof w:val="0"/>
          <w:sz w:val="22"/>
          <w:szCs w:val="22"/>
          <w:lang w:val="pt-BR"/>
        </w:rPr>
        <w:t>Essa diretriz vale especialmente para perguntas sobre:</w:t>
      </w:r>
    </w:p>
    <w:p w:rsidRPr="00B1390E" w:rsidR="00B1390E" w:rsidP="20C657D0" w:rsidRDefault="00B1390E" w14:paraId="6D5DE97A" w14:textId="27E34D68">
      <w:pPr>
        <w:pStyle w:val="PargrafodaLista"/>
        <w:numPr>
          <w:ilvl w:val="0"/>
          <w:numId w:val="61"/>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gestão de pessoas;</w:t>
      </w:r>
    </w:p>
    <w:p w:rsidRPr="00B1390E" w:rsidR="00B1390E" w:rsidP="20C657D0" w:rsidRDefault="00B1390E" w14:paraId="5E682619" w14:textId="2436F0B9">
      <w:pPr>
        <w:pStyle w:val="PargrafodaLista"/>
        <w:numPr>
          <w:ilvl w:val="0"/>
          <w:numId w:val="61"/>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planejamento;</w:t>
      </w:r>
    </w:p>
    <w:p w:rsidRPr="00B1390E" w:rsidR="00B1390E" w:rsidP="20C657D0" w:rsidRDefault="00B1390E" w14:paraId="4650E474" w14:textId="63C77ACD">
      <w:pPr>
        <w:pStyle w:val="PargrafodaLista"/>
        <w:numPr>
          <w:ilvl w:val="0"/>
          <w:numId w:val="61"/>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riscos;</w:t>
      </w:r>
    </w:p>
    <w:p w:rsidRPr="00B1390E" w:rsidR="00B1390E" w:rsidP="20C657D0" w:rsidRDefault="00B1390E" w14:paraId="069D1C5C" w14:textId="441D7049">
      <w:pPr>
        <w:pStyle w:val="PargrafodaLista"/>
        <w:numPr>
          <w:ilvl w:val="0"/>
          <w:numId w:val="61"/>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auditoria interna;</w:t>
      </w:r>
    </w:p>
    <w:p w:rsidRPr="00B1390E" w:rsidR="00B1390E" w:rsidP="20C657D0" w:rsidRDefault="00B1390E" w14:paraId="4EE63C88" w14:textId="2E2A785F">
      <w:pPr>
        <w:pStyle w:val="PargrafodaLista"/>
        <w:numPr>
          <w:ilvl w:val="0"/>
          <w:numId w:val="61"/>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monitoramento;</w:t>
      </w:r>
    </w:p>
    <w:p w:rsidRPr="00B1390E" w:rsidR="00B1390E" w:rsidP="20C657D0" w:rsidRDefault="00B1390E" w14:paraId="757F1303" w14:textId="5342BFC0">
      <w:pPr>
        <w:pStyle w:val="PargrafodaLista"/>
        <w:numPr>
          <w:ilvl w:val="0"/>
          <w:numId w:val="61"/>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resultados;</w:t>
      </w:r>
    </w:p>
    <w:p w:rsidRPr="00B1390E" w:rsidR="00B1390E" w:rsidP="20C657D0" w:rsidRDefault="00B1390E" w14:paraId="066164D3" w14:textId="22E0496C">
      <w:pPr>
        <w:pStyle w:val="PargrafodaLista"/>
        <w:numPr>
          <w:ilvl w:val="0"/>
          <w:numId w:val="61"/>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contratos.</w:t>
      </w:r>
    </w:p>
    <w:p w:rsidRPr="00B1390E" w:rsidR="00B1390E" w:rsidP="20C657D0" w:rsidRDefault="00B1390E" w14:paraId="6BB24BFD" w14:textId="1CDD0BE4">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Fundamentação</w:t>
      </w:r>
      <w:r w:rsidRPr="20C657D0" w:rsidR="233CCD1F">
        <w:rPr>
          <w:rFonts w:ascii="Arial" w:hAnsi="Arial" w:eastAsia="Arial" w:cs="Arial"/>
          <w:b w:val="1"/>
          <w:bCs w:val="1"/>
          <w:noProof w:val="0"/>
          <w:sz w:val="22"/>
          <w:szCs w:val="22"/>
          <w:lang w:val="pt-BR"/>
        </w:rPr>
        <w:t>:</w:t>
      </w:r>
      <w:r w:rsidRPr="20C657D0" w:rsidR="631ED510">
        <w:rPr>
          <w:rFonts w:ascii="Arial" w:hAnsi="Arial" w:eastAsia="Arial" w:cs="Arial"/>
          <w:noProof w:val="0"/>
          <w:sz w:val="22"/>
          <w:szCs w:val="22"/>
          <w:lang w:val="pt-BR"/>
        </w:rPr>
        <w:t xml:space="preserve"> O material do TCE-PE é particularmente útil nesse ponto. O manual registra que, para a avaliação de governança e gestão de TI, foram selecionadas apenas as questões que compõem o iGovTI do </w:t>
      </w:r>
      <w:r w:rsidRPr="20C657D0" w:rsidR="631ED510">
        <w:rPr>
          <w:rFonts w:ascii="Arial" w:hAnsi="Arial" w:eastAsia="Arial" w:cs="Arial"/>
          <w:noProof w:val="0"/>
          <w:sz w:val="22"/>
          <w:szCs w:val="22"/>
          <w:lang w:val="pt-BR"/>
        </w:rPr>
        <w:t>iGG</w:t>
      </w:r>
      <w:r w:rsidRPr="20C657D0" w:rsidR="631ED510">
        <w:rPr>
          <w:rFonts w:ascii="Arial" w:hAnsi="Arial" w:eastAsia="Arial" w:cs="Arial"/>
          <w:noProof w:val="0"/>
          <w:sz w:val="22"/>
          <w:szCs w:val="22"/>
          <w:lang w:val="pt-BR"/>
        </w:rPr>
        <w:t xml:space="preserve"> 2021, com recorte explícito para TI. </w:t>
      </w:r>
      <w:r>
        <w:br/>
      </w:r>
      <w:r w:rsidRPr="20C657D0" w:rsidR="631ED510">
        <w:rPr>
          <w:rFonts w:ascii="Arial" w:hAnsi="Arial" w:eastAsia="Arial" w:cs="Arial"/>
          <w:noProof w:val="0"/>
          <w:sz w:val="22"/>
          <w:szCs w:val="22"/>
          <w:lang w:val="pt-BR"/>
        </w:rPr>
        <w:t xml:space="preserve">A avaliação consolidada do TCE-RJ também registrou como ponto positivo do TCE-PE justamente o ajuste de redação com restrição de escopo a termos de TI ou do setor de TI, como forma de reduzir ruído e facilitar entendimento. </w:t>
      </w:r>
    </w:p>
    <w:p w:rsidRPr="00B1390E" w:rsidR="00B1390E" w:rsidP="20C657D0" w:rsidRDefault="00B1390E" w14:paraId="17994C02" w14:textId="1CCFC487">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O que se espera com o ajuste</w:t>
      </w:r>
      <w:r w:rsidRPr="20C657D0" w:rsidR="03E84957">
        <w:rPr>
          <w:rFonts w:ascii="Arial" w:hAnsi="Arial" w:eastAsia="Arial" w:cs="Arial"/>
          <w:b w:val="1"/>
          <w:bCs w:val="1"/>
          <w:noProof w:val="0"/>
          <w:sz w:val="22"/>
          <w:szCs w:val="22"/>
          <w:lang w:val="pt-BR"/>
        </w:rPr>
        <w:t>:</w:t>
      </w:r>
      <w:r w:rsidRPr="20C657D0" w:rsidR="631ED510">
        <w:rPr>
          <w:rFonts w:ascii="Arial" w:hAnsi="Arial" w:eastAsia="Arial" w:cs="Arial"/>
          <w:noProof w:val="0"/>
          <w:sz w:val="22"/>
          <w:szCs w:val="22"/>
          <w:lang w:val="pt-BR"/>
        </w:rPr>
        <w:t xml:space="preserve"> Aumentar a uniformidade de interpretação, reduzir respostas inconsistentes e tornar o instrumento mais aderente ao seu objeto real, que é a governança e a gestão de TIC, e não a governança organizacional em sentido genérico.</w:t>
      </w:r>
    </w:p>
    <w:p w:rsidRPr="00B1390E" w:rsidR="00B1390E" w:rsidP="20C657D0" w:rsidRDefault="00B1390E" w14:paraId="65974610" w14:textId="2866371F">
      <w:pPr>
        <w:pStyle w:val="Ttulo2"/>
      </w:pPr>
      <w:r w:rsidRPr="20C657D0" w:rsidR="631ED510">
        <w:rPr>
          <w:noProof w:val="0"/>
          <w:lang w:val="pt-BR"/>
        </w:rPr>
        <w:t>3.4. Reforçar fortemente a dimensão de planejamento de TI, para captar uso real e não apenas existência formal</w:t>
      </w:r>
    </w:p>
    <w:p w:rsidRPr="00B1390E" w:rsidR="00B1390E" w:rsidP="20C657D0" w:rsidRDefault="00B1390E" w14:paraId="1046A735" w14:textId="7E15E77C">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Classificação:</w:t>
      </w:r>
      <w:r w:rsidRPr="20C657D0" w:rsidR="631ED510">
        <w:rPr>
          <w:rFonts w:ascii="Arial" w:hAnsi="Arial" w:eastAsia="Arial" w:cs="Arial"/>
          <w:noProof w:val="0"/>
          <w:sz w:val="22"/>
          <w:szCs w:val="22"/>
          <w:lang w:val="pt-BR"/>
        </w:rPr>
        <w:t xml:space="preserve"> </w:t>
      </w:r>
      <w:r w:rsidRPr="20C657D0" w:rsidR="631ED510">
        <w:rPr>
          <w:rFonts w:ascii="Arial" w:hAnsi="Arial" w:eastAsia="Arial" w:cs="Arial"/>
          <w:b w:val="1"/>
          <w:bCs w:val="1"/>
          <w:noProof w:val="0"/>
          <w:sz w:val="22"/>
          <w:szCs w:val="22"/>
          <w:lang w:val="pt-BR"/>
        </w:rPr>
        <w:t>Alto</w:t>
      </w:r>
    </w:p>
    <w:p w:rsidRPr="00B1390E" w:rsidR="00B1390E" w:rsidP="20C657D0" w:rsidRDefault="00B1390E" w14:paraId="04F5CBB7" w14:textId="6FDA7E7D">
      <w:pPr>
        <w:spacing w:before="240" w:beforeAutospacing="off" w:after="240" w:afterAutospacing="off" w:line="360" w:lineRule="auto"/>
        <w:ind/>
        <w:jc w:val="both"/>
        <w:rPr>
          <w:rFonts w:ascii="Arial" w:hAnsi="Arial" w:eastAsia="Arial" w:cs="Arial"/>
          <w:b w:val="0"/>
          <w:bCs w:val="0"/>
          <w:noProof w:val="0"/>
          <w:sz w:val="22"/>
          <w:szCs w:val="22"/>
          <w:lang w:val="pt-BR"/>
        </w:rPr>
      </w:pPr>
      <w:r w:rsidRPr="20C657D0" w:rsidR="631ED510">
        <w:rPr>
          <w:rFonts w:ascii="Arial" w:hAnsi="Arial" w:eastAsia="Arial" w:cs="Arial"/>
          <w:b w:val="1"/>
          <w:bCs w:val="1"/>
          <w:noProof w:val="0"/>
          <w:sz w:val="22"/>
          <w:szCs w:val="22"/>
          <w:lang w:val="pt-BR"/>
        </w:rPr>
        <w:t>Proposta</w:t>
      </w:r>
      <w:r w:rsidRPr="20C657D0" w:rsidR="51F11AFF">
        <w:rPr>
          <w:rFonts w:ascii="Arial" w:hAnsi="Arial" w:eastAsia="Arial" w:cs="Arial"/>
          <w:b w:val="1"/>
          <w:bCs w:val="1"/>
          <w:noProof w:val="0"/>
          <w:sz w:val="22"/>
          <w:szCs w:val="22"/>
          <w:lang w:val="pt-BR"/>
        </w:rPr>
        <w:t>:</w:t>
      </w:r>
      <w:r w:rsidRPr="20C657D0" w:rsidR="631ED510">
        <w:rPr>
          <w:rFonts w:ascii="Arial" w:hAnsi="Arial" w:eastAsia="Arial" w:cs="Arial"/>
          <w:b w:val="0"/>
          <w:bCs w:val="0"/>
          <w:noProof w:val="0"/>
          <w:sz w:val="22"/>
          <w:szCs w:val="22"/>
          <w:lang w:val="pt-BR"/>
        </w:rPr>
        <w:t xml:space="preserve"> Aprimorar a dimensão de </w:t>
      </w:r>
      <w:r w:rsidRPr="20C657D0" w:rsidR="631ED510">
        <w:rPr>
          <w:rFonts w:ascii="Arial" w:hAnsi="Arial" w:eastAsia="Arial" w:cs="Arial"/>
          <w:b w:val="0"/>
          <w:bCs w:val="0"/>
          <w:noProof w:val="0"/>
          <w:sz w:val="22"/>
          <w:szCs w:val="22"/>
          <w:lang w:val="pt-BR"/>
        </w:rPr>
        <w:t>Planejamento de TI</w:t>
      </w:r>
      <w:r w:rsidRPr="20C657D0" w:rsidR="631ED510">
        <w:rPr>
          <w:rFonts w:ascii="Arial" w:hAnsi="Arial" w:eastAsia="Arial" w:cs="Arial"/>
          <w:b w:val="0"/>
          <w:bCs w:val="0"/>
          <w:noProof w:val="0"/>
          <w:sz w:val="22"/>
          <w:szCs w:val="22"/>
          <w:lang w:val="pt-BR"/>
        </w:rPr>
        <w:t xml:space="preserve"> para que ela deixe de captar apenas a existência de um documento e passe a captar sinais objetivos de que o processo de planejamento é efetivamente executado e produz consequências reais.</w:t>
      </w:r>
    </w:p>
    <w:p w:rsidRPr="00B1390E" w:rsidR="00B1390E" w:rsidP="20C657D0" w:rsidRDefault="00B1390E" w14:paraId="03AF6B24" w14:textId="375978B4">
      <w:pPr>
        <w:spacing w:before="240" w:beforeAutospacing="off" w:after="240" w:afterAutospacing="off" w:line="360" w:lineRule="auto"/>
        <w:ind/>
        <w:jc w:val="both"/>
      </w:pPr>
      <w:r w:rsidRPr="20C657D0" w:rsidR="631ED510">
        <w:rPr>
          <w:rFonts w:ascii="Arial" w:hAnsi="Arial" w:eastAsia="Arial" w:cs="Arial"/>
          <w:noProof w:val="0"/>
          <w:sz w:val="22"/>
          <w:szCs w:val="22"/>
          <w:lang w:val="pt-BR"/>
        </w:rPr>
        <w:t>Além de perguntar se há processo de planejamento e se há plano vigente, o questionário deve verificar, por exemplo:</w:t>
      </w:r>
    </w:p>
    <w:p w:rsidRPr="00B1390E" w:rsidR="00B1390E" w:rsidP="20C657D0" w:rsidRDefault="00B1390E" w14:paraId="7884E22A" w14:textId="669848F0">
      <w:pPr>
        <w:pStyle w:val="PargrafodaLista"/>
        <w:numPr>
          <w:ilvl w:val="0"/>
          <w:numId w:val="62"/>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se o plano foi revisado em período recente;</w:t>
      </w:r>
    </w:p>
    <w:p w:rsidRPr="00B1390E" w:rsidR="00B1390E" w:rsidP="20C657D0" w:rsidRDefault="00B1390E" w14:paraId="5033CC60" w14:textId="34D81094">
      <w:pPr>
        <w:pStyle w:val="PargrafodaLista"/>
        <w:numPr>
          <w:ilvl w:val="0"/>
          <w:numId w:val="62"/>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se o plano contém metas, prioridades e responsáveis;</w:t>
      </w:r>
    </w:p>
    <w:p w:rsidRPr="00B1390E" w:rsidR="00B1390E" w:rsidP="20C657D0" w:rsidRDefault="00B1390E" w14:paraId="1D758EC7" w14:textId="7E64F5BD">
      <w:pPr>
        <w:pStyle w:val="PargrafodaLista"/>
        <w:numPr>
          <w:ilvl w:val="0"/>
          <w:numId w:val="62"/>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se o plano é utilizado para orientar contratações;</w:t>
      </w:r>
    </w:p>
    <w:p w:rsidRPr="00B1390E" w:rsidR="00B1390E" w:rsidP="20C657D0" w:rsidRDefault="00B1390E" w14:paraId="05A877E9" w14:textId="14793DB7">
      <w:pPr>
        <w:pStyle w:val="PargrafodaLista"/>
        <w:numPr>
          <w:ilvl w:val="0"/>
          <w:numId w:val="62"/>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se há vínculo entre plano, orçamento e PCA/PCA-TIC;</w:t>
      </w:r>
    </w:p>
    <w:p w:rsidRPr="00B1390E" w:rsidR="00B1390E" w:rsidP="20C657D0" w:rsidRDefault="00B1390E" w14:paraId="26545971" w14:textId="0B4E7BDA">
      <w:pPr>
        <w:pStyle w:val="PargrafodaLista"/>
        <w:numPr>
          <w:ilvl w:val="0"/>
          <w:numId w:val="62"/>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se a instância de governança acompanha sua execução;</w:t>
      </w:r>
    </w:p>
    <w:p w:rsidRPr="00B1390E" w:rsidR="00B1390E" w:rsidP="20C657D0" w:rsidRDefault="00B1390E" w14:paraId="7EE56670" w14:textId="6B4321B2">
      <w:pPr>
        <w:pStyle w:val="PargrafodaLista"/>
        <w:numPr>
          <w:ilvl w:val="0"/>
          <w:numId w:val="62"/>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se há evidência de replanejamento ou revisão decorrente de monitoramento.</w:t>
      </w:r>
    </w:p>
    <w:p w:rsidRPr="00B1390E" w:rsidR="00B1390E" w:rsidP="20C657D0" w:rsidRDefault="00B1390E" w14:paraId="7B5CA091" w14:textId="70775D24">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Fundamentação</w:t>
      </w:r>
      <w:r w:rsidRPr="20C657D0" w:rsidR="3CC309AB">
        <w:rPr>
          <w:rFonts w:ascii="Arial" w:hAnsi="Arial" w:eastAsia="Arial" w:cs="Arial"/>
          <w:b w:val="1"/>
          <w:bCs w:val="1"/>
          <w:noProof w:val="0"/>
          <w:sz w:val="22"/>
          <w:szCs w:val="22"/>
          <w:lang w:val="pt-BR"/>
        </w:rPr>
        <w:t>:</w:t>
      </w:r>
      <w:r w:rsidRPr="20C657D0" w:rsidR="631ED510">
        <w:rPr>
          <w:rFonts w:ascii="Arial" w:hAnsi="Arial" w:eastAsia="Arial" w:cs="Arial"/>
          <w:noProof w:val="0"/>
          <w:sz w:val="22"/>
          <w:szCs w:val="22"/>
          <w:lang w:val="pt-BR"/>
        </w:rPr>
        <w:t xml:space="preserve"> O material consolidado já apontava que o núcleo de planejamento não deveria avaliar apenas “existência do plano”, mas também horizonte de metas, cobertura de recursos e atualização. No TCE-PE, planejamento aparece em duas perguntas simples, mas claramente direcionadas: execução do processo de planejamento de TI e existência de plano vigente. </w:t>
      </w:r>
      <w:r>
        <w:br/>
      </w:r>
      <w:r w:rsidRPr="20C657D0" w:rsidR="631ED510">
        <w:rPr>
          <w:rFonts w:ascii="Arial" w:hAnsi="Arial" w:eastAsia="Arial" w:cs="Arial"/>
          <w:noProof w:val="0"/>
          <w:sz w:val="22"/>
          <w:szCs w:val="22"/>
          <w:lang w:val="pt-BR"/>
        </w:rPr>
        <w:t>Nos antecedentes da CAD-TI e nas conclusões já registradas, o planejamento de TIC apareceu como uma das dimensões com maior poder explicativo e com mais impacto sobre contratações, priorização e execução.</w:t>
      </w:r>
    </w:p>
    <w:p w:rsidRPr="00B1390E" w:rsidR="00B1390E" w:rsidP="20C657D0" w:rsidRDefault="00B1390E" w14:paraId="0540B5E2" w14:textId="3B983339">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O que se espera com o ajuste</w:t>
      </w:r>
      <w:r w:rsidRPr="20C657D0" w:rsidR="6AF78127">
        <w:rPr>
          <w:rFonts w:ascii="Arial" w:hAnsi="Arial" w:eastAsia="Arial" w:cs="Arial"/>
          <w:b w:val="1"/>
          <w:bCs w:val="1"/>
          <w:noProof w:val="0"/>
          <w:sz w:val="22"/>
          <w:szCs w:val="22"/>
          <w:lang w:val="pt-BR"/>
        </w:rPr>
        <w:t xml:space="preserve">: </w:t>
      </w:r>
      <w:r w:rsidRPr="20C657D0" w:rsidR="631ED510">
        <w:rPr>
          <w:rFonts w:ascii="Arial" w:hAnsi="Arial" w:eastAsia="Arial" w:cs="Arial"/>
          <w:noProof w:val="0"/>
          <w:sz w:val="22"/>
          <w:szCs w:val="22"/>
          <w:lang w:val="pt-BR"/>
        </w:rPr>
        <w:t>Distinguir com mais clareza planejamento formal de planejamento efetivo, aumentar a capacidade de identificar contratações reativas ou desalinhadas e dar maior valor analítico a uma das dimensões mais estratégicas do índice.</w:t>
      </w:r>
    </w:p>
    <w:p w:rsidRPr="00B1390E" w:rsidR="00B1390E" w:rsidP="20C657D0" w:rsidRDefault="00B1390E" w14:paraId="065AEF38" w14:textId="145A70F3">
      <w:pPr>
        <w:pStyle w:val="Ttulo2"/>
      </w:pPr>
      <w:r w:rsidRPr="20C657D0" w:rsidR="631ED510">
        <w:rPr>
          <w:noProof w:val="0"/>
          <w:lang w:val="pt-BR"/>
        </w:rPr>
        <w:t>3.5. Incluir e destacar a gestão de ativos como prática fundamental do iGovTI 2026</w:t>
      </w:r>
    </w:p>
    <w:p w:rsidRPr="00B1390E" w:rsidR="00B1390E" w:rsidP="20C657D0" w:rsidRDefault="00B1390E" w14:paraId="72162FCC" w14:textId="4E0CE9C4">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Classificação:</w:t>
      </w:r>
      <w:r w:rsidRPr="20C657D0" w:rsidR="631ED510">
        <w:rPr>
          <w:rFonts w:ascii="Arial" w:hAnsi="Arial" w:eastAsia="Arial" w:cs="Arial"/>
          <w:noProof w:val="0"/>
          <w:sz w:val="22"/>
          <w:szCs w:val="22"/>
          <w:lang w:val="pt-BR"/>
        </w:rPr>
        <w:t xml:space="preserve"> </w:t>
      </w:r>
      <w:r w:rsidRPr="20C657D0" w:rsidR="631ED510">
        <w:rPr>
          <w:rFonts w:ascii="Arial" w:hAnsi="Arial" w:eastAsia="Arial" w:cs="Arial"/>
          <w:b w:val="1"/>
          <w:bCs w:val="1"/>
          <w:noProof w:val="0"/>
          <w:sz w:val="22"/>
          <w:szCs w:val="22"/>
          <w:lang w:val="pt-BR"/>
        </w:rPr>
        <w:t>Alto</w:t>
      </w:r>
    </w:p>
    <w:p w:rsidRPr="00B1390E" w:rsidR="00B1390E" w:rsidP="20C657D0" w:rsidRDefault="00B1390E" w14:paraId="2DDBCFA4" w14:textId="5E3FA013">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Proposta</w:t>
      </w:r>
      <w:r w:rsidRPr="20C657D0" w:rsidR="730862DF">
        <w:rPr>
          <w:rFonts w:ascii="Arial" w:hAnsi="Arial" w:eastAsia="Arial" w:cs="Arial"/>
          <w:b w:val="1"/>
          <w:bCs w:val="1"/>
          <w:noProof w:val="0"/>
          <w:sz w:val="22"/>
          <w:szCs w:val="22"/>
          <w:lang w:val="pt-BR"/>
        </w:rPr>
        <w:t xml:space="preserve">: </w:t>
      </w:r>
      <w:r w:rsidRPr="20C657D0" w:rsidR="631ED510">
        <w:rPr>
          <w:rFonts w:ascii="Arial" w:hAnsi="Arial" w:eastAsia="Arial" w:cs="Arial"/>
          <w:noProof w:val="0"/>
          <w:sz w:val="22"/>
          <w:szCs w:val="22"/>
          <w:lang w:val="pt-BR"/>
        </w:rPr>
        <w:t>Adicionar, ou refor</w:t>
      </w:r>
      <w:r w:rsidRPr="20C657D0" w:rsidR="631ED510">
        <w:rPr>
          <w:rFonts w:ascii="Arial" w:hAnsi="Arial" w:eastAsia="Arial" w:cs="Arial"/>
          <w:b w:val="0"/>
          <w:bCs w:val="0"/>
          <w:noProof w:val="0"/>
          <w:sz w:val="22"/>
          <w:szCs w:val="22"/>
          <w:lang w:val="pt-BR"/>
        </w:rPr>
        <w:t xml:space="preserve">çar de forma explícita, itens sobre </w:t>
      </w:r>
      <w:r w:rsidRPr="20C657D0" w:rsidR="631ED510">
        <w:rPr>
          <w:rFonts w:ascii="Arial" w:hAnsi="Arial" w:eastAsia="Arial" w:cs="Arial"/>
          <w:b w:val="0"/>
          <w:bCs w:val="0"/>
          <w:noProof w:val="0"/>
          <w:sz w:val="22"/>
          <w:szCs w:val="22"/>
          <w:lang w:val="pt-BR"/>
        </w:rPr>
        <w:t>gestão de ativos de TIC</w:t>
      </w:r>
      <w:r w:rsidRPr="20C657D0" w:rsidR="631ED510">
        <w:rPr>
          <w:rFonts w:ascii="Arial" w:hAnsi="Arial" w:eastAsia="Arial" w:cs="Arial"/>
          <w:b w:val="0"/>
          <w:bCs w:val="0"/>
          <w:noProof w:val="0"/>
          <w:sz w:val="22"/>
          <w:szCs w:val="22"/>
          <w:lang w:val="pt-BR"/>
        </w:rPr>
        <w:t>, tanto no plano operacional quanto no plano de segurança da informação. Esse ajuste pode envolver duas frentes complementares:</w:t>
      </w:r>
    </w:p>
    <w:p w:rsidRPr="00B1390E" w:rsidR="00B1390E" w:rsidP="20C657D0" w:rsidRDefault="00B1390E" w14:paraId="582FEC64" w14:textId="048FC751">
      <w:pPr>
        <w:pStyle w:val="PargrafodaLista"/>
        <w:numPr>
          <w:ilvl w:val="0"/>
          <w:numId w:val="63"/>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b w:val="1"/>
          <w:bCs w:val="1"/>
          <w:noProof w:val="0"/>
          <w:sz w:val="22"/>
          <w:szCs w:val="22"/>
          <w:lang w:val="pt-BR"/>
        </w:rPr>
        <w:t>Gestão de configuração e ativos de serviços de TI</w:t>
      </w:r>
      <w:r w:rsidRPr="20C657D0" w:rsidR="631ED510">
        <w:rPr>
          <w:rFonts w:ascii="Arial" w:hAnsi="Arial" w:eastAsia="Arial" w:cs="Arial"/>
          <w:noProof w:val="0"/>
          <w:sz w:val="22"/>
          <w:szCs w:val="22"/>
          <w:lang w:val="pt-BR"/>
        </w:rPr>
        <w:t>;</w:t>
      </w:r>
    </w:p>
    <w:p w:rsidRPr="00B1390E" w:rsidR="00B1390E" w:rsidP="20C657D0" w:rsidRDefault="00B1390E" w14:paraId="79C8FD23" w14:textId="64274374">
      <w:pPr>
        <w:pStyle w:val="PargrafodaLista"/>
        <w:numPr>
          <w:ilvl w:val="0"/>
          <w:numId w:val="63"/>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b w:val="1"/>
          <w:bCs w:val="1"/>
          <w:noProof w:val="0"/>
          <w:sz w:val="22"/>
          <w:szCs w:val="22"/>
          <w:lang w:val="pt-BR"/>
        </w:rPr>
        <w:t>Gestão de ativos associados à informação</w:t>
      </w:r>
      <w:r w:rsidRPr="20C657D0" w:rsidR="631ED510">
        <w:rPr>
          <w:rFonts w:ascii="Arial" w:hAnsi="Arial" w:eastAsia="Arial" w:cs="Arial"/>
          <w:noProof w:val="0"/>
          <w:sz w:val="22"/>
          <w:szCs w:val="22"/>
          <w:lang w:val="pt-BR"/>
        </w:rPr>
        <w:t>, especialmente quando conectados a segurança, continuidade e riscos.</w:t>
      </w:r>
    </w:p>
    <w:p w:rsidRPr="00B1390E" w:rsidR="00B1390E" w:rsidP="20C657D0" w:rsidRDefault="00B1390E" w14:paraId="70F536ED" w14:textId="184DCFF2">
      <w:pPr>
        <w:spacing w:before="240" w:beforeAutospacing="off" w:after="240" w:afterAutospacing="off" w:line="360" w:lineRule="auto"/>
        <w:ind/>
        <w:jc w:val="both"/>
      </w:pPr>
      <w:r w:rsidRPr="20C657D0" w:rsidR="631ED510">
        <w:rPr>
          <w:rFonts w:ascii="Arial" w:hAnsi="Arial" w:eastAsia="Arial" w:cs="Arial"/>
          <w:noProof w:val="0"/>
          <w:sz w:val="22"/>
          <w:szCs w:val="22"/>
          <w:lang w:val="pt-BR"/>
        </w:rPr>
        <w:t>Na prática, o questionário deve captar se a organização:</w:t>
      </w:r>
    </w:p>
    <w:p w:rsidRPr="00B1390E" w:rsidR="00B1390E" w:rsidP="20C657D0" w:rsidRDefault="00B1390E" w14:paraId="52D15A63" w14:textId="7DCB2F8F">
      <w:pPr>
        <w:pStyle w:val="PargrafodaLista"/>
        <w:numPr>
          <w:ilvl w:val="0"/>
          <w:numId w:val="64"/>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mantém inventário mínimo de ativos de TIC;</w:t>
      </w:r>
    </w:p>
    <w:p w:rsidRPr="00B1390E" w:rsidR="00B1390E" w:rsidP="20C657D0" w:rsidRDefault="00B1390E" w14:paraId="7391B1A7" w14:textId="6404AFBB">
      <w:pPr>
        <w:pStyle w:val="PargrafodaLista"/>
        <w:numPr>
          <w:ilvl w:val="0"/>
          <w:numId w:val="64"/>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mantém controle mínimo de software e recursos críticos;</w:t>
      </w:r>
    </w:p>
    <w:p w:rsidRPr="00B1390E" w:rsidR="00B1390E" w:rsidP="20C657D0" w:rsidRDefault="00B1390E" w14:paraId="24176610" w14:textId="537ECA2A">
      <w:pPr>
        <w:pStyle w:val="PargrafodaLista"/>
        <w:numPr>
          <w:ilvl w:val="0"/>
          <w:numId w:val="64"/>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utiliza essas informações na gestão de mudanças, incidentes, continuidade e segurança;</w:t>
      </w:r>
    </w:p>
    <w:p w:rsidRPr="00B1390E" w:rsidR="00B1390E" w:rsidP="20C657D0" w:rsidRDefault="00B1390E" w14:paraId="16EBA51D" w14:textId="43FF34EB">
      <w:pPr>
        <w:pStyle w:val="PargrafodaLista"/>
        <w:numPr>
          <w:ilvl w:val="0"/>
          <w:numId w:val="64"/>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mantém os inventários atualizados e utilizáveis para gestão.</w:t>
      </w:r>
    </w:p>
    <w:p w:rsidRPr="00B1390E" w:rsidR="00B1390E" w:rsidP="20C657D0" w:rsidRDefault="00B1390E" w14:paraId="61D0087A" w14:textId="14BE6716">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Fundamentação</w:t>
      </w:r>
      <w:r w:rsidRPr="20C657D0" w:rsidR="47663287">
        <w:rPr>
          <w:rFonts w:ascii="Arial" w:hAnsi="Arial" w:eastAsia="Arial" w:cs="Arial"/>
          <w:b w:val="1"/>
          <w:bCs w:val="1"/>
          <w:noProof w:val="0"/>
          <w:sz w:val="22"/>
          <w:szCs w:val="22"/>
          <w:lang w:val="pt-BR"/>
        </w:rPr>
        <w:t xml:space="preserve">: </w:t>
      </w:r>
      <w:r w:rsidRPr="20C657D0" w:rsidR="631ED510">
        <w:rPr>
          <w:rFonts w:ascii="Arial" w:hAnsi="Arial" w:eastAsia="Arial" w:cs="Arial"/>
          <w:noProof w:val="0"/>
          <w:sz w:val="22"/>
          <w:szCs w:val="22"/>
          <w:lang w:val="pt-BR"/>
        </w:rPr>
        <w:t xml:space="preserve">A avaliação consolidada já registrava que segurança da informação com recortes “mínimos auditáveis” deve incluir inventário de ativos, backup e continuidade. </w:t>
      </w:r>
      <w:r>
        <w:br/>
      </w:r>
      <w:r w:rsidRPr="20C657D0" w:rsidR="631ED510">
        <w:rPr>
          <w:rFonts w:ascii="Arial" w:hAnsi="Arial" w:eastAsia="Arial" w:cs="Arial"/>
          <w:noProof w:val="0"/>
          <w:sz w:val="22"/>
          <w:szCs w:val="22"/>
          <w:lang w:val="pt-BR"/>
        </w:rPr>
        <w:t xml:space="preserve">O TCE-PE já trata explicitamente de gestão de configuração e ativos em serviços de TI (Q17) e de gestão de ativos associados à informação na dimensão de segurança (Q32). </w:t>
      </w:r>
      <w:r>
        <w:br/>
      </w:r>
      <w:r w:rsidRPr="20C657D0" w:rsidR="631ED510">
        <w:rPr>
          <w:rFonts w:ascii="Arial" w:hAnsi="Arial" w:eastAsia="Arial" w:cs="Arial"/>
          <w:noProof w:val="0"/>
          <w:sz w:val="22"/>
          <w:szCs w:val="22"/>
          <w:lang w:val="pt-BR"/>
        </w:rPr>
        <w:t>Além disso, a própria equipe identificou, na fiscalização de segurança da informação, que gestão de ativos é um controle fundamental e que deveria ser mais induzido.</w:t>
      </w:r>
    </w:p>
    <w:p w:rsidRPr="00B1390E" w:rsidR="00B1390E" w:rsidP="20C657D0" w:rsidRDefault="00B1390E" w14:paraId="5746F6F5" w14:textId="0539E851">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O que se espera com o ajuste</w:t>
      </w:r>
      <w:r w:rsidRPr="20C657D0" w:rsidR="55148B27">
        <w:rPr>
          <w:rFonts w:ascii="Arial" w:hAnsi="Arial" w:eastAsia="Arial" w:cs="Arial"/>
          <w:b w:val="1"/>
          <w:bCs w:val="1"/>
          <w:noProof w:val="0"/>
          <w:sz w:val="22"/>
          <w:szCs w:val="22"/>
          <w:lang w:val="pt-BR"/>
        </w:rPr>
        <w:t>:</w:t>
      </w:r>
      <w:r w:rsidRPr="20C657D0" w:rsidR="631ED510">
        <w:rPr>
          <w:rFonts w:ascii="Arial" w:hAnsi="Arial" w:eastAsia="Arial" w:cs="Arial"/>
          <w:noProof w:val="0"/>
          <w:sz w:val="22"/>
          <w:szCs w:val="22"/>
          <w:lang w:val="pt-BR"/>
        </w:rPr>
        <w:t xml:space="preserve"> Aumentar a capacidade do iGovTI 2026 de capturar controles básicos que sustentam segurança, continuidade, planejamento de substituição, resposta a incidentes e gestão de serviços, reduzindo respostas “de fachada” baseadas apenas em ferramentas isoladas.</w:t>
      </w:r>
    </w:p>
    <w:p w:rsidRPr="00B1390E" w:rsidR="00B1390E" w:rsidP="20C657D0" w:rsidRDefault="00B1390E" w14:paraId="6E9BD412" w14:textId="23599786">
      <w:pPr>
        <w:pStyle w:val="Ttulo2"/>
      </w:pPr>
      <w:r w:rsidRPr="20C657D0" w:rsidR="631ED510">
        <w:rPr>
          <w:noProof w:val="0"/>
          <w:lang w:val="pt-BR"/>
        </w:rPr>
        <w:t>3.6. Estruturar formalmente o instrumento em duas camadas: núcleo do índice e módulos complementares</w:t>
      </w:r>
    </w:p>
    <w:p w:rsidRPr="00B1390E" w:rsidR="00B1390E" w:rsidP="20C657D0" w:rsidRDefault="00B1390E" w14:paraId="4882284D" w14:textId="0FD3F0A6">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Classificação:</w:t>
      </w:r>
      <w:r w:rsidRPr="20C657D0" w:rsidR="631ED510">
        <w:rPr>
          <w:rFonts w:ascii="Arial" w:hAnsi="Arial" w:eastAsia="Arial" w:cs="Arial"/>
          <w:noProof w:val="0"/>
          <w:sz w:val="22"/>
          <w:szCs w:val="22"/>
          <w:lang w:val="pt-BR"/>
        </w:rPr>
        <w:t xml:space="preserve"> </w:t>
      </w:r>
      <w:r w:rsidRPr="20C657D0" w:rsidR="631ED510">
        <w:rPr>
          <w:rFonts w:ascii="Arial" w:hAnsi="Arial" w:eastAsia="Arial" w:cs="Arial"/>
          <w:b w:val="1"/>
          <w:bCs w:val="1"/>
          <w:noProof w:val="0"/>
          <w:sz w:val="22"/>
          <w:szCs w:val="22"/>
          <w:lang w:val="pt-BR"/>
        </w:rPr>
        <w:t>Alto</w:t>
      </w:r>
    </w:p>
    <w:p w:rsidRPr="00B1390E" w:rsidR="00B1390E" w:rsidP="20C657D0" w:rsidRDefault="00B1390E" w14:paraId="58FE1337" w14:textId="7A1C20FC">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Proposta</w:t>
      </w:r>
      <w:r w:rsidRPr="20C657D0" w:rsidR="4980F134">
        <w:rPr>
          <w:rFonts w:ascii="Arial" w:hAnsi="Arial" w:eastAsia="Arial" w:cs="Arial"/>
          <w:b w:val="1"/>
          <w:bCs w:val="1"/>
          <w:noProof w:val="0"/>
          <w:sz w:val="22"/>
          <w:szCs w:val="22"/>
          <w:lang w:val="pt-BR"/>
        </w:rPr>
        <w:t>:</w:t>
      </w:r>
      <w:r w:rsidRPr="20C657D0" w:rsidR="631ED510">
        <w:rPr>
          <w:rFonts w:ascii="Arial" w:hAnsi="Arial" w:eastAsia="Arial" w:cs="Arial"/>
          <w:noProof w:val="0"/>
          <w:sz w:val="22"/>
          <w:szCs w:val="22"/>
          <w:lang w:val="pt-BR"/>
        </w:rPr>
        <w:t xml:space="preserve"> Organizar formalmente o questionário em duas camadas:</w:t>
      </w:r>
    </w:p>
    <w:p w:rsidRPr="00B1390E" w:rsidR="00B1390E" w:rsidP="20C657D0" w:rsidRDefault="00B1390E" w14:paraId="0EB21FAE" w14:textId="5E39F4F1">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(i) Núcleo iGovTI</w:t>
      </w:r>
      <w:r w:rsidRPr="20C657D0" w:rsidR="233BE0B3">
        <w:rPr>
          <w:rFonts w:ascii="Arial" w:hAnsi="Arial" w:eastAsia="Arial" w:cs="Arial"/>
          <w:b w:val="1"/>
          <w:bCs w:val="1"/>
          <w:noProof w:val="0"/>
          <w:sz w:val="22"/>
          <w:szCs w:val="22"/>
          <w:lang w:val="pt-BR"/>
        </w:rPr>
        <w:t>:</w:t>
      </w:r>
      <w:r w:rsidRPr="20C657D0" w:rsidR="631ED510">
        <w:rPr>
          <w:rFonts w:ascii="Arial" w:hAnsi="Arial" w:eastAsia="Arial" w:cs="Arial"/>
          <w:noProof w:val="0"/>
          <w:sz w:val="22"/>
          <w:szCs w:val="22"/>
          <w:lang w:val="pt-BR"/>
        </w:rPr>
        <w:t xml:space="preserve"> Conjunto de práticas que compõem o índice e será comum a todos os jurisdicionados.</w:t>
      </w:r>
    </w:p>
    <w:p w:rsidRPr="00B1390E" w:rsidR="00B1390E" w:rsidP="20C657D0" w:rsidRDefault="00B1390E" w14:paraId="5DBD89A7" w14:textId="16C34AC5">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w:t>
      </w:r>
      <w:r w:rsidRPr="20C657D0" w:rsidR="631ED510">
        <w:rPr>
          <w:rFonts w:ascii="Arial" w:hAnsi="Arial" w:eastAsia="Arial" w:cs="Arial"/>
          <w:b w:val="1"/>
          <w:bCs w:val="1"/>
          <w:noProof w:val="0"/>
          <w:sz w:val="22"/>
          <w:szCs w:val="22"/>
          <w:lang w:val="pt-BR"/>
        </w:rPr>
        <w:t>ii</w:t>
      </w:r>
      <w:r w:rsidRPr="20C657D0" w:rsidR="631ED510">
        <w:rPr>
          <w:rFonts w:ascii="Arial" w:hAnsi="Arial" w:eastAsia="Arial" w:cs="Arial"/>
          <w:b w:val="1"/>
          <w:bCs w:val="1"/>
          <w:noProof w:val="0"/>
          <w:sz w:val="22"/>
          <w:szCs w:val="22"/>
          <w:lang w:val="pt-BR"/>
        </w:rPr>
        <w:t>) Módulos complementares</w:t>
      </w:r>
      <w:r w:rsidRPr="20C657D0" w:rsidR="1CDDDD1B">
        <w:rPr>
          <w:rFonts w:ascii="Arial" w:hAnsi="Arial" w:eastAsia="Arial" w:cs="Arial"/>
          <w:b w:val="1"/>
          <w:bCs w:val="1"/>
          <w:noProof w:val="0"/>
          <w:sz w:val="22"/>
          <w:szCs w:val="22"/>
          <w:lang w:val="pt-BR"/>
        </w:rPr>
        <w:t>:</w:t>
      </w:r>
      <w:r w:rsidRPr="20C657D0" w:rsidR="631ED510">
        <w:rPr>
          <w:rFonts w:ascii="Arial" w:hAnsi="Arial" w:eastAsia="Arial" w:cs="Arial"/>
          <w:noProof w:val="0"/>
          <w:sz w:val="22"/>
          <w:szCs w:val="22"/>
          <w:lang w:val="pt-BR"/>
        </w:rPr>
        <w:t xml:space="preserve"> Perguntas específicas, não computadas no índice, destinadas a capturar obrigações, riscos ou contextos próprios de determinados universos.</w:t>
      </w:r>
    </w:p>
    <w:p w:rsidRPr="00B1390E" w:rsidR="00B1390E" w:rsidP="20C657D0" w:rsidRDefault="00B1390E" w14:paraId="309F52A0" w14:textId="159E07B5">
      <w:pPr>
        <w:spacing w:before="240" w:beforeAutospacing="off" w:after="240" w:afterAutospacing="off" w:line="360" w:lineRule="auto"/>
        <w:ind/>
        <w:jc w:val="both"/>
      </w:pPr>
      <w:r w:rsidRPr="20C657D0" w:rsidR="631ED510">
        <w:rPr>
          <w:rFonts w:ascii="Arial" w:hAnsi="Arial" w:eastAsia="Arial" w:cs="Arial"/>
          <w:noProof w:val="0"/>
          <w:sz w:val="22"/>
          <w:szCs w:val="22"/>
          <w:lang w:val="pt-BR"/>
        </w:rPr>
        <w:t>Diante do novo escopo da fiscalização, recomenda-se ao menos:</w:t>
      </w:r>
    </w:p>
    <w:p w:rsidRPr="00B1390E" w:rsidR="00B1390E" w:rsidP="20C657D0" w:rsidRDefault="00B1390E" w14:paraId="42FBDD53" w14:textId="50C2F2B7">
      <w:pPr>
        <w:pStyle w:val="PargrafodaLista"/>
        <w:numPr>
          <w:ilvl w:val="0"/>
          <w:numId w:val="65"/>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 xml:space="preserve">um </w:t>
      </w:r>
      <w:r w:rsidRPr="20C657D0" w:rsidR="631ED510">
        <w:rPr>
          <w:rFonts w:ascii="Arial" w:hAnsi="Arial" w:eastAsia="Arial" w:cs="Arial"/>
          <w:b w:val="1"/>
          <w:bCs w:val="1"/>
          <w:noProof w:val="0"/>
          <w:sz w:val="22"/>
          <w:szCs w:val="22"/>
          <w:lang w:val="pt-BR"/>
        </w:rPr>
        <w:t>módulo Municípios</w:t>
      </w:r>
      <w:r w:rsidRPr="20C657D0" w:rsidR="631ED510">
        <w:rPr>
          <w:rFonts w:ascii="Arial" w:hAnsi="Arial" w:eastAsia="Arial" w:cs="Arial"/>
          <w:noProof w:val="0"/>
          <w:sz w:val="22"/>
          <w:szCs w:val="22"/>
          <w:lang w:val="pt-BR"/>
        </w:rPr>
        <w:t>, com itens específicos de governo digital, conformidade externa e obrigações municipais;</w:t>
      </w:r>
    </w:p>
    <w:p w:rsidRPr="00B1390E" w:rsidR="00B1390E" w:rsidP="20C657D0" w:rsidRDefault="00B1390E" w14:paraId="1A0F9544" w14:textId="4F9353AF">
      <w:pPr>
        <w:pStyle w:val="PargrafodaLista"/>
        <w:numPr>
          <w:ilvl w:val="0"/>
          <w:numId w:val="65"/>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 xml:space="preserve">um </w:t>
      </w:r>
      <w:r w:rsidRPr="20C657D0" w:rsidR="631ED510">
        <w:rPr>
          <w:rFonts w:ascii="Arial" w:hAnsi="Arial" w:eastAsia="Arial" w:cs="Arial"/>
          <w:b w:val="1"/>
          <w:bCs w:val="1"/>
          <w:noProof w:val="0"/>
          <w:sz w:val="22"/>
          <w:szCs w:val="22"/>
          <w:lang w:val="pt-BR"/>
        </w:rPr>
        <w:t>módulo Organizações Estaduais</w:t>
      </w:r>
      <w:r w:rsidRPr="20C657D0" w:rsidR="631ED510">
        <w:rPr>
          <w:rFonts w:ascii="Arial" w:hAnsi="Arial" w:eastAsia="Arial" w:cs="Arial"/>
          <w:noProof w:val="0"/>
          <w:sz w:val="22"/>
          <w:szCs w:val="22"/>
          <w:lang w:val="pt-BR"/>
        </w:rPr>
        <w:t>, com itens voltados às especificidades de órgãos dos Poderes e de entidades estaduais;</w:t>
      </w:r>
    </w:p>
    <w:p w:rsidRPr="00B1390E" w:rsidR="00B1390E" w:rsidP="20C657D0" w:rsidRDefault="00B1390E" w14:paraId="12EAB12A" w14:textId="67A9211C">
      <w:pPr>
        <w:pStyle w:val="PargrafodaLista"/>
        <w:numPr>
          <w:ilvl w:val="0"/>
          <w:numId w:val="65"/>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 xml:space="preserve">um </w:t>
      </w:r>
      <w:r w:rsidRPr="20C657D0" w:rsidR="631ED510">
        <w:rPr>
          <w:rFonts w:ascii="Arial" w:hAnsi="Arial" w:eastAsia="Arial" w:cs="Arial"/>
          <w:b w:val="1"/>
          <w:bCs w:val="1"/>
          <w:noProof w:val="0"/>
          <w:sz w:val="22"/>
          <w:szCs w:val="22"/>
          <w:lang w:val="pt-BR"/>
        </w:rPr>
        <w:t>submódulo do Executivo</w:t>
      </w:r>
      <w:r w:rsidRPr="20C657D0" w:rsidR="631ED510">
        <w:rPr>
          <w:rFonts w:ascii="Arial" w:hAnsi="Arial" w:eastAsia="Arial" w:cs="Arial"/>
          <w:noProof w:val="0"/>
          <w:sz w:val="22"/>
          <w:szCs w:val="22"/>
          <w:lang w:val="pt-BR"/>
        </w:rPr>
        <w:t>, quando necessário, para normas, arranjos e mecanismos específicos do modelo estadual de TIC.</w:t>
      </w:r>
    </w:p>
    <w:p w:rsidRPr="00B1390E" w:rsidR="00B1390E" w:rsidP="20C657D0" w:rsidRDefault="00B1390E" w14:paraId="6DC5651E" w14:textId="1C5B898E">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Fundamentação</w:t>
      </w:r>
      <w:r w:rsidRPr="20C657D0" w:rsidR="7D5F0DC0">
        <w:rPr>
          <w:rFonts w:ascii="Arial" w:hAnsi="Arial" w:eastAsia="Arial" w:cs="Arial"/>
          <w:b w:val="1"/>
          <w:bCs w:val="1"/>
          <w:noProof w:val="0"/>
          <w:sz w:val="22"/>
          <w:szCs w:val="22"/>
          <w:lang w:val="pt-BR"/>
        </w:rPr>
        <w:t>:</w:t>
      </w:r>
      <w:r w:rsidRPr="20C657D0" w:rsidR="631ED510">
        <w:rPr>
          <w:rFonts w:ascii="Arial" w:hAnsi="Arial" w:eastAsia="Arial" w:cs="Arial"/>
          <w:noProof w:val="0"/>
          <w:sz w:val="22"/>
          <w:szCs w:val="22"/>
          <w:lang w:val="pt-BR"/>
        </w:rPr>
        <w:t xml:space="preserve"> O relatório consolidado já registrava que a separação entre núcleo do índice e módulos específicos é uma melhoria central para 2026, justamente para evitar confusão entre o que é comparável e o que serve ao diagnóstico contextual. </w:t>
      </w:r>
      <w:r>
        <w:br/>
      </w:r>
      <w:r w:rsidRPr="20C657D0" w:rsidR="631ED510">
        <w:rPr>
          <w:rFonts w:ascii="Arial" w:hAnsi="Arial" w:eastAsia="Arial" w:cs="Arial"/>
          <w:noProof w:val="0"/>
          <w:sz w:val="22"/>
          <w:szCs w:val="22"/>
          <w:lang w:val="pt-BR"/>
        </w:rPr>
        <w:t>No próprio ciclo de 2023, essa separação já existiu na prática; o aperfeiçoamento necessário é torná-la mais explícita e mais bem refletida no desenho e nos produtos.</w:t>
      </w:r>
    </w:p>
    <w:p w:rsidRPr="00B1390E" w:rsidR="00B1390E" w:rsidP="20C657D0" w:rsidRDefault="00B1390E" w14:paraId="543B23CF" w14:textId="571438DC">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O que se espera com o ajuste</w:t>
      </w:r>
      <w:r w:rsidRPr="20C657D0" w:rsidR="1DAE6137">
        <w:rPr>
          <w:rFonts w:ascii="Arial" w:hAnsi="Arial" w:eastAsia="Arial" w:cs="Arial"/>
          <w:b w:val="1"/>
          <w:bCs w:val="1"/>
          <w:noProof w:val="0"/>
          <w:sz w:val="22"/>
          <w:szCs w:val="22"/>
          <w:lang w:val="pt-BR"/>
        </w:rPr>
        <w:t>:</w:t>
      </w:r>
      <w:r w:rsidRPr="20C657D0" w:rsidR="631ED510">
        <w:rPr>
          <w:rFonts w:ascii="Arial" w:hAnsi="Arial" w:eastAsia="Arial" w:cs="Arial"/>
          <w:noProof w:val="0"/>
          <w:sz w:val="22"/>
          <w:szCs w:val="22"/>
          <w:lang w:val="pt-BR"/>
        </w:rPr>
        <w:t xml:space="preserve"> Preservar comparabilidade do índice, organizar melhor o diagnóstico complementar e evitar que necessidades específicas de cada fiscalização diluam ou distorçam o núcleo central do iGovTI.</w:t>
      </w:r>
    </w:p>
    <w:p w:rsidRPr="00B1390E" w:rsidR="00B1390E" w:rsidP="20C657D0" w:rsidRDefault="00B1390E" w14:paraId="4CC0F740" w14:textId="641B8412">
      <w:pPr>
        <w:spacing w:line="360" w:lineRule="auto"/>
        <w:ind/>
        <w:jc w:val="both"/>
      </w:pPr>
    </w:p>
    <w:p w:rsidRPr="00B1390E" w:rsidR="00B1390E" w:rsidP="20C657D0" w:rsidRDefault="00B1390E" w14:paraId="67CC2521" w14:textId="061280A9">
      <w:pPr>
        <w:pStyle w:val="Ttulo3"/>
        <w:spacing w:before="281" w:beforeAutospacing="off" w:after="281" w:afterAutospacing="off" w:line="360" w:lineRule="auto"/>
        <w:ind/>
        <w:jc w:val="both"/>
      </w:pPr>
      <w:r w:rsidRPr="20C657D0" w:rsidR="631ED510">
        <w:rPr>
          <w:rFonts w:ascii="Arial" w:hAnsi="Arial" w:eastAsia="Arial" w:cs="Arial"/>
          <w:b w:val="1"/>
          <w:bCs w:val="1"/>
          <w:noProof w:val="0"/>
          <w:sz w:val="28"/>
          <w:szCs w:val="28"/>
          <w:lang w:val="pt-BR"/>
        </w:rPr>
        <w:t>3.7. Tornar obrigatórios subitens confirmatórios e evidências mínimas nas perguntas críticas</w:t>
      </w:r>
    </w:p>
    <w:p w:rsidRPr="00B1390E" w:rsidR="00B1390E" w:rsidP="20C657D0" w:rsidRDefault="00B1390E" w14:paraId="45AA674A" w14:textId="6CFB5560">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Classificação:</w:t>
      </w:r>
      <w:r w:rsidRPr="20C657D0" w:rsidR="631ED510">
        <w:rPr>
          <w:rFonts w:ascii="Arial" w:hAnsi="Arial" w:eastAsia="Arial" w:cs="Arial"/>
          <w:noProof w:val="0"/>
          <w:sz w:val="22"/>
          <w:szCs w:val="22"/>
          <w:lang w:val="pt-BR"/>
        </w:rPr>
        <w:t xml:space="preserve"> </w:t>
      </w:r>
      <w:r w:rsidRPr="20C657D0" w:rsidR="631ED510">
        <w:rPr>
          <w:rFonts w:ascii="Arial" w:hAnsi="Arial" w:eastAsia="Arial" w:cs="Arial"/>
          <w:b w:val="1"/>
          <w:bCs w:val="1"/>
          <w:noProof w:val="0"/>
          <w:sz w:val="22"/>
          <w:szCs w:val="22"/>
          <w:lang w:val="pt-BR"/>
        </w:rPr>
        <w:t>Alto</w:t>
      </w:r>
    </w:p>
    <w:p w:rsidRPr="00B1390E" w:rsidR="00B1390E" w:rsidP="20C657D0" w:rsidRDefault="00B1390E" w14:paraId="503E52A4" w14:textId="38DDE09C">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Proposta</w:t>
      </w:r>
      <w:r>
        <w:br/>
      </w:r>
      <w:r w:rsidRPr="20C657D0" w:rsidR="631ED510">
        <w:rPr>
          <w:rFonts w:ascii="Arial" w:hAnsi="Arial" w:eastAsia="Arial" w:cs="Arial"/>
          <w:noProof w:val="0"/>
          <w:sz w:val="22"/>
          <w:szCs w:val="22"/>
          <w:lang w:val="pt-BR"/>
        </w:rPr>
        <w:t xml:space="preserve"> Nas questões mais sensíveis do núcleo, manter a resposta principal por nível de adoção, mas exigir também:</w:t>
      </w:r>
    </w:p>
    <w:p w:rsidRPr="00B1390E" w:rsidR="00B1390E" w:rsidP="20C657D0" w:rsidRDefault="00B1390E" w14:paraId="7D7F8BBE" w14:textId="287ADE35">
      <w:pPr>
        <w:pStyle w:val="PargrafodaLista"/>
        <w:numPr>
          <w:ilvl w:val="0"/>
          <w:numId w:val="66"/>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subitens confirmatórios do que caracteriza a adoção;</w:t>
      </w:r>
    </w:p>
    <w:p w:rsidRPr="00B1390E" w:rsidR="00B1390E" w:rsidP="20C657D0" w:rsidRDefault="00B1390E" w14:paraId="729E9C7D" w14:textId="6B4B7F61">
      <w:pPr>
        <w:pStyle w:val="PargrafodaLista"/>
        <w:numPr>
          <w:ilvl w:val="0"/>
          <w:numId w:val="66"/>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evidência mínima padronizada;</w:t>
      </w:r>
    </w:p>
    <w:p w:rsidRPr="00B1390E" w:rsidR="00B1390E" w:rsidP="20C657D0" w:rsidRDefault="00B1390E" w14:paraId="731805C7" w14:textId="0A7683B1">
      <w:pPr>
        <w:pStyle w:val="PargrafodaLista"/>
        <w:numPr>
          <w:ilvl w:val="0"/>
          <w:numId w:val="66"/>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regra de rebaixamento ou desconto quando a adoção declarada não vier acompanhada do mínimo confirmatório esperado.</w:t>
      </w:r>
    </w:p>
    <w:p w:rsidRPr="00B1390E" w:rsidR="00B1390E" w:rsidP="20C657D0" w:rsidRDefault="00B1390E" w14:paraId="423DB9D8" w14:textId="6CF7498D">
      <w:pPr>
        <w:spacing w:before="240" w:beforeAutospacing="off" w:after="240" w:afterAutospacing="off" w:line="360" w:lineRule="auto"/>
        <w:ind/>
        <w:jc w:val="both"/>
      </w:pPr>
      <w:r w:rsidRPr="20C657D0" w:rsidR="631ED510">
        <w:rPr>
          <w:rFonts w:ascii="Arial" w:hAnsi="Arial" w:eastAsia="Arial" w:cs="Arial"/>
          <w:noProof w:val="0"/>
          <w:sz w:val="22"/>
          <w:szCs w:val="22"/>
          <w:lang w:val="pt-BR"/>
        </w:rPr>
        <w:t>Essa lógica deve ser aplicada especialmente a:</w:t>
      </w:r>
    </w:p>
    <w:p w:rsidRPr="00B1390E" w:rsidR="00B1390E" w:rsidP="20C657D0" w:rsidRDefault="00B1390E" w14:paraId="271EE792" w14:textId="5ABF50D5">
      <w:pPr>
        <w:pStyle w:val="PargrafodaLista"/>
        <w:numPr>
          <w:ilvl w:val="0"/>
          <w:numId w:val="67"/>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planejamento de TI;</w:t>
      </w:r>
    </w:p>
    <w:p w:rsidRPr="00B1390E" w:rsidR="00B1390E" w:rsidP="20C657D0" w:rsidRDefault="00B1390E" w14:paraId="418E26BB" w14:textId="5232C681">
      <w:pPr>
        <w:pStyle w:val="PargrafodaLista"/>
        <w:numPr>
          <w:ilvl w:val="0"/>
          <w:numId w:val="67"/>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modelo de governança e atuação de comitês;</w:t>
      </w:r>
    </w:p>
    <w:p w:rsidRPr="00B1390E" w:rsidR="00B1390E" w:rsidP="20C657D0" w:rsidRDefault="00B1390E" w14:paraId="4C6DEE2E" w14:textId="416CFB91">
      <w:pPr>
        <w:pStyle w:val="PargrafodaLista"/>
        <w:numPr>
          <w:ilvl w:val="0"/>
          <w:numId w:val="67"/>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riscos e continuidade;</w:t>
      </w:r>
    </w:p>
    <w:p w:rsidRPr="00B1390E" w:rsidR="00B1390E" w:rsidP="20C657D0" w:rsidRDefault="00B1390E" w14:paraId="2D9AD885" w14:textId="74900100">
      <w:pPr>
        <w:pStyle w:val="PargrafodaLista"/>
        <w:numPr>
          <w:ilvl w:val="0"/>
          <w:numId w:val="67"/>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segurança da informação;</w:t>
      </w:r>
    </w:p>
    <w:p w:rsidRPr="00B1390E" w:rsidR="00B1390E" w:rsidP="20C657D0" w:rsidRDefault="00B1390E" w14:paraId="7F3C393D" w14:textId="2A726668">
      <w:pPr>
        <w:pStyle w:val="PargrafodaLista"/>
        <w:numPr>
          <w:ilvl w:val="0"/>
          <w:numId w:val="67"/>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gestão de ativos;</w:t>
      </w:r>
    </w:p>
    <w:p w:rsidRPr="00B1390E" w:rsidR="00B1390E" w:rsidP="20C657D0" w:rsidRDefault="00B1390E" w14:paraId="74348BEF" w14:textId="061CCCEC">
      <w:pPr>
        <w:pStyle w:val="PargrafodaLista"/>
        <w:numPr>
          <w:ilvl w:val="0"/>
          <w:numId w:val="67"/>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níveis de serviço;</w:t>
      </w:r>
    </w:p>
    <w:p w:rsidRPr="00B1390E" w:rsidR="00B1390E" w:rsidP="20C657D0" w:rsidRDefault="00B1390E" w14:paraId="61FAAF35" w14:textId="2A425818">
      <w:pPr>
        <w:pStyle w:val="PargrafodaLista"/>
        <w:numPr>
          <w:ilvl w:val="0"/>
          <w:numId w:val="67"/>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contratos de TI.</w:t>
      </w:r>
    </w:p>
    <w:p w:rsidRPr="00B1390E" w:rsidR="00B1390E" w:rsidP="20C657D0" w:rsidRDefault="00B1390E" w14:paraId="441229A4" w14:textId="1C73BE65">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Fundamentação</w:t>
      </w:r>
      <w:r>
        <w:br/>
      </w:r>
      <w:r w:rsidRPr="20C657D0" w:rsidR="631ED510">
        <w:rPr>
          <w:rFonts w:ascii="Arial" w:hAnsi="Arial" w:eastAsia="Arial" w:cs="Arial"/>
          <w:noProof w:val="0"/>
          <w:sz w:val="22"/>
          <w:szCs w:val="22"/>
          <w:lang w:val="pt-BR"/>
        </w:rPr>
        <w:t xml:space="preserve"> O principal problema identificado na experiência de 2023 não foi a lógica do índice, mas a qualidade das respostas autodeclaradas. Isso já está registrado no relatório consolidado. </w:t>
      </w:r>
      <w:r>
        <w:br/>
      </w:r>
      <w:r w:rsidRPr="20C657D0" w:rsidR="631ED510">
        <w:rPr>
          <w:rFonts w:ascii="Arial" w:hAnsi="Arial" w:eastAsia="Arial" w:cs="Arial"/>
          <w:noProof w:val="0"/>
          <w:sz w:val="22"/>
          <w:szCs w:val="22"/>
          <w:lang w:val="pt-BR"/>
        </w:rPr>
        <w:t xml:space="preserve">O TCE-PE adota manual com subquestões confirmatórias e exemplos práticos por tema, justamente para apoiar melhor qualidade das respostas. </w:t>
      </w:r>
      <w:r>
        <w:br/>
      </w:r>
      <w:r w:rsidRPr="20C657D0" w:rsidR="631ED510">
        <w:rPr>
          <w:rFonts w:ascii="Arial" w:hAnsi="Arial" w:eastAsia="Arial" w:cs="Arial"/>
          <w:noProof w:val="0"/>
          <w:sz w:val="22"/>
          <w:szCs w:val="22"/>
          <w:lang w:val="pt-BR"/>
        </w:rPr>
        <w:t>A própria equipe concluiu que o iGovTI 2026 deve depender menos de recalibração posterior pela auditoria.</w:t>
      </w:r>
    </w:p>
    <w:p w:rsidRPr="00B1390E" w:rsidR="00B1390E" w:rsidP="20C657D0" w:rsidRDefault="00B1390E" w14:paraId="52BC5B64" w14:textId="5DAB550A">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O que se espera com o ajuste</w:t>
      </w:r>
      <w:r>
        <w:br/>
      </w:r>
      <w:r w:rsidRPr="20C657D0" w:rsidR="631ED510">
        <w:rPr>
          <w:rFonts w:ascii="Arial" w:hAnsi="Arial" w:eastAsia="Arial" w:cs="Arial"/>
          <w:noProof w:val="0"/>
          <w:sz w:val="22"/>
          <w:szCs w:val="22"/>
          <w:lang w:val="pt-BR"/>
        </w:rPr>
        <w:t xml:space="preserve"> Reduzir falsos positivos, melhorar a confiabilidade do índice e elevar a qualidade do dado já na fase de coleta.</w:t>
      </w:r>
    </w:p>
    <w:p w:rsidRPr="00B1390E" w:rsidR="00B1390E" w:rsidP="20C657D0" w:rsidRDefault="00B1390E" w14:paraId="3C4DD0BE" w14:textId="729762E7">
      <w:pPr>
        <w:spacing w:line="360" w:lineRule="auto"/>
        <w:ind/>
        <w:jc w:val="both"/>
      </w:pPr>
    </w:p>
    <w:p w:rsidRPr="00B1390E" w:rsidR="00B1390E" w:rsidP="20C657D0" w:rsidRDefault="00B1390E" w14:paraId="6B308ECA" w14:textId="158FE2FB">
      <w:pPr>
        <w:pStyle w:val="Ttulo3"/>
        <w:spacing w:before="281" w:beforeAutospacing="off" w:after="281" w:afterAutospacing="off" w:line="360" w:lineRule="auto"/>
        <w:ind/>
        <w:jc w:val="both"/>
      </w:pPr>
      <w:r w:rsidRPr="20C657D0" w:rsidR="631ED510">
        <w:rPr>
          <w:rFonts w:ascii="Arial" w:hAnsi="Arial" w:eastAsia="Arial" w:cs="Arial"/>
          <w:b w:val="1"/>
          <w:bCs w:val="1"/>
          <w:noProof w:val="0"/>
          <w:sz w:val="28"/>
          <w:szCs w:val="28"/>
          <w:lang w:val="pt-BR"/>
        </w:rPr>
        <w:t>3.8. Reforçar o bloco de capacidade instalada mínima como leitura obrigatória do resultado</w:t>
      </w:r>
    </w:p>
    <w:p w:rsidRPr="00B1390E" w:rsidR="00B1390E" w:rsidP="20C657D0" w:rsidRDefault="00B1390E" w14:paraId="587746EE" w14:textId="2971A233">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Classificação:</w:t>
      </w:r>
      <w:r w:rsidRPr="20C657D0" w:rsidR="631ED510">
        <w:rPr>
          <w:rFonts w:ascii="Arial" w:hAnsi="Arial" w:eastAsia="Arial" w:cs="Arial"/>
          <w:noProof w:val="0"/>
          <w:sz w:val="22"/>
          <w:szCs w:val="22"/>
          <w:lang w:val="pt-BR"/>
        </w:rPr>
        <w:t xml:space="preserve"> </w:t>
      </w:r>
      <w:r w:rsidRPr="20C657D0" w:rsidR="631ED510">
        <w:rPr>
          <w:rFonts w:ascii="Arial" w:hAnsi="Arial" w:eastAsia="Arial" w:cs="Arial"/>
          <w:b w:val="1"/>
          <w:bCs w:val="1"/>
          <w:noProof w:val="0"/>
          <w:sz w:val="22"/>
          <w:szCs w:val="22"/>
          <w:lang w:val="pt-BR"/>
        </w:rPr>
        <w:t>Alto</w:t>
      </w:r>
    </w:p>
    <w:p w:rsidRPr="00B1390E" w:rsidR="00B1390E" w:rsidP="20C657D0" w:rsidRDefault="00B1390E" w14:paraId="3E4F05BE" w14:textId="2944BF14">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Proposta</w:t>
      </w:r>
      <w:r>
        <w:br/>
      </w:r>
      <w:r w:rsidRPr="20C657D0" w:rsidR="631ED510">
        <w:rPr>
          <w:rFonts w:ascii="Arial" w:hAnsi="Arial" w:eastAsia="Arial" w:cs="Arial"/>
          <w:noProof w:val="0"/>
          <w:sz w:val="22"/>
          <w:szCs w:val="22"/>
          <w:lang w:val="pt-BR"/>
        </w:rPr>
        <w:t xml:space="preserve"> Criar, logo no início do instrumento, um bloco sintético de </w:t>
      </w:r>
      <w:r w:rsidRPr="20C657D0" w:rsidR="631ED510">
        <w:rPr>
          <w:rFonts w:ascii="Arial" w:hAnsi="Arial" w:eastAsia="Arial" w:cs="Arial"/>
          <w:b w:val="1"/>
          <w:bCs w:val="1"/>
          <w:noProof w:val="0"/>
          <w:sz w:val="22"/>
          <w:szCs w:val="22"/>
          <w:lang w:val="pt-BR"/>
        </w:rPr>
        <w:t>capacidade instalada mínima</w:t>
      </w:r>
      <w:r w:rsidRPr="20C657D0" w:rsidR="631ED510">
        <w:rPr>
          <w:rFonts w:ascii="Arial" w:hAnsi="Arial" w:eastAsia="Arial" w:cs="Arial"/>
          <w:noProof w:val="0"/>
          <w:sz w:val="22"/>
          <w:szCs w:val="22"/>
          <w:lang w:val="pt-BR"/>
        </w:rPr>
        <w:t>, com itens como:</w:t>
      </w:r>
    </w:p>
    <w:p w:rsidRPr="00B1390E" w:rsidR="00B1390E" w:rsidP="20C657D0" w:rsidRDefault="00B1390E" w14:paraId="243684B2" w14:textId="0BB82A6E">
      <w:pPr>
        <w:pStyle w:val="PargrafodaLista"/>
        <w:numPr>
          <w:ilvl w:val="0"/>
          <w:numId w:val="68"/>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formalização da área de TIC;</w:t>
      </w:r>
    </w:p>
    <w:p w:rsidRPr="00B1390E" w:rsidR="00B1390E" w:rsidP="20C657D0" w:rsidRDefault="00B1390E" w14:paraId="081ACB26" w14:textId="59BD69F9">
      <w:pPr>
        <w:pStyle w:val="PargrafodaLista"/>
        <w:numPr>
          <w:ilvl w:val="0"/>
          <w:numId w:val="68"/>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posição no organograma;</w:t>
      </w:r>
    </w:p>
    <w:p w:rsidRPr="00B1390E" w:rsidR="00B1390E" w:rsidP="20C657D0" w:rsidRDefault="00B1390E" w14:paraId="343DCFB8" w14:textId="6E1D9585">
      <w:pPr>
        <w:pStyle w:val="PargrafodaLista"/>
        <w:numPr>
          <w:ilvl w:val="0"/>
          <w:numId w:val="68"/>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quantitativo mínimo de pessoal;</w:t>
      </w:r>
    </w:p>
    <w:p w:rsidRPr="00B1390E" w:rsidR="00B1390E" w:rsidP="20C657D0" w:rsidRDefault="00B1390E" w14:paraId="5168DABE" w14:textId="0C9FBDEA">
      <w:pPr>
        <w:pStyle w:val="PargrafodaLista"/>
        <w:numPr>
          <w:ilvl w:val="0"/>
          <w:numId w:val="68"/>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composição da equipe por vínculo;</w:t>
      </w:r>
    </w:p>
    <w:p w:rsidRPr="00B1390E" w:rsidR="00B1390E" w:rsidP="20C657D0" w:rsidRDefault="00B1390E" w14:paraId="4C235C35" w14:textId="57E70FCA">
      <w:pPr>
        <w:pStyle w:val="PargrafodaLista"/>
        <w:numPr>
          <w:ilvl w:val="0"/>
          <w:numId w:val="68"/>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funções e competências mínimas;</w:t>
      </w:r>
    </w:p>
    <w:p w:rsidRPr="00B1390E" w:rsidR="00B1390E" w:rsidP="20C657D0" w:rsidRDefault="00B1390E" w14:paraId="1EEB891E" w14:textId="1AA559C2">
      <w:pPr>
        <w:pStyle w:val="PargrafodaLista"/>
        <w:numPr>
          <w:ilvl w:val="0"/>
          <w:numId w:val="68"/>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segregação básica de funções críticas;</w:t>
      </w:r>
    </w:p>
    <w:p w:rsidRPr="00B1390E" w:rsidR="00B1390E" w:rsidP="20C657D0" w:rsidRDefault="00B1390E" w14:paraId="6C5168DD" w14:textId="064DDB9A">
      <w:pPr>
        <w:pStyle w:val="PargrafodaLista"/>
        <w:numPr>
          <w:ilvl w:val="0"/>
          <w:numId w:val="68"/>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dependência de terceiros;</w:t>
      </w:r>
    </w:p>
    <w:p w:rsidRPr="00B1390E" w:rsidR="00B1390E" w:rsidP="20C657D0" w:rsidRDefault="00B1390E" w14:paraId="01934385" w14:textId="33614815">
      <w:pPr>
        <w:pStyle w:val="PargrafodaLista"/>
        <w:numPr>
          <w:ilvl w:val="0"/>
          <w:numId w:val="68"/>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participação de áreas de apoio no processo de governança.</w:t>
      </w:r>
    </w:p>
    <w:p w:rsidRPr="00B1390E" w:rsidR="00B1390E" w:rsidP="20C657D0" w:rsidRDefault="00B1390E" w14:paraId="366D4714" w14:textId="20FD3E01">
      <w:pPr>
        <w:spacing w:before="240" w:beforeAutospacing="off" w:after="240" w:afterAutospacing="off" w:line="360" w:lineRule="auto"/>
        <w:ind/>
        <w:jc w:val="both"/>
      </w:pPr>
      <w:r w:rsidRPr="20C657D0" w:rsidR="631ED510">
        <w:rPr>
          <w:rFonts w:ascii="Arial" w:hAnsi="Arial" w:eastAsia="Arial" w:cs="Arial"/>
          <w:noProof w:val="0"/>
          <w:sz w:val="22"/>
          <w:szCs w:val="22"/>
          <w:lang w:val="pt-BR"/>
        </w:rPr>
        <w:t>Esse bloco pode compor o índice ou funcionar como camada transversal obrigatória de leitura do resultado.</w:t>
      </w:r>
    </w:p>
    <w:p w:rsidRPr="00B1390E" w:rsidR="00B1390E" w:rsidP="20C657D0" w:rsidRDefault="00B1390E" w14:paraId="0611450A" w14:textId="335728D1">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Fundamentação</w:t>
      </w:r>
      <w:r>
        <w:br/>
      </w:r>
      <w:r w:rsidRPr="20C657D0" w:rsidR="631ED510">
        <w:rPr>
          <w:rFonts w:ascii="Arial" w:hAnsi="Arial" w:eastAsia="Arial" w:cs="Arial"/>
          <w:noProof w:val="0"/>
          <w:sz w:val="22"/>
          <w:szCs w:val="22"/>
          <w:lang w:val="pt-BR"/>
        </w:rPr>
        <w:t xml:space="preserve"> O relatório consolidado do TCE-RJ já registra expressamente a importância do bloco de capacidade instalada como leitura obrigatória do resultado, por responder se o órgão tem condições reais de planejar, operar e controlar a TIC. </w:t>
      </w:r>
      <w:r>
        <w:br/>
      </w:r>
      <w:r w:rsidRPr="20C657D0" w:rsidR="631ED510">
        <w:rPr>
          <w:rFonts w:ascii="Arial" w:hAnsi="Arial" w:eastAsia="Arial" w:cs="Arial"/>
          <w:noProof w:val="0"/>
          <w:sz w:val="22"/>
          <w:szCs w:val="22"/>
          <w:lang w:val="pt-BR"/>
        </w:rPr>
        <w:t>Esse bloco também dialoga com a experiência de 2023 e com a recorrência de comentários dos auditados sobre carência de pessoal, restrições estruturais e dependência de outras áreas.</w:t>
      </w:r>
    </w:p>
    <w:p w:rsidRPr="00B1390E" w:rsidR="00B1390E" w:rsidP="20C657D0" w:rsidRDefault="00B1390E" w14:paraId="487BCF0C" w14:textId="777DBD36">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O que se espera com o ajuste</w:t>
      </w:r>
      <w:r>
        <w:br/>
      </w:r>
      <w:r w:rsidRPr="20C657D0" w:rsidR="631ED510">
        <w:rPr>
          <w:rFonts w:ascii="Arial" w:hAnsi="Arial" w:eastAsia="Arial" w:cs="Arial"/>
          <w:noProof w:val="0"/>
          <w:sz w:val="22"/>
          <w:szCs w:val="22"/>
          <w:lang w:val="pt-BR"/>
        </w:rPr>
        <w:t xml:space="preserve"> Permitir leitura mais justa dos resultados, distinguir maturidade baixa por ausência de estrutura mínima de maturidade baixa por falha de governança, e orientar melhor a priorização por risco.</w:t>
      </w:r>
    </w:p>
    <w:p w:rsidRPr="00B1390E" w:rsidR="00B1390E" w:rsidP="20C657D0" w:rsidRDefault="00B1390E" w14:paraId="5DA02429" w14:textId="25622B0B">
      <w:pPr>
        <w:spacing w:line="360" w:lineRule="auto"/>
        <w:ind/>
        <w:jc w:val="both"/>
      </w:pPr>
    </w:p>
    <w:p w:rsidRPr="00B1390E" w:rsidR="00B1390E" w:rsidP="20C657D0" w:rsidRDefault="00B1390E" w14:paraId="1E263380" w14:textId="25E7F3E0">
      <w:pPr>
        <w:pStyle w:val="Ttulo3"/>
        <w:spacing w:before="281" w:beforeAutospacing="off" w:after="281" w:afterAutospacing="off" w:line="360" w:lineRule="auto"/>
        <w:ind/>
        <w:jc w:val="both"/>
      </w:pPr>
      <w:r w:rsidRPr="20C657D0" w:rsidR="631ED510">
        <w:rPr>
          <w:rFonts w:ascii="Arial" w:hAnsi="Arial" w:eastAsia="Arial" w:cs="Arial"/>
          <w:b w:val="1"/>
          <w:bCs w:val="1"/>
          <w:noProof w:val="0"/>
          <w:sz w:val="28"/>
          <w:szCs w:val="28"/>
          <w:lang w:val="pt-BR"/>
        </w:rPr>
        <w:t>3.9. Incluir um bloco mínimo de governança das contratações de TIC</w:t>
      </w:r>
    </w:p>
    <w:p w:rsidRPr="00B1390E" w:rsidR="00B1390E" w:rsidP="20C657D0" w:rsidRDefault="00B1390E" w14:paraId="1A6B4F77" w14:textId="60DC00E9">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Classificação:</w:t>
      </w:r>
      <w:r w:rsidRPr="20C657D0" w:rsidR="631ED510">
        <w:rPr>
          <w:rFonts w:ascii="Arial" w:hAnsi="Arial" w:eastAsia="Arial" w:cs="Arial"/>
          <w:noProof w:val="0"/>
          <w:sz w:val="22"/>
          <w:szCs w:val="22"/>
          <w:lang w:val="pt-BR"/>
        </w:rPr>
        <w:t xml:space="preserve"> </w:t>
      </w:r>
      <w:r w:rsidRPr="20C657D0" w:rsidR="631ED510">
        <w:rPr>
          <w:rFonts w:ascii="Arial" w:hAnsi="Arial" w:eastAsia="Arial" w:cs="Arial"/>
          <w:b w:val="1"/>
          <w:bCs w:val="1"/>
          <w:noProof w:val="0"/>
          <w:sz w:val="22"/>
          <w:szCs w:val="22"/>
          <w:lang w:val="pt-BR"/>
        </w:rPr>
        <w:t>Médio</w:t>
      </w:r>
    </w:p>
    <w:p w:rsidRPr="00B1390E" w:rsidR="00B1390E" w:rsidP="20C657D0" w:rsidRDefault="00B1390E" w14:paraId="4AC2EBB5" w14:textId="6C8A6003">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Proposta</w:t>
      </w:r>
      <w:r>
        <w:br/>
      </w:r>
      <w:r w:rsidRPr="20C657D0" w:rsidR="631ED510">
        <w:rPr>
          <w:rFonts w:ascii="Arial" w:hAnsi="Arial" w:eastAsia="Arial" w:cs="Arial"/>
          <w:noProof w:val="0"/>
          <w:sz w:val="22"/>
          <w:szCs w:val="22"/>
          <w:lang w:val="pt-BR"/>
        </w:rPr>
        <w:t xml:space="preserve"> Reforçar o tratamento das contratações de TIC no núcleo do índice, captando ao menos:</w:t>
      </w:r>
    </w:p>
    <w:p w:rsidRPr="00B1390E" w:rsidR="00B1390E" w:rsidP="20C657D0" w:rsidRDefault="00B1390E" w14:paraId="389EFC8D" w14:textId="072FC935">
      <w:pPr>
        <w:pStyle w:val="PargrafodaLista"/>
        <w:numPr>
          <w:ilvl w:val="0"/>
          <w:numId w:val="69"/>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participação da TI no planejamento da contratação;</w:t>
      </w:r>
    </w:p>
    <w:p w:rsidRPr="00B1390E" w:rsidR="00B1390E" w:rsidP="20C657D0" w:rsidRDefault="00B1390E" w14:paraId="150E3EDF" w14:textId="0D4EEFE5">
      <w:pPr>
        <w:pStyle w:val="PargrafodaLista"/>
        <w:numPr>
          <w:ilvl w:val="0"/>
          <w:numId w:val="69"/>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análise de riscos;</w:t>
      </w:r>
    </w:p>
    <w:p w:rsidRPr="00B1390E" w:rsidR="00B1390E" w:rsidP="20C657D0" w:rsidRDefault="00B1390E" w14:paraId="7B8B4EF6" w14:textId="4E364409">
      <w:pPr>
        <w:pStyle w:val="PargrafodaLista"/>
        <w:numPr>
          <w:ilvl w:val="0"/>
          <w:numId w:val="69"/>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definição de métricas objetivas;</w:t>
      </w:r>
    </w:p>
    <w:p w:rsidRPr="00B1390E" w:rsidR="00B1390E" w:rsidP="20C657D0" w:rsidRDefault="00B1390E" w14:paraId="71266223" w14:textId="36B46BFC">
      <w:pPr>
        <w:pStyle w:val="PargrafodaLista"/>
        <w:numPr>
          <w:ilvl w:val="0"/>
          <w:numId w:val="69"/>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vínculo entre remuneração e desempenho, quando cabível;</w:t>
      </w:r>
    </w:p>
    <w:p w:rsidRPr="00B1390E" w:rsidR="00B1390E" w:rsidP="20C657D0" w:rsidRDefault="00B1390E" w14:paraId="497BF774" w14:textId="099A262D">
      <w:pPr>
        <w:pStyle w:val="PargrafodaLista"/>
        <w:numPr>
          <w:ilvl w:val="0"/>
          <w:numId w:val="69"/>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reavaliação da solução nas prorrogações;</w:t>
      </w:r>
    </w:p>
    <w:p w:rsidRPr="00B1390E" w:rsidR="00B1390E" w:rsidP="20C657D0" w:rsidRDefault="00B1390E" w14:paraId="6B6A6596" w14:textId="676E8E5E">
      <w:pPr>
        <w:pStyle w:val="PargrafodaLista"/>
        <w:numPr>
          <w:ilvl w:val="0"/>
          <w:numId w:val="69"/>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rastreabilidade entre necessidade, planejamento e contrato.</w:t>
      </w:r>
    </w:p>
    <w:p w:rsidRPr="00B1390E" w:rsidR="00B1390E" w:rsidP="20C657D0" w:rsidRDefault="00B1390E" w14:paraId="656A5426" w14:textId="0A7269EE">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Fundamentação</w:t>
      </w:r>
      <w:r>
        <w:br/>
      </w:r>
      <w:r w:rsidRPr="20C657D0" w:rsidR="631ED510">
        <w:rPr>
          <w:rFonts w:ascii="Arial" w:hAnsi="Arial" w:eastAsia="Arial" w:cs="Arial"/>
          <w:noProof w:val="0"/>
          <w:sz w:val="22"/>
          <w:szCs w:val="22"/>
          <w:lang w:val="pt-BR"/>
        </w:rPr>
        <w:t xml:space="preserve"> O TCE-PE já contempla três questões muito objetivas sobre contratações: análise de riscos da contratação, métricas objetivas de desempenho e avaliação da necessidade/solução nas prorrogações. </w:t>
      </w:r>
      <w:r>
        <w:br/>
      </w:r>
      <w:r w:rsidRPr="20C657D0" w:rsidR="631ED510">
        <w:rPr>
          <w:rFonts w:ascii="Arial" w:hAnsi="Arial" w:eastAsia="Arial" w:cs="Arial"/>
          <w:noProof w:val="0"/>
          <w:sz w:val="22"/>
          <w:szCs w:val="22"/>
          <w:lang w:val="pt-BR"/>
        </w:rPr>
        <w:t>Esse desenho é consistente com o diagnóstico acumulado pela CAD-TI sobre contratações de TIC e com a diretriz de aproximar o iGovTI dos riscos mais recorrentes e mais relevantes.</w:t>
      </w:r>
    </w:p>
    <w:p w:rsidRPr="00B1390E" w:rsidR="00B1390E" w:rsidP="20C657D0" w:rsidRDefault="00B1390E" w14:paraId="0D89E720" w14:textId="4BF34467">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O que se espera com o ajuste</w:t>
      </w:r>
      <w:r>
        <w:br/>
      </w:r>
      <w:r w:rsidRPr="20C657D0" w:rsidR="631ED510">
        <w:rPr>
          <w:rFonts w:ascii="Arial" w:hAnsi="Arial" w:eastAsia="Arial" w:cs="Arial"/>
          <w:noProof w:val="0"/>
          <w:sz w:val="22"/>
          <w:szCs w:val="22"/>
          <w:lang w:val="pt-BR"/>
        </w:rPr>
        <w:t xml:space="preserve"> Aumentar o poder do questionário para captar um dos problemas mais críticos da TIC pública: contratar sem base técnica, sem governança e sem revisão efetiva de resultados.</w:t>
      </w:r>
    </w:p>
    <w:p w:rsidRPr="00B1390E" w:rsidR="00B1390E" w:rsidP="20C657D0" w:rsidRDefault="00B1390E" w14:paraId="2F6C8F85" w14:textId="2C1FF772">
      <w:pPr>
        <w:spacing w:line="360" w:lineRule="auto"/>
        <w:ind/>
        <w:jc w:val="both"/>
      </w:pPr>
    </w:p>
    <w:p w:rsidRPr="00B1390E" w:rsidR="00B1390E" w:rsidP="20C657D0" w:rsidRDefault="00B1390E" w14:paraId="4D917D39" w14:textId="11E1002E">
      <w:pPr>
        <w:pStyle w:val="Ttulo3"/>
        <w:spacing w:before="281" w:beforeAutospacing="off" w:after="281" w:afterAutospacing="off" w:line="360" w:lineRule="auto"/>
        <w:ind/>
        <w:jc w:val="both"/>
      </w:pPr>
      <w:r w:rsidRPr="20C657D0" w:rsidR="631ED510">
        <w:rPr>
          <w:rFonts w:ascii="Arial" w:hAnsi="Arial" w:eastAsia="Arial" w:cs="Arial"/>
          <w:b w:val="1"/>
          <w:bCs w:val="1"/>
          <w:noProof w:val="0"/>
          <w:sz w:val="28"/>
          <w:szCs w:val="28"/>
          <w:lang w:val="pt-BR"/>
        </w:rPr>
        <w:t>3.10. Melhorar a experiência de preenchimento sem alterar a lógica do índice</w:t>
      </w:r>
    </w:p>
    <w:p w:rsidRPr="00B1390E" w:rsidR="00B1390E" w:rsidP="20C657D0" w:rsidRDefault="00B1390E" w14:paraId="551440A0" w14:textId="65F772A0">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Classificação:</w:t>
      </w:r>
      <w:r w:rsidRPr="20C657D0" w:rsidR="631ED510">
        <w:rPr>
          <w:rFonts w:ascii="Arial" w:hAnsi="Arial" w:eastAsia="Arial" w:cs="Arial"/>
          <w:noProof w:val="0"/>
          <w:sz w:val="22"/>
          <w:szCs w:val="22"/>
          <w:lang w:val="pt-BR"/>
        </w:rPr>
        <w:t xml:space="preserve"> </w:t>
      </w:r>
      <w:r w:rsidRPr="20C657D0" w:rsidR="631ED510">
        <w:rPr>
          <w:rFonts w:ascii="Arial" w:hAnsi="Arial" w:eastAsia="Arial" w:cs="Arial"/>
          <w:b w:val="1"/>
          <w:bCs w:val="1"/>
          <w:noProof w:val="0"/>
          <w:sz w:val="22"/>
          <w:szCs w:val="22"/>
          <w:lang w:val="pt-BR"/>
        </w:rPr>
        <w:t>Médio</w:t>
      </w:r>
    </w:p>
    <w:p w:rsidRPr="00B1390E" w:rsidR="00B1390E" w:rsidP="20C657D0" w:rsidRDefault="00B1390E" w14:paraId="643D8932" w14:textId="42597DC3">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Proposta</w:t>
      </w:r>
      <w:r>
        <w:br/>
      </w:r>
      <w:r w:rsidRPr="20C657D0" w:rsidR="631ED510">
        <w:rPr>
          <w:rFonts w:ascii="Arial" w:hAnsi="Arial" w:eastAsia="Arial" w:cs="Arial"/>
          <w:noProof w:val="0"/>
          <w:sz w:val="22"/>
          <w:szCs w:val="22"/>
          <w:lang w:val="pt-BR"/>
        </w:rPr>
        <w:t xml:space="preserve"> Aprimorar o processo de resposta, com medidas como:</w:t>
      </w:r>
    </w:p>
    <w:p w:rsidRPr="00B1390E" w:rsidR="00B1390E" w:rsidP="20C657D0" w:rsidRDefault="00B1390E" w14:paraId="2682D603" w14:textId="2A984725">
      <w:pPr>
        <w:pStyle w:val="PargrafodaLista"/>
        <w:numPr>
          <w:ilvl w:val="0"/>
          <w:numId w:val="70"/>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prazo mais compatível com a complexidade do questionário;</w:t>
      </w:r>
    </w:p>
    <w:p w:rsidRPr="00B1390E" w:rsidR="00B1390E" w:rsidP="20C657D0" w:rsidRDefault="00B1390E" w14:paraId="3E69A57F" w14:textId="58197CA4">
      <w:pPr>
        <w:pStyle w:val="PargrafodaLista"/>
        <w:numPr>
          <w:ilvl w:val="0"/>
          <w:numId w:val="70"/>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preenchimento com salvamento parcial;</w:t>
      </w:r>
    </w:p>
    <w:p w:rsidRPr="00B1390E" w:rsidR="00B1390E" w:rsidP="20C657D0" w:rsidRDefault="00B1390E" w14:paraId="1C19936C" w14:textId="4F32B328">
      <w:pPr>
        <w:pStyle w:val="PargrafodaLista"/>
        <w:numPr>
          <w:ilvl w:val="0"/>
          <w:numId w:val="70"/>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possibilidade de preenchimento por etapas;</w:t>
      </w:r>
    </w:p>
    <w:p w:rsidRPr="00B1390E" w:rsidR="00B1390E" w:rsidP="20C657D0" w:rsidRDefault="00B1390E" w14:paraId="6742BC40" w14:textId="0936FD4B">
      <w:pPr>
        <w:pStyle w:val="PargrafodaLista"/>
        <w:numPr>
          <w:ilvl w:val="0"/>
          <w:numId w:val="70"/>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combinação de texto explicativo e anexo nas questões críticas;</w:t>
      </w:r>
    </w:p>
    <w:p w:rsidRPr="00B1390E" w:rsidR="00B1390E" w:rsidP="20C657D0" w:rsidRDefault="00B1390E" w14:paraId="5586EF51" w14:textId="5AD03D8A">
      <w:pPr>
        <w:pStyle w:val="PargrafodaLista"/>
        <w:numPr>
          <w:ilvl w:val="0"/>
          <w:numId w:val="70"/>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glossário mais claro;</w:t>
      </w:r>
    </w:p>
    <w:p w:rsidRPr="00B1390E" w:rsidR="00B1390E" w:rsidP="20C657D0" w:rsidRDefault="00B1390E" w14:paraId="33B7FD86" w14:textId="28F86220">
      <w:pPr>
        <w:pStyle w:val="PargrafodaLista"/>
        <w:numPr>
          <w:ilvl w:val="0"/>
          <w:numId w:val="70"/>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orientações prévias e guia de evidências;</w:t>
      </w:r>
    </w:p>
    <w:p w:rsidRPr="00B1390E" w:rsidR="00B1390E" w:rsidP="20C657D0" w:rsidRDefault="00B1390E" w14:paraId="3C133C5B" w14:textId="4314A96B">
      <w:pPr>
        <w:pStyle w:val="PargrafodaLista"/>
        <w:numPr>
          <w:ilvl w:val="0"/>
          <w:numId w:val="70"/>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indicação de pontos focais múltiplos, e não apenas da área de TI.</w:t>
      </w:r>
    </w:p>
    <w:p w:rsidRPr="00B1390E" w:rsidR="00B1390E" w:rsidP="20C657D0" w:rsidRDefault="00B1390E" w14:paraId="1F9CA978" w14:textId="71B8E31E">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Fundamentação</w:t>
      </w:r>
      <w:r>
        <w:br/>
      </w:r>
      <w:r w:rsidRPr="20C657D0" w:rsidR="631ED510">
        <w:rPr>
          <w:rFonts w:ascii="Arial" w:hAnsi="Arial" w:eastAsia="Arial" w:cs="Arial"/>
          <w:noProof w:val="0"/>
          <w:sz w:val="22"/>
          <w:szCs w:val="22"/>
          <w:lang w:val="pt-BR"/>
        </w:rPr>
        <w:t xml:space="preserve"> A avaliação consolidada do ciclo de 2023 já registrava que o instrumento foi útil, mas operacionalmente pesado, e que o principal desafio para 2026 é torná-lo mais proporcional, orientado e operacionalmente viável. </w:t>
      </w:r>
      <w:r>
        <w:br/>
      </w:r>
      <w:r w:rsidRPr="20C657D0" w:rsidR="631ED510">
        <w:rPr>
          <w:rFonts w:ascii="Arial" w:hAnsi="Arial" w:eastAsia="Arial" w:cs="Arial"/>
          <w:noProof w:val="0"/>
          <w:sz w:val="22"/>
          <w:szCs w:val="22"/>
          <w:lang w:val="pt-BR"/>
        </w:rPr>
        <w:t xml:space="preserve">Os materiais do TCE-PE também mostram a utilidade de manuais, exemplos práticos e documentação de apoio como parte do método, e não como apêndice opcional. </w:t>
      </w:r>
    </w:p>
    <w:p w:rsidRPr="00B1390E" w:rsidR="00B1390E" w:rsidP="20C657D0" w:rsidRDefault="00B1390E" w14:paraId="3D42C733" w14:textId="1611A31D">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O que se espera com o ajuste</w:t>
      </w:r>
      <w:r>
        <w:br/>
      </w:r>
      <w:r w:rsidRPr="20C657D0" w:rsidR="631ED510">
        <w:rPr>
          <w:rFonts w:ascii="Arial" w:hAnsi="Arial" w:eastAsia="Arial" w:cs="Arial"/>
          <w:noProof w:val="0"/>
          <w:sz w:val="22"/>
          <w:szCs w:val="22"/>
          <w:lang w:val="pt-BR"/>
        </w:rPr>
        <w:t xml:space="preserve"> Melhorar a qualidade das respostas, reduzir resistência ao preenchimento e aumentar a percepção de utilidade do instrumento entre os auditados.</w:t>
      </w:r>
    </w:p>
    <w:p w:rsidRPr="00B1390E" w:rsidR="00B1390E" w:rsidP="20C657D0" w:rsidRDefault="00B1390E" w14:paraId="28AB3510" w14:textId="27FF8AB4">
      <w:pPr>
        <w:spacing w:line="360" w:lineRule="auto"/>
        <w:ind/>
        <w:jc w:val="both"/>
      </w:pPr>
    </w:p>
    <w:p w:rsidRPr="00B1390E" w:rsidR="00B1390E" w:rsidP="20C657D0" w:rsidRDefault="00B1390E" w14:paraId="1FB42927" w14:textId="4974F339">
      <w:pPr>
        <w:pStyle w:val="Ttulo3"/>
        <w:spacing w:before="281" w:beforeAutospacing="off" w:after="281" w:afterAutospacing="off" w:line="360" w:lineRule="auto"/>
        <w:ind/>
        <w:jc w:val="both"/>
      </w:pPr>
      <w:r w:rsidRPr="20C657D0" w:rsidR="631ED510">
        <w:rPr>
          <w:rFonts w:ascii="Arial" w:hAnsi="Arial" w:eastAsia="Arial" w:cs="Arial"/>
          <w:b w:val="1"/>
          <w:bCs w:val="1"/>
          <w:noProof w:val="0"/>
          <w:sz w:val="28"/>
          <w:szCs w:val="28"/>
          <w:lang w:val="pt-BR"/>
        </w:rPr>
        <w:t>3.11. Prever devolutiva padronizada com benchmark e trilhas de melhoria</w:t>
      </w:r>
    </w:p>
    <w:p w:rsidRPr="00B1390E" w:rsidR="00B1390E" w:rsidP="20C657D0" w:rsidRDefault="00B1390E" w14:paraId="3A420281" w14:textId="51314699">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Classificação:</w:t>
      </w:r>
      <w:r w:rsidRPr="20C657D0" w:rsidR="631ED510">
        <w:rPr>
          <w:rFonts w:ascii="Arial" w:hAnsi="Arial" w:eastAsia="Arial" w:cs="Arial"/>
          <w:noProof w:val="0"/>
          <w:sz w:val="22"/>
          <w:szCs w:val="22"/>
          <w:lang w:val="pt-BR"/>
        </w:rPr>
        <w:t xml:space="preserve"> </w:t>
      </w:r>
      <w:r w:rsidRPr="20C657D0" w:rsidR="631ED510">
        <w:rPr>
          <w:rFonts w:ascii="Arial" w:hAnsi="Arial" w:eastAsia="Arial" w:cs="Arial"/>
          <w:b w:val="1"/>
          <w:bCs w:val="1"/>
          <w:noProof w:val="0"/>
          <w:sz w:val="22"/>
          <w:szCs w:val="22"/>
          <w:lang w:val="pt-BR"/>
        </w:rPr>
        <w:t>Médio</w:t>
      </w:r>
    </w:p>
    <w:p w:rsidRPr="00B1390E" w:rsidR="00B1390E" w:rsidP="20C657D0" w:rsidRDefault="00B1390E" w14:paraId="31FF314E" w14:textId="1A6B5EE7">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Proposta</w:t>
      </w:r>
      <w:r>
        <w:br/>
      </w:r>
      <w:r w:rsidRPr="20C657D0" w:rsidR="631ED510">
        <w:rPr>
          <w:rFonts w:ascii="Arial" w:hAnsi="Arial" w:eastAsia="Arial" w:cs="Arial"/>
          <w:noProof w:val="0"/>
          <w:sz w:val="22"/>
          <w:szCs w:val="22"/>
          <w:lang w:val="pt-BR"/>
        </w:rPr>
        <w:t xml:space="preserve"> Padronizar, como produto da fiscalização:</w:t>
      </w:r>
    </w:p>
    <w:p w:rsidRPr="00B1390E" w:rsidR="00B1390E" w:rsidP="20C657D0" w:rsidRDefault="00B1390E" w14:paraId="7FAF4ACB" w14:textId="46F2DE89">
      <w:pPr>
        <w:pStyle w:val="PargrafodaLista"/>
        <w:numPr>
          <w:ilvl w:val="0"/>
          <w:numId w:val="71"/>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relatório individual por organização;</w:t>
      </w:r>
    </w:p>
    <w:p w:rsidRPr="00B1390E" w:rsidR="00B1390E" w:rsidP="20C657D0" w:rsidRDefault="00B1390E" w14:paraId="437217ED" w14:textId="07D03D08">
      <w:pPr>
        <w:pStyle w:val="PargrafodaLista"/>
        <w:numPr>
          <w:ilvl w:val="0"/>
          <w:numId w:val="71"/>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comparação com pares;</w:t>
      </w:r>
    </w:p>
    <w:p w:rsidRPr="00B1390E" w:rsidR="00B1390E" w:rsidP="20C657D0" w:rsidRDefault="00B1390E" w14:paraId="0BCE9DFC" w14:textId="08ADA9CC">
      <w:pPr>
        <w:pStyle w:val="PargrafodaLista"/>
        <w:numPr>
          <w:ilvl w:val="0"/>
          <w:numId w:val="71"/>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diagnóstico do núcleo do iGovTI;</w:t>
      </w:r>
    </w:p>
    <w:p w:rsidRPr="00B1390E" w:rsidR="00B1390E" w:rsidP="20C657D0" w:rsidRDefault="00B1390E" w14:paraId="23666AD5" w14:textId="047D7CCC">
      <w:pPr>
        <w:pStyle w:val="PargrafodaLista"/>
        <w:numPr>
          <w:ilvl w:val="0"/>
          <w:numId w:val="71"/>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diagnóstico dos módulos complementares aplicáveis;</w:t>
      </w:r>
    </w:p>
    <w:p w:rsidRPr="00B1390E" w:rsidR="00B1390E" w:rsidP="20C657D0" w:rsidRDefault="00B1390E" w14:paraId="734D06A8" w14:textId="0EA146D7">
      <w:pPr>
        <w:pStyle w:val="PargrafodaLista"/>
        <w:numPr>
          <w:ilvl w:val="0"/>
          <w:numId w:val="71"/>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trilha curta de melhoria para organizações em estágios mais baixos.</w:t>
      </w:r>
    </w:p>
    <w:p w:rsidRPr="00B1390E" w:rsidR="00B1390E" w:rsidP="20C657D0" w:rsidRDefault="00B1390E" w14:paraId="50D090D5" w14:textId="68540EF5">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Fundamentação</w:t>
      </w:r>
      <w:r>
        <w:br/>
      </w:r>
      <w:r w:rsidRPr="20C657D0" w:rsidR="631ED510">
        <w:rPr>
          <w:rFonts w:ascii="Arial" w:hAnsi="Arial" w:eastAsia="Arial" w:cs="Arial"/>
          <w:noProof w:val="0"/>
          <w:sz w:val="22"/>
          <w:szCs w:val="22"/>
          <w:lang w:val="pt-BR"/>
        </w:rPr>
        <w:t xml:space="preserve"> O TCE-PE registra que as organizações participantes recebem Relatório Individual de Autoavaliação e que o manual serve como referência para melhoria contínua. </w:t>
      </w:r>
      <w:r>
        <w:br/>
      </w:r>
      <w:r w:rsidRPr="20C657D0" w:rsidR="631ED510">
        <w:rPr>
          <w:rFonts w:ascii="Arial" w:hAnsi="Arial" w:eastAsia="Arial" w:cs="Arial"/>
          <w:noProof w:val="0"/>
          <w:sz w:val="22"/>
          <w:szCs w:val="22"/>
          <w:lang w:val="pt-BR"/>
        </w:rPr>
        <w:t xml:space="preserve">A avaliação consolidada do TCE-RJ também já apontava devolutiva padronizada e benchmark como componentes importantes do caráter indutor do instrumento. </w:t>
      </w:r>
    </w:p>
    <w:p w:rsidRPr="00B1390E" w:rsidR="00B1390E" w:rsidP="20C657D0" w:rsidRDefault="00B1390E" w14:paraId="4DD924A8" w14:textId="5AE03893">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O que se espera com o ajuste</w:t>
      </w:r>
      <w:r>
        <w:br/>
      </w:r>
      <w:r w:rsidRPr="20C657D0" w:rsidR="631ED510">
        <w:rPr>
          <w:rFonts w:ascii="Arial" w:hAnsi="Arial" w:eastAsia="Arial" w:cs="Arial"/>
          <w:noProof w:val="0"/>
          <w:sz w:val="22"/>
          <w:szCs w:val="22"/>
          <w:lang w:val="pt-BR"/>
        </w:rPr>
        <w:t xml:space="preserve"> Aumentar o efeito pedagógico do iGovTI 2026 e fazer com que o índice funcione como mecanismo de indução, e não apenas de diagnóstico.</w:t>
      </w:r>
    </w:p>
    <w:p w:rsidRPr="00B1390E" w:rsidR="00B1390E" w:rsidP="20C657D0" w:rsidRDefault="00B1390E" w14:paraId="65C9B304" w14:textId="78F48613">
      <w:pPr>
        <w:spacing w:line="360" w:lineRule="auto"/>
        <w:ind/>
        <w:jc w:val="both"/>
      </w:pPr>
    </w:p>
    <w:p w:rsidRPr="00B1390E" w:rsidR="00B1390E" w:rsidP="20C657D0" w:rsidRDefault="00B1390E" w14:paraId="106AF8F1" w14:textId="332EFFA3">
      <w:pPr>
        <w:pStyle w:val="Ttulo3"/>
        <w:spacing w:before="281" w:beforeAutospacing="off" w:after="281" w:afterAutospacing="off" w:line="360" w:lineRule="auto"/>
        <w:ind/>
        <w:jc w:val="both"/>
      </w:pPr>
      <w:r w:rsidRPr="20C657D0" w:rsidR="631ED510">
        <w:rPr>
          <w:rFonts w:ascii="Arial" w:hAnsi="Arial" w:eastAsia="Arial" w:cs="Arial"/>
          <w:b w:val="1"/>
          <w:bCs w:val="1"/>
          <w:noProof w:val="0"/>
          <w:sz w:val="28"/>
          <w:szCs w:val="28"/>
          <w:lang w:val="pt-BR"/>
        </w:rPr>
        <w:t>3.12. Criar bloco experimental para temas emergentes, fora do cômputo do índice</w:t>
      </w:r>
    </w:p>
    <w:p w:rsidRPr="00B1390E" w:rsidR="00B1390E" w:rsidP="20C657D0" w:rsidRDefault="00B1390E" w14:paraId="39EF2460" w14:textId="7BFAB57B">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Classificação:</w:t>
      </w:r>
      <w:r w:rsidRPr="20C657D0" w:rsidR="631ED510">
        <w:rPr>
          <w:rFonts w:ascii="Arial" w:hAnsi="Arial" w:eastAsia="Arial" w:cs="Arial"/>
          <w:noProof w:val="0"/>
          <w:sz w:val="22"/>
          <w:szCs w:val="22"/>
          <w:lang w:val="pt-BR"/>
        </w:rPr>
        <w:t xml:space="preserve"> </w:t>
      </w:r>
      <w:r w:rsidRPr="20C657D0" w:rsidR="631ED510">
        <w:rPr>
          <w:rFonts w:ascii="Arial" w:hAnsi="Arial" w:eastAsia="Arial" w:cs="Arial"/>
          <w:b w:val="1"/>
          <w:bCs w:val="1"/>
          <w:noProof w:val="0"/>
          <w:sz w:val="22"/>
          <w:szCs w:val="22"/>
          <w:lang w:val="pt-BR"/>
        </w:rPr>
        <w:t>Baixo</w:t>
      </w:r>
    </w:p>
    <w:p w:rsidRPr="00B1390E" w:rsidR="00B1390E" w:rsidP="20C657D0" w:rsidRDefault="00B1390E" w14:paraId="64545F66" w14:textId="23792EA8">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Proposta</w:t>
      </w:r>
      <w:r>
        <w:br/>
      </w:r>
      <w:r w:rsidRPr="20C657D0" w:rsidR="631ED510">
        <w:rPr>
          <w:rFonts w:ascii="Arial" w:hAnsi="Arial" w:eastAsia="Arial" w:cs="Arial"/>
          <w:noProof w:val="0"/>
          <w:sz w:val="22"/>
          <w:szCs w:val="22"/>
          <w:lang w:val="pt-BR"/>
        </w:rPr>
        <w:t xml:space="preserve"> Reservar um pequeno bloco não computado no índice para testar temas emergentes, como:</w:t>
      </w:r>
    </w:p>
    <w:p w:rsidRPr="00B1390E" w:rsidR="00B1390E" w:rsidP="20C657D0" w:rsidRDefault="00B1390E" w14:paraId="288C4391" w14:textId="5BA79A75">
      <w:pPr>
        <w:pStyle w:val="PargrafodaLista"/>
        <w:numPr>
          <w:ilvl w:val="0"/>
          <w:numId w:val="72"/>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inteligência artificial;</w:t>
      </w:r>
    </w:p>
    <w:p w:rsidRPr="00B1390E" w:rsidR="00B1390E" w:rsidP="20C657D0" w:rsidRDefault="00B1390E" w14:paraId="7FF1B590" w14:textId="4BFD2738">
      <w:pPr>
        <w:pStyle w:val="PargrafodaLista"/>
        <w:numPr>
          <w:ilvl w:val="0"/>
          <w:numId w:val="72"/>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sustentabilidade aplicada à TIC;</w:t>
      </w:r>
    </w:p>
    <w:p w:rsidRPr="00B1390E" w:rsidR="00B1390E" w:rsidP="20C657D0" w:rsidRDefault="00B1390E" w14:paraId="0B686D1C" w14:textId="1D8AEE46">
      <w:pPr>
        <w:pStyle w:val="PargrafodaLista"/>
        <w:numPr>
          <w:ilvl w:val="0"/>
          <w:numId w:val="72"/>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novos modelos de prestação de serviços digitais;</w:t>
      </w:r>
    </w:p>
    <w:p w:rsidRPr="00B1390E" w:rsidR="00B1390E" w:rsidP="20C657D0" w:rsidRDefault="00B1390E" w14:paraId="6F53CAE1" w14:textId="799DE6D6">
      <w:pPr>
        <w:pStyle w:val="PargrafodaLista"/>
        <w:numPr>
          <w:ilvl w:val="0"/>
          <w:numId w:val="72"/>
        </w:numPr>
        <w:spacing w:before="240" w:beforeAutospacing="off" w:after="240" w:afterAutospacing="off" w:line="360" w:lineRule="auto"/>
        <w:ind/>
        <w:jc w:val="both"/>
        <w:rPr>
          <w:rFonts w:ascii="Arial" w:hAnsi="Arial" w:eastAsia="Arial" w:cs="Arial"/>
          <w:noProof w:val="0"/>
          <w:sz w:val="22"/>
          <w:szCs w:val="22"/>
          <w:lang w:val="pt-BR"/>
        </w:rPr>
      </w:pPr>
      <w:r w:rsidRPr="20C657D0" w:rsidR="631ED510">
        <w:rPr>
          <w:rFonts w:ascii="Arial" w:hAnsi="Arial" w:eastAsia="Arial" w:cs="Arial"/>
          <w:noProof w:val="0"/>
          <w:sz w:val="22"/>
          <w:szCs w:val="22"/>
          <w:lang w:val="pt-BR"/>
        </w:rPr>
        <w:t>outros temas que a equipe queira observar sem comprometer a série histórica.</w:t>
      </w:r>
    </w:p>
    <w:p w:rsidRPr="00B1390E" w:rsidR="00B1390E" w:rsidP="20C657D0" w:rsidRDefault="00B1390E" w14:paraId="3E8899ED" w14:textId="0A0E7598">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Fundamentação</w:t>
      </w:r>
      <w:r>
        <w:br/>
      </w:r>
      <w:r w:rsidRPr="20C657D0" w:rsidR="631ED510">
        <w:rPr>
          <w:rFonts w:ascii="Arial" w:hAnsi="Arial" w:eastAsia="Arial" w:cs="Arial"/>
          <w:noProof w:val="0"/>
          <w:sz w:val="22"/>
          <w:szCs w:val="22"/>
          <w:lang w:val="pt-BR"/>
        </w:rPr>
        <w:t xml:space="preserve"> A lógica de separar núcleo estável e componentes acessórios já está presente na avaliação consolidada do iGovTI 2026. </w:t>
      </w:r>
      <w:r>
        <w:br/>
      </w:r>
      <w:r w:rsidRPr="20C657D0" w:rsidR="631ED510">
        <w:rPr>
          <w:rFonts w:ascii="Arial" w:hAnsi="Arial" w:eastAsia="Arial" w:cs="Arial"/>
          <w:noProof w:val="0"/>
          <w:sz w:val="22"/>
          <w:szCs w:val="22"/>
          <w:lang w:val="pt-BR"/>
        </w:rPr>
        <w:t>Esse arranjo permite inovação metodológica sem contaminar o índice nem dificultar comparação com 2023.</w:t>
      </w:r>
    </w:p>
    <w:p w:rsidRPr="00B1390E" w:rsidR="00B1390E" w:rsidP="20C657D0" w:rsidRDefault="00B1390E" w14:paraId="2A8BFDE2" w14:textId="09A77EF0">
      <w:pPr>
        <w:spacing w:before="240" w:beforeAutospacing="off" w:after="240" w:afterAutospacing="off" w:line="360" w:lineRule="auto"/>
        <w:ind/>
        <w:jc w:val="both"/>
      </w:pPr>
      <w:r w:rsidRPr="20C657D0" w:rsidR="631ED510">
        <w:rPr>
          <w:rFonts w:ascii="Arial" w:hAnsi="Arial" w:eastAsia="Arial" w:cs="Arial"/>
          <w:b w:val="1"/>
          <w:bCs w:val="1"/>
          <w:noProof w:val="0"/>
          <w:sz w:val="22"/>
          <w:szCs w:val="22"/>
          <w:lang w:val="pt-BR"/>
        </w:rPr>
        <w:t>O que se espera com o ajuste</w:t>
      </w:r>
      <w:r>
        <w:br/>
      </w:r>
      <w:r w:rsidRPr="20C657D0" w:rsidR="631ED510">
        <w:rPr>
          <w:rFonts w:ascii="Arial" w:hAnsi="Arial" w:eastAsia="Arial" w:cs="Arial"/>
          <w:noProof w:val="0"/>
          <w:sz w:val="22"/>
          <w:szCs w:val="22"/>
          <w:lang w:val="pt-BR"/>
        </w:rPr>
        <w:t xml:space="preserve"> Permitir evolução futura do instrumento com baixo risco metodológico.</w:t>
      </w:r>
    </w:p>
    <w:p w:rsidRPr="00B1390E" w:rsidR="00B1390E" w:rsidP="20C657D0" w:rsidRDefault="00B1390E" w14:paraId="7AB383F2" w14:textId="24E7C669">
      <w:pPr>
        <w:spacing w:line="360" w:lineRule="auto"/>
        <w:ind/>
        <w:jc w:val="both"/>
      </w:pPr>
    </w:p>
    <w:p w:rsidRPr="00B1390E" w:rsidR="00B1390E" w:rsidP="20C657D0" w:rsidRDefault="00B1390E" w14:paraId="7D631CE4" w14:textId="13953B2D">
      <w:pPr>
        <w:pStyle w:val="Ttulo2"/>
        <w:spacing w:before="299" w:beforeAutospacing="off" w:after="299" w:afterAutospacing="off" w:line="360" w:lineRule="auto"/>
        <w:ind/>
        <w:jc w:val="both"/>
      </w:pPr>
      <w:r w:rsidRPr="20C657D0" w:rsidR="631ED510">
        <w:rPr>
          <w:rFonts w:ascii="Arial" w:hAnsi="Arial" w:eastAsia="Arial" w:cs="Arial"/>
          <w:b w:val="1"/>
          <w:bCs w:val="1"/>
          <w:noProof w:val="0"/>
          <w:sz w:val="36"/>
          <w:szCs w:val="36"/>
          <w:lang w:val="pt-BR"/>
        </w:rPr>
        <w:t>Síntese final</w:t>
      </w:r>
    </w:p>
    <w:p w:rsidRPr="00B1390E" w:rsidR="00B1390E" w:rsidP="20C657D0" w:rsidRDefault="00B1390E" w14:paraId="7C4B5093" w14:textId="099B3A95">
      <w:pPr>
        <w:spacing w:before="240" w:beforeAutospacing="off" w:after="240" w:afterAutospacing="off" w:line="360" w:lineRule="auto"/>
        <w:ind/>
        <w:jc w:val="both"/>
      </w:pPr>
      <w:r w:rsidRPr="20C657D0" w:rsidR="631ED510">
        <w:rPr>
          <w:rFonts w:ascii="Arial" w:hAnsi="Arial" w:eastAsia="Arial" w:cs="Arial"/>
          <w:noProof w:val="0"/>
          <w:sz w:val="22"/>
          <w:szCs w:val="22"/>
          <w:lang w:val="pt-BR"/>
        </w:rPr>
        <w:t xml:space="preserve">A revisão das referências e as decisões tomadas pela equipe apontam para um caminho claro: </w:t>
      </w:r>
      <w:r w:rsidRPr="20C657D0" w:rsidR="631ED510">
        <w:rPr>
          <w:rFonts w:ascii="Arial" w:hAnsi="Arial" w:eastAsia="Arial" w:cs="Arial"/>
          <w:b w:val="1"/>
          <w:bCs w:val="1"/>
          <w:noProof w:val="0"/>
          <w:sz w:val="22"/>
          <w:szCs w:val="22"/>
          <w:lang w:val="pt-BR"/>
        </w:rPr>
        <w:t>o iGovTI 2026 deve preservar a estrutura central do ciclo de 2023, mas ser mais claro, mais TI-específico, mais verificável e mais indutor</w:t>
      </w:r>
      <w:r w:rsidRPr="20C657D0" w:rsidR="631ED510">
        <w:rPr>
          <w:rFonts w:ascii="Arial" w:hAnsi="Arial" w:eastAsia="Arial" w:cs="Arial"/>
          <w:noProof w:val="0"/>
          <w:sz w:val="22"/>
          <w:szCs w:val="22"/>
          <w:lang w:val="pt-BR"/>
        </w:rPr>
        <w:t>. O ajuste mais importante não é ampliar indefinidamente o questionário, mas qualificar melhor o que já se mostrou essencial: núcleo comum estável, redação mais simples, escopo fechado à TI, mais força para planejamento efetivo, maior destaque para gestão de ativos e melhor controle sobre a qualidade das respostas. Esse é o tipo de mudança que tende a melhorar simultaneamente comparabilidade, utilidade analítica e capacidade de indução do instrumento.</w:t>
      </w:r>
    </w:p>
    <w:p w:rsidRPr="00B1390E" w:rsidR="00B1390E" w:rsidP="20C657D0" w:rsidRDefault="00B1390E" w14:paraId="060DFC85" w14:textId="626589CE">
      <w:pPr>
        <w:spacing w:line="360" w:lineRule="auto"/>
        <w:ind w:firstLine="708"/>
        <w:jc w:val="both"/>
        <w:rPr>
          <w:rFonts w:cs="Arial"/>
        </w:rPr>
      </w:pPr>
      <w:r w:rsidRPr="20C657D0" w:rsidR="00B1390E">
        <w:rPr>
          <w:rFonts w:cs="Arial"/>
        </w:rPr>
        <w:t>.</w:t>
      </w:r>
    </w:p>
    <w:p w:rsidRPr="00B1390E" w:rsidR="00B1390E" w:rsidP="00B1390E" w:rsidRDefault="00B1390E" w14:paraId="1ACD75A8" w14:textId="77777777">
      <w:pPr>
        <w:spacing w:line="360" w:lineRule="auto"/>
        <w:ind w:firstLine="708"/>
        <w:jc w:val="both"/>
        <w:rPr>
          <w:rFonts w:cs="Arial"/>
          <w:color w:val="EE0000"/>
          <w:szCs w:val="22"/>
        </w:rPr>
      </w:pPr>
    </w:p>
    <w:p w:rsidRPr="00BF51E9" w:rsidR="00DC53C5" w:rsidP="000C2099" w:rsidRDefault="00DC53C5" w14:paraId="5F26DD16" w14:textId="77777777">
      <w:pPr>
        <w:spacing w:line="360" w:lineRule="auto"/>
        <w:ind w:firstLine="708"/>
        <w:jc w:val="both"/>
        <w:rPr>
          <w:rFonts w:cs="Arial"/>
          <w:szCs w:val="22"/>
        </w:rPr>
      </w:pPr>
    </w:p>
    <w:sectPr w:rsidRPr="00BF51E9" w:rsidR="00DC53C5" w:rsidSect="00BF51E9">
      <w:headerReference w:type="default" r:id="rId11"/>
      <w:footerReference w:type="default" r:id="rId12"/>
      <w:headerReference w:type="first" r:id="rId13"/>
      <w:footerReference w:type="first" r:id="rId14"/>
      <w:pgSz w:w="11906" w:h="16838" w:orient="portrait"/>
      <w:pgMar w:top="1117" w:right="1274" w:bottom="1417" w:left="1276"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76A5" w:rsidP="00056F25" w:rsidRDefault="00F776A5" w14:paraId="496C87ED" w14:textId="77777777">
      <w:r>
        <w:separator/>
      </w:r>
    </w:p>
  </w:endnote>
  <w:endnote w:type="continuationSeparator" w:id="0">
    <w:p w:rsidR="00F776A5" w:rsidP="00056F25" w:rsidRDefault="00F776A5" w14:paraId="273B1ED4" w14:textId="77777777">
      <w:r>
        <w:continuationSeparator/>
      </w:r>
    </w:p>
  </w:endnote>
  <w:endnote w:type="continuationNotice" w:id="1">
    <w:p w:rsidR="00F776A5" w:rsidRDefault="00F776A5" w14:paraId="6C0BF26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F00D4" w:rsidR="00CF00D4" w:rsidP="00CF00D4" w:rsidRDefault="00CF00D4" w14:paraId="6C3FF25C" w14:textId="77777777">
    <w:pPr>
      <w:pStyle w:val="Rodap"/>
      <w:pBdr>
        <w:top w:val="single" w:color="auto" w:sz="4" w:space="1"/>
      </w:pBdr>
      <w:jc w:val="right"/>
      <w:rPr>
        <w:rFonts w:cs="Arial"/>
      </w:rPr>
    </w:pPr>
    <w:r w:rsidRPr="00CF00D4">
      <w:rPr>
        <w:rFonts w:cs="Arial"/>
      </w:rPr>
      <w:t xml:space="preserve">Página </w:t>
    </w:r>
    <w:sdt>
      <w:sdtPr>
        <w:rPr>
          <w:rFonts w:cs="Arial"/>
        </w:rPr>
        <w:id w:val="1355611436"/>
        <w:docPartObj>
          <w:docPartGallery w:val="Page Numbers (Bottom of Page)"/>
          <w:docPartUnique/>
        </w:docPartObj>
      </w:sdtPr>
      <w:sdtContent>
        <w:r w:rsidRPr="00CF00D4">
          <w:rPr>
            <w:rFonts w:cs="Arial"/>
          </w:rPr>
          <w:fldChar w:fldCharType="begin"/>
        </w:r>
        <w:r w:rsidRPr="00CF00D4">
          <w:rPr>
            <w:rFonts w:cs="Arial"/>
          </w:rPr>
          <w:instrText>PAGE   \* MERGEFORMAT</w:instrText>
        </w:r>
        <w:r w:rsidRPr="00CF00D4">
          <w:rPr>
            <w:rFonts w:cs="Arial"/>
          </w:rPr>
          <w:fldChar w:fldCharType="separate"/>
        </w:r>
        <w:r w:rsidRPr="00CF00D4">
          <w:rPr>
            <w:rFonts w:cs="Arial"/>
          </w:rPr>
          <w:t>2</w:t>
        </w:r>
        <w:r w:rsidRPr="00CF00D4">
          <w:rPr>
            <w:rFonts w:cs="Arial"/>
          </w:rPr>
          <w:fldChar w:fldCharType="end"/>
        </w:r>
        <w:r w:rsidRPr="00CF00D4">
          <w:rPr>
            <w:rFonts w:cs="Arial"/>
          </w:rPr>
          <w:t xml:space="preserve"> de </w:t>
        </w:r>
        <w:r w:rsidRPr="00CF00D4">
          <w:rPr>
            <w:rFonts w:cs="Arial"/>
          </w:rPr>
          <w:fldChar w:fldCharType="begin"/>
        </w:r>
        <w:r w:rsidRPr="00CF00D4">
          <w:rPr>
            <w:rFonts w:cs="Arial"/>
          </w:rPr>
          <w:instrText xml:space="preserve"> NUMPAGES   \* MERGEFORMAT </w:instrText>
        </w:r>
        <w:r w:rsidRPr="00CF00D4">
          <w:rPr>
            <w:rFonts w:cs="Arial"/>
          </w:rPr>
          <w:fldChar w:fldCharType="separate"/>
        </w:r>
        <w:r w:rsidRPr="00CF00D4">
          <w:rPr>
            <w:rFonts w:cs="Arial"/>
            <w:noProof/>
          </w:rPr>
          <w:t>3</w:t>
        </w:r>
        <w:r w:rsidRPr="00CF00D4">
          <w:rPr>
            <w:rFonts w:cs="Arial"/>
          </w:rPr>
          <w:fldChar w:fldCharType="end"/>
        </w:r>
      </w:sdtContent>
    </w:sdt>
  </w:p>
  <w:p w:rsidR="000855DD" w:rsidRDefault="000855DD" w14:paraId="6C41B352"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55DD" w:rsidRDefault="000855DD" w14:paraId="5EFDD482" w14:textId="77777777">
    <w:pPr>
      <w:pStyle w:val="Rodap"/>
      <w:jc w:val="right"/>
    </w:pPr>
    <w:r>
      <w:fldChar w:fldCharType="begin"/>
    </w:r>
    <w:r>
      <w:instrText>PAGE   \* MERGEFORMAT</w:instrText>
    </w:r>
    <w:r>
      <w:fldChar w:fldCharType="separate"/>
    </w:r>
    <w:r>
      <w:rPr>
        <w:noProof/>
      </w:rPr>
      <w:t>1</w:t>
    </w:r>
    <w:r>
      <w:fldChar w:fldCharType="end"/>
    </w:r>
  </w:p>
  <w:p w:rsidR="000855DD" w:rsidRDefault="000855DD" w14:paraId="4ACE75EA" w14:textId="77777777">
    <w:pPr>
      <w:pStyle w:val="Rodap"/>
    </w:pPr>
  </w:p>
  <w:p w:rsidR="000855DD" w:rsidRDefault="000855DD" w14:paraId="6D8E610E"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76A5" w:rsidP="00056F25" w:rsidRDefault="00F776A5" w14:paraId="65DC7230" w14:textId="77777777">
      <w:r>
        <w:separator/>
      </w:r>
    </w:p>
  </w:footnote>
  <w:footnote w:type="continuationSeparator" w:id="0">
    <w:p w:rsidR="00F776A5" w:rsidP="00056F25" w:rsidRDefault="00F776A5" w14:paraId="37124A7F" w14:textId="77777777">
      <w:r>
        <w:continuationSeparator/>
      </w:r>
    </w:p>
  </w:footnote>
  <w:footnote w:type="continuationNotice" w:id="1">
    <w:p w:rsidR="00F776A5" w:rsidRDefault="00F776A5" w14:paraId="221782EE" w14:textId="77777777"/>
  </w:footnote>
  <w:footnote w:id="2">
    <w:p w:rsidRPr="00B16D7D" w:rsidR="00EB60BB" w:rsidP="00EB60BB" w:rsidRDefault="00EB60BB" w14:paraId="545519C8" w14:textId="77777777">
      <w:pPr>
        <w:pStyle w:val="Textodenotaderodap"/>
        <w:rPr>
          <w:sz w:val="18"/>
          <w:szCs w:val="16"/>
        </w:rPr>
      </w:pPr>
      <w:r w:rsidRPr="00B16D7D">
        <w:rPr>
          <w:rStyle w:val="Refdenotaderodap"/>
          <w:sz w:val="18"/>
          <w:szCs w:val="16"/>
        </w:rPr>
        <w:footnoteRef/>
      </w:r>
      <w:r w:rsidRPr="00B16D7D">
        <w:rPr>
          <w:sz w:val="18"/>
          <w:szCs w:val="16"/>
        </w:rPr>
        <w:t xml:space="preserve"> </w:t>
      </w:r>
      <w:r w:rsidRPr="00F97EF2">
        <w:rPr>
          <w:rFonts w:cs="Arial"/>
          <w:szCs w:val="22"/>
        </w:rPr>
        <w:t xml:space="preserve">Contextualização do instrumento feita pelo </w:t>
      </w:r>
      <w:proofErr w:type="gramStart"/>
      <w:r w:rsidRPr="00F97EF2">
        <w:rPr>
          <w:rFonts w:cs="Arial"/>
          <w:szCs w:val="22"/>
        </w:rPr>
        <w:t>TCU</w:t>
      </w:r>
      <w:r w:rsidRPr="00B16D7D">
        <w:rPr>
          <w:sz w:val="18"/>
          <w:szCs w:val="16"/>
        </w:rPr>
        <w:t xml:space="preserve"> </w:t>
      </w:r>
      <w:r>
        <w:rPr>
          <w:sz w:val="18"/>
          <w:szCs w:val="16"/>
        </w:rPr>
        <w:t>:</w:t>
      </w:r>
      <w:proofErr w:type="gramEnd"/>
      <w:r>
        <w:rPr>
          <w:sz w:val="18"/>
          <w:szCs w:val="16"/>
        </w:rPr>
        <w:t xml:space="preserve"> </w:t>
      </w:r>
      <w:r w:rsidRPr="00B16D7D">
        <w:rPr>
          <w:sz w:val="18"/>
          <w:szCs w:val="16"/>
        </w:rPr>
        <w:t>https://cdn.cade.gov.br/Portal/centrais-de-conteudo/publicacoes/tecnologia-da-informacao/levantamento-de-governanca-de-ti-2016-tcu.pdf</w:t>
      </w:r>
    </w:p>
  </w:footnote>
  <w:footnote w:id="3">
    <w:p w:rsidR="00FB247F" w:rsidRDefault="00FB247F" w14:paraId="4FA6D911" w14:textId="05909C6E">
      <w:pPr>
        <w:pStyle w:val="Textodenotaderodap"/>
      </w:pPr>
      <w:r>
        <w:rPr>
          <w:rStyle w:val="Refdenotaderodap"/>
        </w:rPr>
        <w:footnoteRef/>
      </w:r>
      <w:r>
        <w:t xml:space="preserve"> </w:t>
      </w:r>
      <w:r w:rsidRPr="00FB247F">
        <w:t>https://portal.tcu.gov.br/tecnologia-da-informacao/auditoria-sobre-modelo-de-ti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F6F96" w:rsidP="00CF6F96" w:rsidRDefault="00CF6F96" w14:paraId="62AF95AE" w14:textId="77777777">
    <w:pPr>
      <w:pStyle w:val="Cabealho"/>
    </w:pPr>
    <w:r>
      <w:rPr>
        <w:noProof/>
      </w:rPr>
      <mc:AlternateContent>
        <mc:Choice Requires="wps">
          <w:drawing>
            <wp:anchor distT="0" distB="0" distL="36195" distR="114300" simplePos="0" relativeHeight="251658243" behindDoc="0" locked="0" layoutInCell="1" allowOverlap="1" wp14:anchorId="45583148" wp14:editId="63678081">
              <wp:simplePos x="0" y="0"/>
              <wp:positionH relativeFrom="column">
                <wp:posOffset>682109</wp:posOffset>
              </wp:positionH>
              <wp:positionV relativeFrom="paragraph">
                <wp:posOffset>5008</wp:posOffset>
              </wp:positionV>
              <wp:extent cx="4906513" cy="548640"/>
              <wp:effectExtent l="0" t="0" r="27940" b="22860"/>
              <wp:wrapNone/>
              <wp:docPr id="24" name="Caixa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513" cy="548640"/>
                      </a:xfrm>
                      <a:prstGeom prst="rect">
                        <a:avLst/>
                      </a:prstGeom>
                      <a:solidFill>
                        <a:srgbClr val="FFFFFF"/>
                      </a:solidFill>
                      <a:ln w="9525">
                        <a:solidFill>
                          <a:srgbClr val="FFFFFF"/>
                        </a:solidFill>
                        <a:miter lim="800000"/>
                        <a:headEnd/>
                        <a:tailEnd/>
                      </a:ln>
                    </wps:spPr>
                    <wps:txbx>
                      <w:txbxContent>
                        <w:p w:rsidRPr="000855DD" w:rsidR="00CF6F96" w:rsidP="00CF6F96" w:rsidRDefault="00CF6F96" w14:paraId="732A8161" w14:textId="77777777">
                          <w:pPr>
                            <w:rPr>
                              <w:b/>
                              <w:sz w:val="18"/>
                            </w:rPr>
                          </w:pPr>
                          <w:r w:rsidRPr="000855DD">
                            <w:rPr>
                              <w:b/>
                              <w:sz w:val="18"/>
                            </w:rPr>
                            <w:t>TRIBUNAL DE CONTAS DO ESTADO DO RIO DE JANEIRO</w:t>
                          </w:r>
                        </w:p>
                        <w:p w:rsidR="00CF6F96" w:rsidP="00CF6F96" w:rsidRDefault="00CF6F96" w14:paraId="40B25881" w14:textId="77777777">
                          <w:pPr>
                            <w:rPr>
                              <w:sz w:val="16"/>
                            </w:rPr>
                          </w:pPr>
                          <w:r>
                            <w:rPr>
                              <w:sz w:val="16"/>
                            </w:rPr>
                            <w:t>SECRETARIA GERAL DE CONTROLE EXTERNO</w:t>
                          </w:r>
                        </w:p>
                        <w:p w:rsidR="00CF6F96" w:rsidP="00CF6F96" w:rsidRDefault="00CF6F96" w14:paraId="14FA26DB" w14:textId="77777777">
                          <w:pPr>
                            <w:rPr>
                              <w:sz w:val="16"/>
                            </w:rPr>
                          </w:pPr>
                          <w:r w:rsidRPr="000855DD">
                            <w:rPr>
                              <w:sz w:val="16"/>
                            </w:rPr>
                            <w:t xml:space="preserve">SUBSECRETARIA DE CONTROLE </w:t>
                          </w:r>
                          <w:r w:rsidR="001C136C">
                            <w:rPr>
                              <w:sz w:val="16"/>
                            </w:rPr>
                            <w:t>D</w:t>
                          </w:r>
                          <w:r w:rsidRPr="000855DD">
                            <w:rPr>
                              <w:sz w:val="16"/>
                            </w:rPr>
                            <w:t>E POLÍTICAS DE CIDADANIA</w:t>
                          </w:r>
                        </w:p>
                        <w:p w:rsidR="00CF6F96" w:rsidP="00CF6F96" w:rsidRDefault="00CF6F96" w14:paraId="5BB158CD" w14:textId="77777777">
                          <w:pPr>
                            <w:rPr>
                              <w:sz w:val="16"/>
                            </w:rPr>
                          </w:pPr>
                          <w:r w:rsidRPr="000855DD">
                            <w:rPr>
                              <w:sz w:val="16"/>
                            </w:rPr>
                            <w:t>COORDENADORIA DE AUDITORIA EM POLÍTICAS DE TECNOLOGIA DA INFORMAÇÃO</w:t>
                          </w:r>
                        </w:p>
                      </w:txbxContent>
                    </wps:txbx>
                    <wps:bodyPr rot="0" vert="horz" wrap="square" lIns="46800" tIns="72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CFD071D">
            <v:shapetype id="_x0000_t202" coordsize="21600,21600" o:spt="202" path="m,l,21600r21600,l21600,xe" w14:anchorId="45583148">
              <v:stroke joinstyle="miter"/>
              <v:path gradientshapeok="t" o:connecttype="rect"/>
            </v:shapetype>
            <v:shape id="Caixa de Texto 24" style="position:absolute;margin-left:53.7pt;margin-top:.4pt;width:386.35pt;height:43.2pt;z-index:251658243;visibility:visible;mso-wrap-style:square;mso-width-percent:0;mso-height-percent:0;mso-wrap-distance-left:2.85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white"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">
              <v:textbox inset="1.3mm,.2mm">
                <w:txbxContent>
                  <w:p w:rsidRPr="000855DD" w:rsidR="00CF6F96" w:rsidP="00CF6F96" w:rsidRDefault="00CF6F96" w14:paraId="60560C3C" w14:textId="77777777">
                    <w:pPr>
                      <w:rPr>
                        <w:b/>
                        <w:sz w:val="18"/>
                      </w:rPr>
                    </w:pPr>
                    <w:r w:rsidRPr="000855DD">
                      <w:rPr>
                        <w:b/>
                        <w:sz w:val="18"/>
                      </w:rPr>
                      <w:t>TRIBUNAL DE CONTAS DO ESTADO DO RIO DE JANEIRO</w:t>
                    </w:r>
                  </w:p>
                  <w:p w:rsidR="00CF6F96" w:rsidP="00CF6F96" w:rsidRDefault="00CF6F96" w14:paraId="26730C8B" w14:textId="77777777">
                    <w:pPr>
                      <w:rPr>
                        <w:sz w:val="16"/>
                      </w:rPr>
                    </w:pPr>
                    <w:r>
                      <w:rPr>
                        <w:sz w:val="16"/>
                      </w:rPr>
                      <w:t>SECRETARIA GERAL DE CONTROLE EXTERNO</w:t>
                    </w:r>
                  </w:p>
                  <w:p w:rsidR="00CF6F96" w:rsidP="00CF6F96" w:rsidRDefault="00CF6F96" w14:paraId="53725C9B" w14:textId="77777777">
                    <w:pPr>
                      <w:rPr>
                        <w:sz w:val="16"/>
                      </w:rPr>
                    </w:pPr>
                    <w:r w:rsidRPr="000855DD">
                      <w:rPr>
                        <w:sz w:val="16"/>
                      </w:rPr>
                      <w:t xml:space="preserve">SUBSECRETARIA DE CONTROLE </w:t>
                    </w:r>
                    <w:r w:rsidR="001C136C">
                      <w:rPr>
                        <w:sz w:val="16"/>
                      </w:rPr>
                      <w:t>D</w:t>
                    </w:r>
                    <w:r w:rsidRPr="000855DD">
                      <w:rPr>
                        <w:sz w:val="16"/>
                      </w:rPr>
                      <w:t>E POLÍTICAS DE CIDADANIA</w:t>
                    </w:r>
                  </w:p>
                  <w:p w:rsidR="00CF6F96" w:rsidP="00CF6F96" w:rsidRDefault="00CF6F96" w14:paraId="6C20DE36" w14:textId="77777777">
                    <w:pPr>
                      <w:rPr>
                        <w:sz w:val="16"/>
                      </w:rPr>
                    </w:pPr>
                    <w:r w:rsidRPr="000855DD">
                      <w:rPr>
                        <w:sz w:val="16"/>
                      </w:rPr>
                      <w:t>COORDENADORIA DE AUDITORIA EM POLÍTICAS DE TECNOLOGIA DA INFORMAÇÃO</w:t>
                    </w:r>
                  </w:p>
                </w:txbxContent>
              </v:textbox>
            </v:shape>
          </w:pict>
        </mc:Fallback>
      </mc:AlternateContent>
    </w:r>
    <w:r>
      <w:rPr>
        <w:noProof/>
      </w:rPr>
      <w:drawing>
        <wp:inline distT="0" distB="0" distL="0" distR="0" wp14:anchorId="14B9BD8B" wp14:editId="34A92775">
          <wp:extent cx="714375" cy="361950"/>
          <wp:effectExtent l="0" t="0" r="0" b="0"/>
          <wp:docPr id="809470233" name="Imagem 80947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361950"/>
                  </a:xfrm>
                  <a:prstGeom prst="rect">
                    <a:avLst/>
                  </a:prstGeom>
                  <a:noFill/>
                  <a:ln>
                    <a:noFill/>
                  </a:ln>
                </pic:spPr>
              </pic:pic>
            </a:graphicData>
          </a:graphic>
        </wp:inline>
      </w:drawing>
    </w:r>
  </w:p>
  <w:p w:rsidR="000855DD" w:rsidP="00256D06" w:rsidRDefault="000855DD" w14:paraId="050E2A9A" w14:textId="77777777">
    <w:pPr>
      <w:pStyle w:val="Cabealho"/>
    </w:pPr>
  </w:p>
  <w:p w:rsidR="000855DD" w:rsidP="00256D06" w:rsidRDefault="000855DD" w14:paraId="0B850920" w14:textId="77777777">
    <w:pPr>
      <w:pStyle w:val="Cabealho"/>
    </w:pPr>
  </w:p>
  <w:p w:rsidRPr="00256D06" w:rsidR="000855DD" w:rsidRDefault="000855DD" w14:paraId="45F589E6" w14:textId="033217D0">
    <w:r>
      <w:rPr>
        <w:noProof/>
      </w:rPr>
      <mc:AlternateContent>
        <mc:Choice Requires="wps">
          <w:drawing>
            <wp:anchor distT="0" distB="0" distL="114300" distR="114300" simplePos="0" relativeHeight="251658242" behindDoc="0" locked="0" layoutInCell="1" allowOverlap="1" wp14:anchorId="119D02BB" wp14:editId="4F7E8910">
              <wp:simplePos x="0" y="0"/>
              <wp:positionH relativeFrom="column">
                <wp:posOffset>0</wp:posOffset>
              </wp:positionH>
              <wp:positionV relativeFrom="paragraph">
                <wp:posOffset>59055</wp:posOffset>
              </wp:positionV>
              <wp:extent cx="5943600" cy="0"/>
              <wp:effectExtent l="0" t="0" r="0" b="0"/>
              <wp:wrapNone/>
              <wp:docPr id="18" name="Conector reto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EF3499D">
            <v:line id="Conector reto 18"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0,4.65pt" to="468pt,4.65pt" w14:anchorId="3F38F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855DD" w:rsidP="00256D06" w:rsidRDefault="000855DD" w14:paraId="4250EDE2" w14:textId="77777777">
    <w:pPr>
      <w:pStyle w:val="Cabealho"/>
    </w:pPr>
    <w:r>
      <w:rPr>
        <w:noProof/>
      </w:rPr>
      <mc:AlternateContent>
        <mc:Choice Requires="wps">
          <w:drawing>
            <wp:anchor distT="0" distB="0" distL="36195" distR="114300" simplePos="0" relativeHeight="251658240" behindDoc="0" locked="0" layoutInCell="1" allowOverlap="1" wp14:anchorId="77E8ADBF" wp14:editId="15ED27DD">
              <wp:simplePos x="0" y="0"/>
              <wp:positionH relativeFrom="column">
                <wp:posOffset>682109</wp:posOffset>
              </wp:positionH>
              <wp:positionV relativeFrom="paragraph">
                <wp:posOffset>5008</wp:posOffset>
              </wp:positionV>
              <wp:extent cx="4906513" cy="548640"/>
              <wp:effectExtent l="0" t="0" r="27940" b="22860"/>
              <wp:wrapNone/>
              <wp:docPr id="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513" cy="548640"/>
                      </a:xfrm>
                      <a:prstGeom prst="rect">
                        <a:avLst/>
                      </a:prstGeom>
                      <a:solidFill>
                        <a:srgbClr val="FFFFFF"/>
                      </a:solidFill>
                      <a:ln w="9525">
                        <a:solidFill>
                          <a:srgbClr val="FFFFFF"/>
                        </a:solidFill>
                        <a:miter lim="800000"/>
                        <a:headEnd/>
                        <a:tailEnd/>
                      </a:ln>
                    </wps:spPr>
                    <wps:txbx>
                      <w:txbxContent>
                        <w:p w:rsidRPr="000855DD" w:rsidR="000855DD" w:rsidP="00256D06" w:rsidRDefault="000855DD" w14:paraId="0A413D86" w14:textId="77777777">
                          <w:pPr>
                            <w:rPr>
                              <w:b/>
                              <w:sz w:val="18"/>
                            </w:rPr>
                          </w:pPr>
                          <w:r w:rsidRPr="000855DD">
                            <w:rPr>
                              <w:b/>
                              <w:sz w:val="18"/>
                            </w:rPr>
                            <w:t>TRIBUNAL DE CONTAS DO ESTADO DO RIO DE JANEIRO</w:t>
                          </w:r>
                        </w:p>
                        <w:p w:rsidR="000855DD" w:rsidP="00256D06" w:rsidRDefault="000855DD" w14:paraId="03E20265" w14:textId="77777777">
                          <w:pPr>
                            <w:rPr>
                              <w:sz w:val="16"/>
                            </w:rPr>
                          </w:pPr>
                          <w:r>
                            <w:rPr>
                              <w:sz w:val="16"/>
                            </w:rPr>
                            <w:t>SECRETARIA GERAL DE CONTROLE EXTERNO</w:t>
                          </w:r>
                        </w:p>
                        <w:p w:rsidR="000855DD" w:rsidP="00256D06" w:rsidRDefault="000855DD" w14:paraId="10827F76" w14:textId="77777777">
                          <w:pPr>
                            <w:rPr>
                              <w:sz w:val="16"/>
                            </w:rPr>
                          </w:pPr>
                          <w:r w:rsidRPr="000855DD">
                            <w:rPr>
                              <w:sz w:val="16"/>
                            </w:rPr>
                            <w:t>SUBSECRETARIA DE CONTROLE DA RECEITA E POLÍTICAS DE CIDADANIA</w:t>
                          </w:r>
                        </w:p>
                        <w:p w:rsidR="000855DD" w:rsidP="000855DD" w:rsidRDefault="000855DD" w14:paraId="79609021" w14:textId="77777777">
                          <w:pPr>
                            <w:rPr>
                              <w:sz w:val="16"/>
                            </w:rPr>
                          </w:pPr>
                          <w:r w:rsidRPr="000855DD">
                            <w:rPr>
                              <w:sz w:val="16"/>
                            </w:rPr>
                            <w:t>COORDENADORIA SETORIAL DE AUDITORIA EM POLÍTICAS DE TECNOLOGIA DA INFORMAÇÃO</w:t>
                          </w:r>
                        </w:p>
                      </w:txbxContent>
                    </wps:txbx>
                    <wps:bodyPr rot="0" vert="horz" wrap="square" lIns="46800" tIns="72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9BC33FD">
            <v:shapetype id="_x0000_t202" coordsize="21600,21600" o:spt="202" path="m,l,21600r21600,l21600,xe" w14:anchorId="77E8ADBF">
              <v:stroke joinstyle="miter"/>
              <v:path gradientshapeok="t" o:connecttype="rect"/>
            </v:shapetype>
            <v:shape id="Caixa de Texto 6" style="position:absolute;margin-left:53.7pt;margin-top:.4pt;width:386.35pt;height:43.2pt;z-index:251658240;visibility:visible;mso-wrap-style:square;mso-width-percent:0;mso-height-percent:0;mso-wrap-distance-left:2.85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strokecolor="white"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">
              <v:textbox inset="1.3mm,.2mm">
                <w:txbxContent>
                  <w:p w:rsidRPr="000855DD" w:rsidR="000855DD" w:rsidP="00256D06" w:rsidRDefault="000855DD" w14:paraId="64AB5B69" w14:textId="77777777">
                    <w:pPr>
                      <w:rPr>
                        <w:b/>
                        <w:sz w:val="18"/>
                      </w:rPr>
                    </w:pPr>
                    <w:r w:rsidRPr="000855DD">
                      <w:rPr>
                        <w:b/>
                        <w:sz w:val="18"/>
                      </w:rPr>
                      <w:t>TRIBUNAL DE CONTAS DO ESTADO DO RIO DE JANEIRO</w:t>
                    </w:r>
                  </w:p>
                  <w:p w:rsidR="000855DD" w:rsidP="00256D06" w:rsidRDefault="000855DD" w14:paraId="55F43634" w14:textId="77777777">
                    <w:pPr>
                      <w:rPr>
                        <w:sz w:val="16"/>
                      </w:rPr>
                    </w:pPr>
                    <w:r>
                      <w:rPr>
                        <w:sz w:val="16"/>
                      </w:rPr>
                      <w:t>SECRETARIA GERAL DE CONTROLE EXTERNO</w:t>
                    </w:r>
                  </w:p>
                  <w:p w:rsidR="000855DD" w:rsidP="00256D06" w:rsidRDefault="000855DD" w14:paraId="13C0B834" w14:textId="77777777">
                    <w:pPr>
                      <w:rPr>
                        <w:sz w:val="16"/>
                      </w:rPr>
                    </w:pPr>
                    <w:r w:rsidRPr="000855DD">
                      <w:rPr>
                        <w:sz w:val="16"/>
                      </w:rPr>
                      <w:t>SUBSECRETARIA DE CONTROLE DA RECEITA E POLÍTICAS DE CIDADANIA</w:t>
                    </w:r>
                  </w:p>
                  <w:p w:rsidR="000855DD" w:rsidP="000855DD" w:rsidRDefault="000855DD" w14:paraId="4716F7AE" w14:textId="77777777">
                    <w:pPr>
                      <w:rPr>
                        <w:sz w:val="16"/>
                      </w:rPr>
                    </w:pPr>
                    <w:r w:rsidRPr="000855DD">
                      <w:rPr>
                        <w:sz w:val="16"/>
                      </w:rPr>
                      <w:t>COORDENADORIA SETORIAL DE AUDITORIA EM POLÍTICAS DE TECNOLOGIA DA INFORMAÇÃO</w:t>
                    </w:r>
                  </w:p>
                </w:txbxContent>
              </v:textbox>
            </v:shape>
          </w:pict>
        </mc:Fallback>
      </mc:AlternateContent>
    </w:r>
    <w:r>
      <w:rPr>
        <w:noProof/>
      </w:rPr>
      <w:drawing>
        <wp:inline distT="0" distB="0" distL="0" distR="0" wp14:anchorId="683D8049" wp14:editId="07777777">
          <wp:extent cx="714375" cy="361950"/>
          <wp:effectExtent l="0" t="0" r="0" b="0"/>
          <wp:docPr id="2021827233" name="Imagem 202182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361950"/>
                  </a:xfrm>
                  <a:prstGeom prst="rect">
                    <a:avLst/>
                  </a:prstGeom>
                  <a:noFill/>
                  <a:ln>
                    <a:noFill/>
                  </a:ln>
                </pic:spPr>
              </pic:pic>
            </a:graphicData>
          </a:graphic>
        </wp:inline>
      </w:drawing>
    </w:r>
  </w:p>
  <w:p w:rsidR="000855DD" w:rsidP="00256D06" w:rsidRDefault="000855DD" w14:paraId="35C2C6AD" w14:textId="77777777">
    <w:pPr>
      <w:pStyle w:val="Cabealho"/>
    </w:pPr>
  </w:p>
  <w:p w:rsidR="000855DD" w:rsidP="00256D06" w:rsidRDefault="000855DD" w14:paraId="0C4CB0F2" w14:textId="77777777">
    <w:pPr>
      <w:pStyle w:val="Cabealho"/>
    </w:pPr>
  </w:p>
  <w:p w:rsidR="000855DD" w:rsidP="00256D06" w:rsidRDefault="000855DD" w14:paraId="752CDC13" w14:textId="77777777">
    <w:pPr>
      <w:pStyle w:val="Cabealho"/>
    </w:pPr>
    <w:r>
      <w:rPr>
        <w:noProof/>
      </w:rPr>
      <mc:AlternateContent>
        <mc:Choice Requires="wps">
          <w:drawing>
            <wp:anchor distT="4294967295" distB="4294967295" distL="114300" distR="114300" simplePos="0" relativeHeight="251658241" behindDoc="0" locked="0" layoutInCell="1" allowOverlap="1" wp14:anchorId="06F83B9A" wp14:editId="07777777">
              <wp:simplePos x="0" y="0"/>
              <wp:positionH relativeFrom="column">
                <wp:posOffset>0</wp:posOffset>
              </wp:positionH>
              <wp:positionV relativeFrom="paragraph">
                <wp:posOffset>59055</wp:posOffset>
              </wp:positionV>
              <wp:extent cx="5588000" cy="0"/>
              <wp:effectExtent l="0" t="0" r="0" b="0"/>
              <wp:wrapNone/>
              <wp:docPr id="3" name="Conector re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E01A05C">
            <v:line id="Conector reto 3"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0,4.65pt" to="440pt,4.65pt" w14:anchorId="3DD62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"/>
          </w:pict>
        </mc:Fallback>
      </mc:AlternateContent>
    </w:r>
  </w:p>
  <w:p w:rsidR="000855DD" w:rsidRDefault="000855DD" w14:paraId="5503AC87" w14:textId="77777777">
    <w:pPr>
      <w:pStyle w:val="Cabealho"/>
    </w:pPr>
  </w:p>
  <w:p w:rsidR="000855DD" w:rsidRDefault="000855DD" w14:paraId="08FE98FA"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1">
    <w:nsid w:val="649707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cd2e9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be660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8b4f1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89197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ebbc3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fd9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16a1b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67096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c2982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464a59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0a733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6768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abstractNum w:abstractNumId="6" w15:restartNumberingAfterBreak="0">
    <w:nsid w:val="01F00D5E"/>
    <w:multiLevelType w:val="multilevel"/>
    <w:tmpl w:val="346A41CC"/>
    <w:lvl w:ilvl="0">
      <w:start w:val="1"/>
      <mc:AlternateContent>
        <mc:Choice Requires="w14">
          <w:numFmt w:val="custom" w:format="001, 002, 003, ..."/>
        </mc:Choice>
        <mc:Fallback>
          <w:numFmt w:val="decimal"/>
        </mc:Fallback>
      </mc:AlternateContent>
      <w:pStyle w:val="instrucoes"/>
      <w:lvlText w:val="%1."/>
      <w:lvlJc w:val="left"/>
      <w:pPr>
        <w:tabs>
          <w:tab w:val="num" w:pos="1843"/>
        </w:tabs>
        <w:ind w:left="1843" w:hanging="567"/>
      </w:pPr>
      <w:rPr>
        <w:sz w:val="16"/>
      </w:rPr>
    </w:lvl>
    <w:lvl w:ilvl="1">
      <w:start w:val="1"/>
      <w:numFmt w:val="decimal"/>
      <w:lvlText w:val="%1.%2."/>
      <w:lvlJc w:val="left"/>
      <w:pPr>
        <w:tabs>
          <w:tab w:val="num" w:pos="1276"/>
        </w:tabs>
        <w:ind w:left="1276" w:hanging="709"/>
      </w:pPr>
    </w:lvl>
    <w:lvl w:ilvl="2">
      <w:start w:val="1"/>
      <w:numFmt w:val="decimal"/>
      <w:lvlText w:val="%1.%2.%3."/>
      <w:lvlJc w:val="left"/>
      <w:pPr>
        <w:tabs>
          <w:tab w:val="num" w:pos="2268"/>
        </w:tabs>
        <w:ind w:left="2268" w:hanging="992"/>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02CD13F8"/>
    <w:multiLevelType w:val="multilevel"/>
    <w:tmpl w:val="6CB275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3241E43"/>
    <w:multiLevelType w:val="multilevel"/>
    <w:tmpl w:val="5A62B8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3EE6AF5"/>
    <w:multiLevelType w:val="multilevel"/>
    <w:tmpl w:val="01685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951EA9"/>
    <w:multiLevelType w:val="multilevel"/>
    <w:tmpl w:val="039241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154739"/>
    <w:multiLevelType w:val="multilevel"/>
    <w:tmpl w:val="5624F3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CBB0827"/>
    <w:multiLevelType w:val="multilevel"/>
    <w:tmpl w:val="CBD65D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E340527"/>
    <w:multiLevelType w:val="multilevel"/>
    <w:tmpl w:val="A1DAAC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FDC1664"/>
    <w:multiLevelType w:val="multilevel"/>
    <w:tmpl w:val="743210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0251BA2"/>
    <w:multiLevelType w:val="multilevel"/>
    <w:tmpl w:val="974EF2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1D42CA6"/>
    <w:multiLevelType w:val="multilevel"/>
    <w:tmpl w:val="276E0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2074AB3"/>
    <w:multiLevelType w:val="multilevel"/>
    <w:tmpl w:val="CFFC91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2AB66C8"/>
    <w:multiLevelType w:val="multilevel"/>
    <w:tmpl w:val="C87832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69A40B2"/>
    <w:multiLevelType w:val="multilevel"/>
    <w:tmpl w:val="7F1A97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92D1707"/>
    <w:multiLevelType w:val="multilevel"/>
    <w:tmpl w:val="24D6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2374AF"/>
    <w:multiLevelType w:val="multilevel"/>
    <w:tmpl w:val="62ACED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B276A47"/>
    <w:multiLevelType w:val="multilevel"/>
    <w:tmpl w:val="DCC4D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BF00CA"/>
    <w:multiLevelType w:val="multilevel"/>
    <w:tmpl w:val="C87CE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FC1089"/>
    <w:multiLevelType w:val="multilevel"/>
    <w:tmpl w:val="16BA49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4493343"/>
    <w:multiLevelType w:val="multilevel"/>
    <w:tmpl w:val="88FE1A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6F25170"/>
    <w:multiLevelType w:val="multilevel"/>
    <w:tmpl w:val="D4DA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5E7BCE"/>
    <w:multiLevelType w:val="multilevel"/>
    <w:tmpl w:val="B5A2B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D237D2"/>
    <w:multiLevelType w:val="multilevel"/>
    <w:tmpl w:val="4258AF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9CA5950"/>
    <w:multiLevelType w:val="multilevel"/>
    <w:tmpl w:val="31A291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D8F0B14"/>
    <w:multiLevelType w:val="multilevel"/>
    <w:tmpl w:val="76F2C5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3B3636"/>
    <w:multiLevelType w:val="multilevel"/>
    <w:tmpl w:val="EFB23E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62015B5"/>
    <w:multiLevelType w:val="multilevel"/>
    <w:tmpl w:val="EA5082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6D96379"/>
    <w:multiLevelType w:val="multilevel"/>
    <w:tmpl w:val="A90249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8D3373F"/>
    <w:multiLevelType w:val="multilevel"/>
    <w:tmpl w:val="761C7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3D5DB8"/>
    <w:multiLevelType w:val="multilevel"/>
    <w:tmpl w:val="69649C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D006B04"/>
    <w:multiLevelType w:val="multilevel"/>
    <w:tmpl w:val="A08A6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D4E1108"/>
    <w:multiLevelType w:val="multilevel"/>
    <w:tmpl w:val="1E2866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F6423BB"/>
    <w:multiLevelType w:val="multilevel"/>
    <w:tmpl w:val="E1F299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3955E96"/>
    <w:multiLevelType w:val="multilevel"/>
    <w:tmpl w:val="D5F267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5A03F56"/>
    <w:multiLevelType w:val="multilevel"/>
    <w:tmpl w:val="2D5C8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9D8170E"/>
    <w:multiLevelType w:val="multilevel"/>
    <w:tmpl w:val="2EC0D9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B705483"/>
    <w:multiLevelType w:val="multilevel"/>
    <w:tmpl w:val="E6C21F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E985AEB"/>
    <w:multiLevelType w:val="multilevel"/>
    <w:tmpl w:val="5568E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12E1D5E"/>
    <w:multiLevelType w:val="multilevel"/>
    <w:tmpl w:val="CD7CC4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19C78EF"/>
    <w:multiLevelType w:val="multilevel"/>
    <w:tmpl w:val="83142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2AF2A4A"/>
    <w:multiLevelType w:val="multilevel"/>
    <w:tmpl w:val="04B86B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2E659F7"/>
    <w:multiLevelType w:val="multilevel"/>
    <w:tmpl w:val="442823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645E25BC"/>
    <w:multiLevelType w:val="multilevel"/>
    <w:tmpl w:val="CDD2A070"/>
    <w:lvl w:ilvl="0">
      <w:start w:val="1"/>
      <w:numFmt w:val="bullet"/>
      <w:lvlText w:val=""/>
      <w:lvlJc w:val="left"/>
      <w:pPr>
        <w:tabs>
          <w:tab w:val="num" w:pos="1068"/>
        </w:tabs>
        <w:ind w:left="1068" w:hanging="360"/>
      </w:pPr>
      <w:rPr>
        <w:rFonts w:hint="default" w:ascii="Symbol" w:hAnsi="Symbol"/>
        <w:sz w:val="20"/>
      </w:rPr>
    </w:lvl>
    <w:lvl w:ilvl="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49" w15:restartNumberingAfterBreak="0">
    <w:nsid w:val="6AE77D01"/>
    <w:multiLevelType w:val="multilevel"/>
    <w:tmpl w:val="024ED5A8"/>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AC4C68"/>
    <w:multiLevelType w:val="multilevel"/>
    <w:tmpl w:val="0D8AD3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242283B"/>
    <w:multiLevelType w:val="multilevel"/>
    <w:tmpl w:val="180CC1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37D6485"/>
    <w:multiLevelType w:val="multilevel"/>
    <w:tmpl w:val="2F74F0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5340FC6"/>
    <w:multiLevelType w:val="multilevel"/>
    <w:tmpl w:val="B20C2A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64929D2"/>
    <w:multiLevelType w:val="multilevel"/>
    <w:tmpl w:val="51827F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7853577B"/>
    <w:multiLevelType w:val="multilevel"/>
    <w:tmpl w:val="BD8064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7A6B2F58"/>
    <w:multiLevelType w:val="multilevel"/>
    <w:tmpl w:val="EFF654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7C6B6F09"/>
    <w:multiLevelType w:val="multilevel"/>
    <w:tmpl w:val="F09C13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7EB4037D"/>
    <w:multiLevelType w:val="multilevel"/>
    <w:tmpl w:val="251E6D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1" w16cid:durableId="18504102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49876075">
    <w:abstractNumId w:val="5"/>
  </w:num>
  <w:num w:numId="3" w16cid:durableId="1082339955">
    <w:abstractNumId w:val="3"/>
  </w:num>
  <w:num w:numId="4" w16cid:durableId="1817454696">
    <w:abstractNumId w:val="2"/>
  </w:num>
  <w:num w:numId="5" w16cid:durableId="477575093">
    <w:abstractNumId w:val="4"/>
  </w:num>
  <w:num w:numId="6" w16cid:durableId="1530070626">
    <w:abstractNumId w:val="1"/>
  </w:num>
  <w:num w:numId="7" w16cid:durableId="389499364">
    <w:abstractNumId w:val="0"/>
  </w:num>
  <w:num w:numId="8" w16cid:durableId="849103223">
    <w:abstractNumId w:val="50"/>
  </w:num>
  <w:num w:numId="9" w16cid:durableId="1380743827">
    <w:abstractNumId w:val="29"/>
  </w:num>
  <w:num w:numId="10" w16cid:durableId="1255435675">
    <w:abstractNumId w:val="27"/>
  </w:num>
  <w:num w:numId="11" w16cid:durableId="1645695113">
    <w:abstractNumId w:val="47"/>
  </w:num>
  <w:num w:numId="12" w16cid:durableId="836846550">
    <w:abstractNumId w:val="9"/>
  </w:num>
  <w:num w:numId="13" w16cid:durableId="1382367200">
    <w:abstractNumId w:val="56"/>
  </w:num>
  <w:num w:numId="14" w16cid:durableId="1009066426">
    <w:abstractNumId w:val="32"/>
  </w:num>
  <w:num w:numId="15" w16cid:durableId="1417551884">
    <w:abstractNumId w:val="16"/>
  </w:num>
  <w:num w:numId="16" w16cid:durableId="2129933397">
    <w:abstractNumId w:val="19"/>
  </w:num>
  <w:num w:numId="17" w16cid:durableId="1678573788">
    <w:abstractNumId w:val="40"/>
  </w:num>
  <w:num w:numId="18" w16cid:durableId="772945682">
    <w:abstractNumId w:val="30"/>
  </w:num>
  <w:num w:numId="19" w16cid:durableId="1841389257">
    <w:abstractNumId w:val="49"/>
  </w:num>
  <w:num w:numId="20" w16cid:durableId="1034959803">
    <w:abstractNumId w:val="53"/>
  </w:num>
  <w:num w:numId="21" w16cid:durableId="1412193206">
    <w:abstractNumId w:val="57"/>
  </w:num>
  <w:num w:numId="22" w16cid:durableId="687371462">
    <w:abstractNumId w:val="17"/>
  </w:num>
  <w:num w:numId="23" w16cid:durableId="88696114">
    <w:abstractNumId w:val="15"/>
  </w:num>
  <w:num w:numId="24" w16cid:durableId="1382753227">
    <w:abstractNumId w:val="11"/>
  </w:num>
  <w:num w:numId="25" w16cid:durableId="1142846041">
    <w:abstractNumId w:val="42"/>
  </w:num>
  <w:num w:numId="26" w16cid:durableId="1622035976">
    <w:abstractNumId w:val="22"/>
  </w:num>
  <w:num w:numId="27" w16cid:durableId="1595817880">
    <w:abstractNumId w:val="37"/>
  </w:num>
  <w:num w:numId="28" w16cid:durableId="106513605">
    <w:abstractNumId w:val="20"/>
  </w:num>
  <w:num w:numId="29" w16cid:durableId="1344085698">
    <w:abstractNumId w:val="46"/>
  </w:num>
  <w:num w:numId="30" w16cid:durableId="922448452">
    <w:abstractNumId w:val="23"/>
  </w:num>
  <w:num w:numId="31" w16cid:durableId="324164441">
    <w:abstractNumId w:val="28"/>
  </w:num>
  <w:num w:numId="32" w16cid:durableId="162473621">
    <w:abstractNumId w:val="26"/>
  </w:num>
  <w:num w:numId="33" w16cid:durableId="918292412">
    <w:abstractNumId w:val="48"/>
  </w:num>
  <w:num w:numId="34" w16cid:durableId="1241216106">
    <w:abstractNumId w:val="44"/>
  </w:num>
  <w:num w:numId="35" w16cid:durableId="25299781">
    <w:abstractNumId w:val="8"/>
  </w:num>
  <w:num w:numId="36" w16cid:durableId="2057965948">
    <w:abstractNumId w:val="45"/>
  </w:num>
  <w:num w:numId="37" w16cid:durableId="885992023">
    <w:abstractNumId w:val="7"/>
  </w:num>
  <w:num w:numId="38" w16cid:durableId="391580689">
    <w:abstractNumId w:val="10"/>
  </w:num>
  <w:num w:numId="39" w16cid:durableId="595479738">
    <w:abstractNumId w:val="25"/>
  </w:num>
  <w:num w:numId="40" w16cid:durableId="296838094">
    <w:abstractNumId w:val="34"/>
  </w:num>
  <w:num w:numId="41" w16cid:durableId="206797836">
    <w:abstractNumId w:val="14"/>
  </w:num>
  <w:num w:numId="42" w16cid:durableId="443765521">
    <w:abstractNumId w:val="36"/>
  </w:num>
  <w:num w:numId="43" w16cid:durableId="371076179">
    <w:abstractNumId w:val="52"/>
  </w:num>
  <w:num w:numId="44" w16cid:durableId="725419286">
    <w:abstractNumId w:val="31"/>
  </w:num>
  <w:num w:numId="45" w16cid:durableId="19935826">
    <w:abstractNumId w:val="35"/>
  </w:num>
  <w:num w:numId="46" w16cid:durableId="10377108">
    <w:abstractNumId w:val="38"/>
  </w:num>
  <w:num w:numId="47" w16cid:durableId="1755512918">
    <w:abstractNumId w:val="51"/>
  </w:num>
  <w:num w:numId="48" w16cid:durableId="13726694">
    <w:abstractNumId w:val="18"/>
  </w:num>
  <w:num w:numId="49" w16cid:durableId="1547982232">
    <w:abstractNumId w:val="54"/>
  </w:num>
  <w:num w:numId="50" w16cid:durableId="1396582952">
    <w:abstractNumId w:val="43"/>
  </w:num>
  <w:num w:numId="51" w16cid:durableId="1551917320">
    <w:abstractNumId w:val="58"/>
  </w:num>
  <w:num w:numId="52" w16cid:durableId="1015689530">
    <w:abstractNumId w:val="39"/>
  </w:num>
  <w:num w:numId="53" w16cid:durableId="261113050">
    <w:abstractNumId w:val="33"/>
  </w:num>
  <w:num w:numId="54" w16cid:durableId="270356982">
    <w:abstractNumId w:val="24"/>
  </w:num>
  <w:num w:numId="55" w16cid:durableId="719867218">
    <w:abstractNumId w:val="13"/>
  </w:num>
  <w:num w:numId="56" w16cid:durableId="801078504">
    <w:abstractNumId w:val="55"/>
  </w:num>
  <w:num w:numId="57" w16cid:durableId="1569343520">
    <w:abstractNumId w:val="12"/>
  </w:num>
  <w:num w:numId="58" w16cid:durableId="1654524904">
    <w:abstractNumId w:val="41"/>
  </w:num>
  <w:num w:numId="59" w16cid:durableId="1888957278">
    <w:abstractNumId w:val="21"/>
  </w:num>
  <w:numIdMacAtCleanup w:val="4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D0"/>
    <w:rsid w:val="000000D4"/>
    <w:rsid w:val="0000015D"/>
    <w:rsid w:val="00000208"/>
    <w:rsid w:val="00000329"/>
    <w:rsid w:val="000005F9"/>
    <w:rsid w:val="0000069F"/>
    <w:rsid w:val="00000754"/>
    <w:rsid w:val="000007DE"/>
    <w:rsid w:val="00000A81"/>
    <w:rsid w:val="00000CDE"/>
    <w:rsid w:val="00000D6A"/>
    <w:rsid w:val="00000D7E"/>
    <w:rsid w:val="00001221"/>
    <w:rsid w:val="00001B11"/>
    <w:rsid w:val="00001B8C"/>
    <w:rsid w:val="00001DB1"/>
    <w:rsid w:val="00001F16"/>
    <w:rsid w:val="00001F6E"/>
    <w:rsid w:val="000020EC"/>
    <w:rsid w:val="000020FE"/>
    <w:rsid w:val="00002239"/>
    <w:rsid w:val="000023E4"/>
    <w:rsid w:val="0000242C"/>
    <w:rsid w:val="00002564"/>
    <w:rsid w:val="00002603"/>
    <w:rsid w:val="0000275E"/>
    <w:rsid w:val="00002862"/>
    <w:rsid w:val="00002BAD"/>
    <w:rsid w:val="00002BE6"/>
    <w:rsid w:val="00002DA6"/>
    <w:rsid w:val="00002DC2"/>
    <w:rsid w:val="00002ED7"/>
    <w:rsid w:val="000031F2"/>
    <w:rsid w:val="00003236"/>
    <w:rsid w:val="000035BF"/>
    <w:rsid w:val="000035FC"/>
    <w:rsid w:val="00003675"/>
    <w:rsid w:val="00003736"/>
    <w:rsid w:val="0000377D"/>
    <w:rsid w:val="000037B0"/>
    <w:rsid w:val="00003C1B"/>
    <w:rsid w:val="00004060"/>
    <w:rsid w:val="0000423F"/>
    <w:rsid w:val="00004244"/>
    <w:rsid w:val="0000460C"/>
    <w:rsid w:val="00004C59"/>
    <w:rsid w:val="00004C88"/>
    <w:rsid w:val="00004CED"/>
    <w:rsid w:val="00004DD6"/>
    <w:rsid w:val="00004EBB"/>
    <w:rsid w:val="0000526E"/>
    <w:rsid w:val="000052CF"/>
    <w:rsid w:val="0000598E"/>
    <w:rsid w:val="00005D96"/>
    <w:rsid w:val="00005FF5"/>
    <w:rsid w:val="000061BE"/>
    <w:rsid w:val="000064EF"/>
    <w:rsid w:val="0000658A"/>
    <w:rsid w:val="000067F9"/>
    <w:rsid w:val="000068B7"/>
    <w:rsid w:val="00006A43"/>
    <w:rsid w:val="00006B60"/>
    <w:rsid w:val="00006DE4"/>
    <w:rsid w:val="000070B4"/>
    <w:rsid w:val="000072FF"/>
    <w:rsid w:val="00007695"/>
    <w:rsid w:val="000079E6"/>
    <w:rsid w:val="000079FF"/>
    <w:rsid w:val="00007B4F"/>
    <w:rsid w:val="00007B55"/>
    <w:rsid w:val="00007B69"/>
    <w:rsid w:val="00007C86"/>
    <w:rsid w:val="00007CCC"/>
    <w:rsid w:val="00007DF3"/>
    <w:rsid w:val="00007EF9"/>
    <w:rsid w:val="00007F7C"/>
    <w:rsid w:val="000102E3"/>
    <w:rsid w:val="0001074E"/>
    <w:rsid w:val="000108E8"/>
    <w:rsid w:val="00010B92"/>
    <w:rsid w:val="00010C4E"/>
    <w:rsid w:val="00010FCE"/>
    <w:rsid w:val="00010FF5"/>
    <w:rsid w:val="00011079"/>
    <w:rsid w:val="00011096"/>
    <w:rsid w:val="0001115A"/>
    <w:rsid w:val="000111AB"/>
    <w:rsid w:val="000111FB"/>
    <w:rsid w:val="000112F7"/>
    <w:rsid w:val="0001149B"/>
    <w:rsid w:val="000115E3"/>
    <w:rsid w:val="00011B52"/>
    <w:rsid w:val="00011CEC"/>
    <w:rsid w:val="00011E98"/>
    <w:rsid w:val="0001218F"/>
    <w:rsid w:val="0001267B"/>
    <w:rsid w:val="00012968"/>
    <w:rsid w:val="00012B5C"/>
    <w:rsid w:val="00012CBF"/>
    <w:rsid w:val="00012DEE"/>
    <w:rsid w:val="00012FAB"/>
    <w:rsid w:val="000135FC"/>
    <w:rsid w:val="000136CF"/>
    <w:rsid w:val="000138FC"/>
    <w:rsid w:val="00013A7C"/>
    <w:rsid w:val="00013A8C"/>
    <w:rsid w:val="00013B12"/>
    <w:rsid w:val="00013D67"/>
    <w:rsid w:val="00013F35"/>
    <w:rsid w:val="00014139"/>
    <w:rsid w:val="00014332"/>
    <w:rsid w:val="00014347"/>
    <w:rsid w:val="0001477E"/>
    <w:rsid w:val="00014832"/>
    <w:rsid w:val="0001489D"/>
    <w:rsid w:val="00014FFE"/>
    <w:rsid w:val="00015071"/>
    <w:rsid w:val="000150E9"/>
    <w:rsid w:val="0001515D"/>
    <w:rsid w:val="00015776"/>
    <w:rsid w:val="00015889"/>
    <w:rsid w:val="00015D72"/>
    <w:rsid w:val="00015DED"/>
    <w:rsid w:val="00015F56"/>
    <w:rsid w:val="000160F0"/>
    <w:rsid w:val="0001612B"/>
    <w:rsid w:val="00016193"/>
    <w:rsid w:val="00016232"/>
    <w:rsid w:val="0001641C"/>
    <w:rsid w:val="00016430"/>
    <w:rsid w:val="000164DD"/>
    <w:rsid w:val="000164E3"/>
    <w:rsid w:val="0001661F"/>
    <w:rsid w:val="000166AA"/>
    <w:rsid w:val="00016878"/>
    <w:rsid w:val="00016C42"/>
    <w:rsid w:val="00016C83"/>
    <w:rsid w:val="00016C95"/>
    <w:rsid w:val="00016CAD"/>
    <w:rsid w:val="00016CF4"/>
    <w:rsid w:val="00016D7D"/>
    <w:rsid w:val="000171FE"/>
    <w:rsid w:val="0001753F"/>
    <w:rsid w:val="0001756A"/>
    <w:rsid w:val="00017B14"/>
    <w:rsid w:val="00017CFF"/>
    <w:rsid w:val="00017D5F"/>
    <w:rsid w:val="00020265"/>
    <w:rsid w:val="000203DF"/>
    <w:rsid w:val="000205E2"/>
    <w:rsid w:val="000207FF"/>
    <w:rsid w:val="00020A5B"/>
    <w:rsid w:val="000210F0"/>
    <w:rsid w:val="0002132B"/>
    <w:rsid w:val="000213D6"/>
    <w:rsid w:val="000215D4"/>
    <w:rsid w:val="0002172A"/>
    <w:rsid w:val="0002184F"/>
    <w:rsid w:val="000219B7"/>
    <w:rsid w:val="000219C3"/>
    <w:rsid w:val="000219CA"/>
    <w:rsid w:val="00021B78"/>
    <w:rsid w:val="00021D1F"/>
    <w:rsid w:val="00021E61"/>
    <w:rsid w:val="00022012"/>
    <w:rsid w:val="00022127"/>
    <w:rsid w:val="0002234B"/>
    <w:rsid w:val="00022365"/>
    <w:rsid w:val="000227B7"/>
    <w:rsid w:val="00022C87"/>
    <w:rsid w:val="00022D6C"/>
    <w:rsid w:val="00022F01"/>
    <w:rsid w:val="00022F06"/>
    <w:rsid w:val="00022F5F"/>
    <w:rsid w:val="00022FB9"/>
    <w:rsid w:val="0002319F"/>
    <w:rsid w:val="0002320A"/>
    <w:rsid w:val="00023409"/>
    <w:rsid w:val="00023680"/>
    <w:rsid w:val="00023924"/>
    <w:rsid w:val="0002393D"/>
    <w:rsid w:val="00023DD9"/>
    <w:rsid w:val="00023FCA"/>
    <w:rsid w:val="0002404D"/>
    <w:rsid w:val="0002405B"/>
    <w:rsid w:val="00024300"/>
    <w:rsid w:val="0002433E"/>
    <w:rsid w:val="000243AC"/>
    <w:rsid w:val="000243E1"/>
    <w:rsid w:val="0002451A"/>
    <w:rsid w:val="0002452B"/>
    <w:rsid w:val="000245C2"/>
    <w:rsid w:val="0002468B"/>
    <w:rsid w:val="00024916"/>
    <w:rsid w:val="0002498D"/>
    <w:rsid w:val="00024AC6"/>
    <w:rsid w:val="00024C35"/>
    <w:rsid w:val="00024C94"/>
    <w:rsid w:val="00025218"/>
    <w:rsid w:val="0002524B"/>
    <w:rsid w:val="000255C9"/>
    <w:rsid w:val="000256D5"/>
    <w:rsid w:val="0002583C"/>
    <w:rsid w:val="00025949"/>
    <w:rsid w:val="00025BC4"/>
    <w:rsid w:val="00025E84"/>
    <w:rsid w:val="00025F69"/>
    <w:rsid w:val="00025F92"/>
    <w:rsid w:val="0002625B"/>
    <w:rsid w:val="000263E9"/>
    <w:rsid w:val="00026413"/>
    <w:rsid w:val="000264A5"/>
    <w:rsid w:val="000264E0"/>
    <w:rsid w:val="00026735"/>
    <w:rsid w:val="00026792"/>
    <w:rsid w:val="00026852"/>
    <w:rsid w:val="00026CE8"/>
    <w:rsid w:val="00026DE2"/>
    <w:rsid w:val="00026F01"/>
    <w:rsid w:val="00026F29"/>
    <w:rsid w:val="000273D1"/>
    <w:rsid w:val="00027586"/>
    <w:rsid w:val="00027789"/>
    <w:rsid w:val="0002798E"/>
    <w:rsid w:val="00027A0D"/>
    <w:rsid w:val="000304F4"/>
    <w:rsid w:val="00030500"/>
    <w:rsid w:val="0003070D"/>
    <w:rsid w:val="00030854"/>
    <w:rsid w:val="0003088E"/>
    <w:rsid w:val="000309C5"/>
    <w:rsid w:val="00031171"/>
    <w:rsid w:val="000313CE"/>
    <w:rsid w:val="0003173F"/>
    <w:rsid w:val="00031F19"/>
    <w:rsid w:val="00031FF1"/>
    <w:rsid w:val="00032048"/>
    <w:rsid w:val="000321A7"/>
    <w:rsid w:val="000321D4"/>
    <w:rsid w:val="000322F5"/>
    <w:rsid w:val="000323B0"/>
    <w:rsid w:val="0003268C"/>
    <w:rsid w:val="000327D7"/>
    <w:rsid w:val="000328A4"/>
    <w:rsid w:val="00032971"/>
    <w:rsid w:val="00032B34"/>
    <w:rsid w:val="00032EAD"/>
    <w:rsid w:val="000331E6"/>
    <w:rsid w:val="00033278"/>
    <w:rsid w:val="00033527"/>
    <w:rsid w:val="000336CD"/>
    <w:rsid w:val="000337B7"/>
    <w:rsid w:val="000337BE"/>
    <w:rsid w:val="000337E9"/>
    <w:rsid w:val="00033AE0"/>
    <w:rsid w:val="00033B34"/>
    <w:rsid w:val="00033CC3"/>
    <w:rsid w:val="00033F2A"/>
    <w:rsid w:val="00033F7B"/>
    <w:rsid w:val="00034086"/>
    <w:rsid w:val="0003411A"/>
    <w:rsid w:val="00034321"/>
    <w:rsid w:val="00034422"/>
    <w:rsid w:val="000344DF"/>
    <w:rsid w:val="0003470B"/>
    <w:rsid w:val="00034A6E"/>
    <w:rsid w:val="00034BC2"/>
    <w:rsid w:val="00034E04"/>
    <w:rsid w:val="00034E5E"/>
    <w:rsid w:val="00035154"/>
    <w:rsid w:val="0003520B"/>
    <w:rsid w:val="0003529F"/>
    <w:rsid w:val="00035499"/>
    <w:rsid w:val="00035532"/>
    <w:rsid w:val="000356C6"/>
    <w:rsid w:val="000356E9"/>
    <w:rsid w:val="00035875"/>
    <w:rsid w:val="00035993"/>
    <w:rsid w:val="00035C31"/>
    <w:rsid w:val="00035E33"/>
    <w:rsid w:val="00035EBC"/>
    <w:rsid w:val="00035FC6"/>
    <w:rsid w:val="00035FCF"/>
    <w:rsid w:val="000361E3"/>
    <w:rsid w:val="0003623F"/>
    <w:rsid w:val="00036245"/>
    <w:rsid w:val="000362AA"/>
    <w:rsid w:val="000367A5"/>
    <w:rsid w:val="000367C5"/>
    <w:rsid w:val="000368EF"/>
    <w:rsid w:val="00036917"/>
    <w:rsid w:val="00036B69"/>
    <w:rsid w:val="00036BD3"/>
    <w:rsid w:val="00036C24"/>
    <w:rsid w:val="00036D03"/>
    <w:rsid w:val="00036D91"/>
    <w:rsid w:val="00036EC9"/>
    <w:rsid w:val="00037010"/>
    <w:rsid w:val="0003704F"/>
    <w:rsid w:val="00037184"/>
    <w:rsid w:val="0003728F"/>
    <w:rsid w:val="00037329"/>
    <w:rsid w:val="000378A7"/>
    <w:rsid w:val="00037961"/>
    <w:rsid w:val="00037EEB"/>
    <w:rsid w:val="00037F28"/>
    <w:rsid w:val="000400DC"/>
    <w:rsid w:val="00040311"/>
    <w:rsid w:val="0004039F"/>
    <w:rsid w:val="00040993"/>
    <w:rsid w:val="000409B3"/>
    <w:rsid w:val="00040A9D"/>
    <w:rsid w:val="00040B13"/>
    <w:rsid w:val="00040C03"/>
    <w:rsid w:val="00040ECE"/>
    <w:rsid w:val="0004118A"/>
    <w:rsid w:val="00041835"/>
    <w:rsid w:val="000418DA"/>
    <w:rsid w:val="00041929"/>
    <w:rsid w:val="00041CBA"/>
    <w:rsid w:val="00042659"/>
    <w:rsid w:val="000427DF"/>
    <w:rsid w:val="0004284C"/>
    <w:rsid w:val="0004287B"/>
    <w:rsid w:val="000429A6"/>
    <w:rsid w:val="00042D75"/>
    <w:rsid w:val="00042DCC"/>
    <w:rsid w:val="00042FA1"/>
    <w:rsid w:val="000431EB"/>
    <w:rsid w:val="000433CC"/>
    <w:rsid w:val="0004340D"/>
    <w:rsid w:val="0004363A"/>
    <w:rsid w:val="00043862"/>
    <w:rsid w:val="00043906"/>
    <w:rsid w:val="00043A09"/>
    <w:rsid w:val="00043C55"/>
    <w:rsid w:val="00043C9F"/>
    <w:rsid w:val="0004429E"/>
    <w:rsid w:val="00044387"/>
    <w:rsid w:val="000445F4"/>
    <w:rsid w:val="000446B8"/>
    <w:rsid w:val="000447AE"/>
    <w:rsid w:val="00044838"/>
    <w:rsid w:val="0004497F"/>
    <w:rsid w:val="00044BEB"/>
    <w:rsid w:val="00044CF2"/>
    <w:rsid w:val="00044E39"/>
    <w:rsid w:val="00044EC4"/>
    <w:rsid w:val="00044F09"/>
    <w:rsid w:val="0004507E"/>
    <w:rsid w:val="00045100"/>
    <w:rsid w:val="000451CE"/>
    <w:rsid w:val="00045323"/>
    <w:rsid w:val="000453E8"/>
    <w:rsid w:val="0004559D"/>
    <w:rsid w:val="0004566E"/>
    <w:rsid w:val="00045DF6"/>
    <w:rsid w:val="00045EC0"/>
    <w:rsid w:val="00046088"/>
    <w:rsid w:val="000460DC"/>
    <w:rsid w:val="00046513"/>
    <w:rsid w:val="000466D7"/>
    <w:rsid w:val="0004680C"/>
    <w:rsid w:val="000469C7"/>
    <w:rsid w:val="000469FC"/>
    <w:rsid w:val="00046D40"/>
    <w:rsid w:val="00046DE5"/>
    <w:rsid w:val="00046ECE"/>
    <w:rsid w:val="00046FC7"/>
    <w:rsid w:val="00047053"/>
    <w:rsid w:val="000470AA"/>
    <w:rsid w:val="000473C9"/>
    <w:rsid w:val="0004755F"/>
    <w:rsid w:val="0004759D"/>
    <w:rsid w:val="0004769B"/>
    <w:rsid w:val="000477A0"/>
    <w:rsid w:val="0004787B"/>
    <w:rsid w:val="00047882"/>
    <w:rsid w:val="00047BF3"/>
    <w:rsid w:val="00047D35"/>
    <w:rsid w:val="00047FD7"/>
    <w:rsid w:val="00050184"/>
    <w:rsid w:val="00050266"/>
    <w:rsid w:val="000503E6"/>
    <w:rsid w:val="0005049F"/>
    <w:rsid w:val="000505BB"/>
    <w:rsid w:val="00050B33"/>
    <w:rsid w:val="00050DE9"/>
    <w:rsid w:val="00050DFB"/>
    <w:rsid w:val="00050EBA"/>
    <w:rsid w:val="00050F2F"/>
    <w:rsid w:val="00051390"/>
    <w:rsid w:val="00051400"/>
    <w:rsid w:val="0005142C"/>
    <w:rsid w:val="00051613"/>
    <w:rsid w:val="0005163D"/>
    <w:rsid w:val="00051853"/>
    <w:rsid w:val="00051C55"/>
    <w:rsid w:val="00051C8B"/>
    <w:rsid w:val="00051EB8"/>
    <w:rsid w:val="00051F7A"/>
    <w:rsid w:val="00052072"/>
    <w:rsid w:val="0005222A"/>
    <w:rsid w:val="00052321"/>
    <w:rsid w:val="0005249B"/>
    <w:rsid w:val="000525B9"/>
    <w:rsid w:val="000527E9"/>
    <w:rsid w:val="00052883"/>
    <w:rsid w:val="000529CD"/>
    <w:rsid w:val="00052D46"/>
    <w:rsid w:val="00052E95"/>
    <w:rsid w:val="00053211"/>
    <w:rsid w:val="00053279"/>
    <w:rsid w:val="0005343A"/>
    <w:rsid w:val="00053715"/>
    <w:rsid w:val="0005372E"/>
    <w:rsid w:val="00053A50"/>
    <w:rsid w:val="0005404A"/>
    <w:rsid w:val="000540C6"/>
    <w:rsid w:val="000542C6"/>
    <w:rsid w:val="00054342"/>
    <w:rsid w:val="000543FE"/>
    <w:rsid w:val="000545C8"/>
    <w:rsid w:val="000545D3"/>
    <w:rsid w:val="000546D8"/>
    <w:rsid w:val="000547D8"/>
    <w:rsid w:val="00054833"/>
    <w:rsid w:val="00054A1C"/>
    <w:rsid w:val="00054A7B"/>
    <w:rsid w:val="00054D44"/>
    <w:rsid w:val="00054D9A"/>
    <w:rsid w:val="00054EBA"/>
    <w:rsid w:val="00054F2A"/>
    <w:rsid w:val="00055AAD"/>
    <w:rsid w:val="00055BE5"/>
    <w:rsid w:val="00055D40"/>
    <w:rsid w:val="00055EE8"/>
    <w:rsid w:val="000560E6"/>
    <w:rsid w:val="000561FB"/>
    <w:rsid w:val="000564D7"/>
    <w:rsid w:val="00056A09"/>
    <w:rsid w:val="00056A12"/>
    <w:rsid w:val="00056AC1"/>
    <w:rsid w:val="00056E2E"/>
    <w:rsid w:val="00056EF0"/>
    <w:rsid w:val="00056F25"/>
    <w:rsid w:val="00056FEB"/>
    <w:rsid w:val="00056FF7"/>
    <w:rsid w:val="00057382"/>
    <w:rsid w:val="00057710"/>
    <w:rsid w:val="0005783B"/>
    <w:rsid w:val="00057ABE"/>
    <w:rsid w:val="00057E28"/>
    <w:rsid w:val="00057EF0"/>
    <w:rsid w:val="000600EB"/>
    <w:rsid w:val="000601FE"/>
    <w:rsid w:val="000604FB"/>
    <w:rsid w:val="00060805"/>
    <w:rsid w:val="0006089B"/>
    <w:rsid w:val="000608E2"/>
    <w:rsid w:val="00060940"/>
    <w:rsid w:val="00061116"/>
    <w:rsid w:val="00061573"/>
    <w:rsid w:val="000616EA"/>
    <w:rsid w:val="00061714"/>
    <w:rsid w:val="00061743"/>
    <w:rsid w:val="00061809"/>
    <w:rsid w:val="000618DE"/>
    <w:rsid w:val="00061B70"/>
    <w:rsid w:val="00061C3A"/>
    <w:rsid w:val="00061D03"/>
    <w:rsid w:val="00061DD3"/>
    <w:rsid w:val="00061DF4"/>
    <w:rsid w:val="00061E50"/>
    <w:rsid w:val="00062077"/>
    <w:rsid w:val="0006209C"/>
    <w:rsid w:val="000620AB"/>
    <w:rsid w:val="0006215B"/>
    <w:rsid w:val="0006249D"/>
    <w:rsid w:val="00062775"/>
    <w:rsid w:val="000627F6"/>
    <w:rsid w:val="0006286A"/>
    <w:rsid w:val="0006289E"/>
    <w:rsid w:val="00062908"/>
    <w:rsid w:val="00062C9B"/>
    <w:rsid w:val="00062CBD"/>
    <w:rsid w:val="00062F0F"/>
    <w:rsid w:val="000634C3"/>
    <w:rsid w:val="00063738"/>
    <w:rsid w:val="0006388C"/>
    <w:rsid w:val="00063991"/>
    <w:rsid w:val="00063C6C"/>
    <w:rsid w:val="00063DE3"/>
    <w:rsid w:val="00063EBA"/>
    <w:rsid w:val="000642F8"/>
    <w:rsid w:val="00064363"/>
    <w:rsid w:val="000644E5"/>
    <w:rsid w:val="000644F6"/>
    <w:rsid w:val="000645B8"/>
    <w:rsid w:val="000646A9"/>
    <w:rsid w:val="00064727"/>
    <w:rsid w:val="0006483C"/>
    <w:rsid w:val="0006487B"/>
    <w:rsid w:val="00064CE4"/>
    <w:rsid w:val="000651EF"/>
    <w:rsid w:val="00065339"/>
    <w:rsid w:val="000654D8"/>
    <w:rsid w:val="000654E3"/>
    <w:rsid w:val="000656C5"/>
    <w:rsid w:val="00065A6C"/>
    <w:rsid w:val="00065CBA"/>
    <w:rsid w:val="00065FBA"/>
    <w:rsid w:val="00066034"/>
    <w:rsid w:val="00066041"/>
    <w:rsid w:val="00066246"/>
    <w:rsid w:val="000663DB"/>
    <w:rsid w:val="000663DD"/>
    <w:rsid w:val="00066719"/>
    <w:rsid w:val="00066866"/>
    <w:rsid w:val="00066881"/>
    <w:rsid w:val="00066914"/>
    <w:rsid w:val="00066A3B"/>
    <w:rsid w:val="00066A72"/>
    <w:rsid w:val="00066B0A"/>
    <w:rsid w:val="00066B11"/>
    <w:rsid w:val="00066C2B"/>
    <w:rsid w:val="00066C45"/>
    <w:rsid w:val="00066C78"/>
    <w:rsid w:val="00066D03"/>
    <w:rsid w:val="00067057"/>
    <w:rsid w:val="000671DA"/>
    <w:rsid w:val="000671E0"/>
    <w:rsid w:val="000671F7"/>
    <w:rsid w:val="000672B2"/>
    <w:rsid w:val="00067469"/>
    <w:rsid w:val="000674AB"/>
    <w:rsid w:val="00067653"/>
    <w:rsid w:val="000677E5"/>
    <w:rsid w:val="00067860"/>
    <w:rsid w:val="00067A30"/>
    <w:rsid w:val="00067A61"/>
    <w:rsid w:val="00067E9C"/>
    <w:rsid w:val="00067F4E"/>
    <w:rsid w:val="00067F7C"/>
    <w:rsid w:val="00067FBD"/>
    <w:rsid w:val="00070014"/>
    <w:rsid w:val="0007003B"/>
    <w:rsid w:val="00070805"/>
    <w:rsid w:val="00070922"/>
    <w:rsid w:val="00070C4B"/>
    <w:rsid w:val="00070FAF"/>
    <w:rsid w:val="00071369"/>
    <w:rsid w:val="000713CD"/>
    <w:rsid w:val="0007160D"/>
    <w:rsid w:val="000719AF"/>
    <w:rsid w:val="000719C3"/>
    <w:rsid w:val="00071CBE"/>
    <w:rsid w:val="00071D47"/>
    <w:rsid w:val="00071D92"/>
    <w:rsid w:val="00071F66"/>
    <w:rsid w:val="00072271"/>
    <w:rsid w:val="00072578"/>
    <w:rsid w:val="000725CC"/>
    <w:rsid w:val="00072797"/>
    <w:rsid w:val="00072A3E"/>
    <w:rsid w:val="00072B6F"/>
    <w:rsid w:val="00072CF2"/>
    <w:rsid w:val="00072D52"/>
    <w:rsid w:val="0007334C"/>
    <w:rsid w:val="00073395"/>
    <w:rsid w:val="000733CF"/>
    <w:rsid w:val="000734AD"/>
    <w:rsid w:val="0007355E"/>
    <w:rsid w:val="00073700"/>
    <w:rsid w:val="000738B9"/>
    <w:rsid w:val="000738D4"/>
    <w:rsid w:val="00073E3D"/>
    <w:rsid w:val="00073E70"/>
    <w:rsid w:val="0007406B"/>
    <w:rsid w:val="000740FA"/>
    <w:rsid w:val="00074247"/>
    <w:rsid w:val="000742E6"/>
    <w:rsid w:val="0007446C"/>
    <w:rsid w:val="000749F1"/>
    <w:rsid w:val="00074E56"/>
    <w:rsid w:val="00075138"/>
    <w:rsid w:val="000751DC"/>
    <w:rsid w:val="000753B6"/>
    <w:rsid w:val="000759B6"/>
    <w:rsid w:val="00076005"/>
    <w:rsid w:val="0007643C"/>
    <w:rsid w:val="0007652C"/>
    <w:rsid w:val="0007653F"/>
    <w:rsid w:val="000766DD"/>
    <w:rsid w:val="00076711"/>
    <w:rsid w:val="00076824"/>
    <w:rsid w:val="000770D9"/>
    <w:rsid w:val="0007750B"/>
    <w:rsid w:val="0007776A"/>
    <w:rsid w:val="00077A95"/>
    <w:rsid w:val="00077B6F"/>
    <w:rsid w:val="00077D5D"/>
    <w:rsid w:val="00077E62"/>
    <w:rsid w:val="00077F37"/>
    <w:rsid w:val="00077FC4"/>
    <w:rsid w:val="000800DA"/>
    <w:rsid w:val="00080541"/>
    <w:rsid w:val="000807E7"/>
    <w:rsid w:val="00080ADC"/>
    <w:rsid w:val="00080AFE"/>
    <w:rsid w:val="00080CA2"/>
    <w:rsid w:val="00080EB8"/>
    <w:rsid w:val="00081033"/>
    <w:rsid w:val="00081275"/>
    <w:rsid w:val="000817FE"/>
    <w:rsid w:val="000818EA"/>
    <w:rsid w:val="00081A3B"/>
    <w:rsid w:val="00081B2D"/>
    <w:rsid w:val="00081C2A"/>
    <w:rsid w:val="00081F69"/>
    <w:rsid w:val="0008216D"/>
    <w:rsid w:val="000821EC"/>
    <w:rsid w:val="00082419"/>
    <w:rsid w:val="0008264F"/>
    <w:rsid w:val="000826F6"/>
    <w:rsid w:val="00082816"/>
    <w:rsid w:val="00083369"/>
    <w:rsid w:val="00083632"/>
    <w:rsid w:val="000836D7"/>
    <w:rsid w:val="000836FA"/>
    <w:rsid w:val="000837CA"/>
    <w:rsid w:val="00083A11"/>
    <w:rsid w:val="00083D11"/>
    <w:rsid w:val="00083D48"/>
    <w:rsid w:val="00084353"/>
    <w:rsid w:val="000843A5"/>
    <w:rsid w:val="00084486"/>
    <w:rsid w:val="00084621"/>
    <w:rsid w:val="0008482C"/>
    <w:rsid w:val="00084BAD"/>
    <w:rsid w:val="00084D6E"/>
    <w:rsid w:val="00084F45"/>
    <w:rsid w:val="00084F52"/>
    <w:rsid w:val="0008519E"/>
    <w:rsid w:val="00085270"/>
    <w:rsid w:val="000852F2"/>
    <w:rsid w:val="0008531E"/>
    <w:rsid w:val="000854D5"/>
    <w:rsid w:val="000855DD"/>
    <w:rsid w:val="00085620"/>
    <w:rsid w:val="000856A4"/>
    <w:rsid w:val="00085C1A"/>
    <w:rsid w:val="00085D3C"/>
    <w:rsid w:val="00086034"/>
    <w:rsid w:val="00086716"/>
    <w:rsid w:val="0008674B"/>
    <w:rsid w:val="000869B9"/>
    <w:rsid w:val="00086BDC"/>
    <w:rsid w:val="00086C7B"/>
    <w:rsid w:val="000872CF"/>
    <w:rsid w:val="00087368"/>
    <w:rsid w:val="0008747C"/>
    <w:rsid w:val="000875E7"/>
    <w:rsid w:val="0008761A"/>
    <w:rsid w:val="0008766F"/>
    <w:rsid w:val="000876B1"/>
    <w:rsid w:val="00087B44"/>
    <w:rsid w:val="00087B9F"/>
    <w:rsid w:val="00087C39"/>
    <w:rsid w:val="00087DAB"/>
    <w:rsid w:val="00087E9B"/>
    <w:rsid w:val="00087F45"/>
    <w:rsid w:val="0009009F"/>
    <w:rsid w:val="0009017D"/>
    <w:rsid w:val="000904F7"/>
    <w:rsid w:val="00090811"/>
    <w:rsid w:val="0009084C"/>
    <w:rsid w:val="00090996"/>
    <w:rsid w:val="00090A88"/>
    <w:rsid w:val="00090E3E"/>
    <w:rsid w:val="00090E70"/>
    <w:rsid w:val="00091058"/>
    <w:rsid w:val="00091121"/>
    <w:rsid w:val="00091760"/>
    <w:rsid w:val="000917CA"/>
    <w:rsid w:val="0009191B"/>
    <w:rsid w:val="0009194A"/>
    <w:rsid w:val="000919A5"/>
    <w:rsid w:val="00091DD6"/>
    <w:rsid w:val="00091EBA"/>
    <w:rsid w:val="0009214C"/>
    <w:rsid w:val="00092188"/>
    <w:rsid w:val="000922B6"/>
    <w:rsid w:val="0009232D"/>
    <w:rsid w:val="00092437"/>
    <w:rsid w:val="000926AC"/>
    <w:rsid w:val="00092924"/>
    <w:rsid w:val="00092D74"/>
    <w:rsid w:val="00092F2D"/>
    <w:rsid w:val="0009310C"/>
    <w:rsid w:val="0009314E"/>
    <w:rsid w:val="00093432"/>
    <w:rsid w:val="0009344B"/>
    <w:rsid w:val="00093584"/>
    <w:rsid w:val="0009401D"/>
    <w:rsid w:val="00094246"/>
    <w:rsid w:val="000944BF"/>
    <w:rsid w:val="00094A0C"/>
    <w:rsid w:val="00094CE5"/>
    <w:rsid w:val="00094E6B"/>
    <w:rsid w:val="00094EA0"/>
    <w:rsid w:val="0009507A"/>
    <w:rsid w:val="00095155"/>
    <w:rsid w:val="0009523B"/>
    <w:rsid w:val="00095267"/>
    <w:rsid w:val="00095B97"/>
    <w:rsid w:val="00095DAF"/>
    <w:rsid w:val="00095DE4"/>
    <w:rsid w:val="000961DF"/>
    <w:rsid w:val="0009626A"/>
    <w:rsid w:val="0009629C"/>
    <w:rsid w:val="00096492"/>
    <w:rsid w:val="0009652D"/>
    <w:rsid w:val="0009664D"/>
    <w:rsid w:val="000966C9"/>
    <w:rsid w:val="000967A4"/>
    <w:rsid w:val="000967EA"/>
    <w:rsid w:val="00096942"/>
    <w:rsid w:val="00096C65"/>
    <w:rsid w:val="000976F6"/>
    <w:rsid w:val="00097782"/>
    <w:rsid w:val="00097941"/>
    <w:rsid w:val="000979EA"/>
    <w:rsid w:val="00097A23"/>
    <w:rsid w:val="00097B98"/>
    <w:rsid w:val="00097BDC"/>
    <w:rsid w:val="00097DA2"/>
    <w:rsid w:val="000A03B5"/>
    <w:rsid w:val="000A0C21"/>
    <w:rsid w:val="000A0D5D"/>
    <w:rsid w:val="000A0DF4"/>
    <w:rsid w:val="000A0E07"/>
    <w:rsid w:val="000A0FD5"/>
    <w:rsid w:val="000A10CE"/>
    <w:rsid w:val="000A1177"/>
    <w:rsid w:val="000A1547"/>
    <w:rsid w:val="000A1601"/>
    <w:rsid w:val="000A1B58"/>
    <w:rsid w:val="000A1BEA"/>
    <w:rsid w:val="000A211E"/>
    <w:rsid w:val="000A22E0"/>
    <w:rsid w:val="000A27A7"/>
    <w:rsid w:val="000A27C7"/>
    <w:rsid w:val="000A2967"/>
    <w:rsid w:val="000A2AF9"/>
    <w:rsid w:val="000A2BDD"/>
    <w:rsid w:val="000A2E30"/>
    <w:rsid w:val="000A3220"/>
    <w:rsid w:val="000A3662"/>
    <w:rsid w:val="000A3676"/>
    <w:rsid w:val="000A3D22"/>
    <w:rsid w:val="000A3EC5"/>
    <w:rsid w:val="000A3EE0"/>
    <w:rsid w:val="000A3F1A"/>
    <w:rsid w:val="000A413E"/>
    <w:rsid w:val="000A41A9"/>
    <w:rsid w:val="000A41E5"/>
    <w:rsid w:val="000A4593"/>
    <w:rsid w:val="000A45A9"/>
    <w:rsid w:val="000A4617"/>
    <w:rsid w:val="000A46B5"/>
    <w:rsid w:val="000A4910"/>
    <w:rsid w:val="000A491A"/>
    <w:rsid w:val="000A4AED"/>
    <w:rsid w:val="000A4B0E"/>
    <w:rsid w:val="000A4CF1"/>
    <w:rsid w:val="000A5116"/>
    <w:rsid w:val="000A55D7"/>
    <w:rsid w:val="000A5D33"/>
    <w:rsid w:val="000A5DEC"/>
    <w:rsid w:val="000A5FF7"/>
    <w:rsid w:val="000A6074"/>
    <w:rsid w:val="000A6164"/>
    <w:rsid w:val="000A6171"/>
    <w:rsid w:val="000A6214"/>
    <w:rsid w:val="000A6385"/>
    <w:rsid w:val="000A665C"/>
    <w:rsid w:val="000A695E"/>
    <w:rsid w:val="000A69F7"/>
    <w:rsid w:val="000A6BD3"/>
    <w:rsid w:val="000A6BDE"/>
    <w:rsid w:val="000A6C37"/>
    <w:rsid w:val="000A6EFD"/>
    <w:rsid w:val="000A7308"/>
    <w:rsid w:val="000A75EC"/>
    <w:rsid w:val="000A76D0"/>
    <w:rsid w:val="000A7A03"/>
    <w:rsid w:val="000A7BA3"/>
    <w:rsid w:val="000A7D02"/>
    <w:rsid w:val="000A7E60"/>
    <w:rsid w:val="000A7F2E"/>
    <w:rsid w:val="000B0016"/>
    <w:rsid w:val="000B0651"/>
    <w:rsid w:val="000B06B2"/>
    <w:rsid w:val="000B0865"/>
    <w:rsid w:val="000B08EC"/>
    <w:rsid w:val="000B0C64"/>
    <w:rsid w:val="000B0C9D"/>
    <w:rsid w:val="000B0CAC"/>
    <w:rsid w:val="000B1031"/>
    <w:rsid w:val="000B1252"/>
    <w:rsid w:val="000B14AA"/>
    <w:rsid w:val="000B1651"/>
    <w:rsid w:val="000B165D"/>
    <w:rsid w:val="000B166A"/>
    <w:rsid w:val="000B1E7F"/>
    <w:rsid w:val="000B1F09"/>
    <w:rsid w:val="000B1FFD"/>
    <w:rsid w:val="000B2033"/>
    <w:rsid w:val="000B2093"/>
    <w:rsid w:val="000B2588"/>
    <w:rsid w:val="000B2B6A"/>
    <w:rsid w:val="000B2C4A"/>
    <w:rsid w:val="000B2D06"/>
    <w:rsid w:val="000B2EF6"/>
    <w:rsid w:val="000B305B"/>
    <w:rsid w:val="000B332A"/>
    <w:rsid w:val="000B33BB"/>
    <w:rsid w:val="000B35DD"/>
    <w:rsid w:val="000B3629"/>
    <w:rsid w:val="000B36A2"/>
    <w:rsid w:val="000B3737"/>
    <w:rsid w:val="000B37EA"/>
    <w:rsid w:val="000B37EF"/>
    <w:rsid w:val="000B389C"/>
    <w:rsid w:val="000B3D4E"/>
    <w:rsid w:val="000B3E6C"/>
    <w:rsid w:val="000B3F46"/>
    <w:rsid w:val="000B436F"/>
    <w:rsid w:val="000B46FD"/>
    <w:rsid w:val="000B492A"/>
    <w:rsid w:val="000B49F7"/>
    <w:rsid w:val="000B4A4F"/>
    <w:rsid w:val="000B4A5E"/>
    <w:rsid w:val="000B4C24"/>
    <w:rsid w:val="000B4CC2"/>
    <w:rsid w:val="000B509C"/>
    <w:rsid w:val="000B581D"/>
    <w:rsid w:val="000B5A96"/>
    <w:rsid w:val="000B5D06"/>
    <w:rsid w:val="000B5E70"/>
    <w:rsid w:val="000B5F4A"/>
    <w:rsid w:val="000B6153"/>
    <w:rsid w:val="000B627B"/>
    <w:rsid w:val="000B645C"/>
    <w:rsid w:val="000B64DD"/>
    <w:rsid w:val="000B66B8"/>
    <w:rsid w:val="000B66BB"/>
    <w:rsid w:val="000B66BD"/>
    <w:rsid w:val="000B677C"/>
    <w:rsid w:val="000B67AF"/>
    <w:rsid w:val="000B6A7E"/>
    <w:rsid w:val="000B6D7D"/>
    <w:rsid w:val="000B6EBB"/>
    <w:rsid w:val="000B70D7"/>
    <w:rsid w:val="000B7490"/>
    <w:rsid w:val="000B75BE"/>
    <w:rsid w:val="000B780B"/>
    <w:rsid w:val="000B7843"/>
    <w:rsid w:val="000B7A9D"/>
    <w:rsid w:val="000B7B31"/>
    <w:rsid w:val="000B7E15"/>
    <w:rsid w:val="000B7FA1"/>
    <w:rsid w:val="000B7FAC"/>
    <w:rsid w:val="000C025B"/>
    <w:rsid w:val="000C0480"/>
    <w:rsid w:val="000C04AC"/>
    <w:rsid w:val="000C056A"/>
    <w:rsid w:val="000C06F4"/>
    <w:rsid w:val="000C08AB"/>
    <w:rsid w:val="000C0D48"/>
    <w:rsid w:val="000C0F1A"/>
    <w:rsid w:val="000C10C4"/>
    <w:rsid w:val="000C1279"/>
    <w:rsid w:val="000C1903"/>
    <w:rsid w:val="000C1A14"/>
    <w:rsid w:val="000C1A55"/>
    <w:rsid w:val="000C1F5A"/>
    <w:rsid w:val="000C2099"/>
    <w:rsid w:val="000C2141"/>
    <w:rsid w:val="000C2317"/>
    <w:rsid w:val="000C23AD"/>
    <w:rsid w:val="000C27FF"/>
    <w:rsid w:val="000C28CD"/>
    <w:rsid w:val="000C2D1D"/>
    <w:rsid w:val="000C3644"/>
    <w:rsid w:val="000C366A"/>
    <w:rsid w:val="000C3712"/>
    <w:rsid w:val="000C3FA4"/>
    <w:rsid w:val="000C4022"/>
    <w:rsid w:val="000C4177"/>
    <w:rsid w:val="000C4315"/>
    <w:rsid w:val="000C46A0"/>
    <w:rsid w:val="000C4856"/>
    <w:rsid w:val="000C4A47"/>
    <w:rsid w:val="000C4BA2"/>
    <w:rsid w:val="000C4C8B"/>
    <w:rsid w:val="000C4D72"/>
    <w:rsid w:val="000C51B0"/>
    <w:rsid w:val="000C53F7"/>
    <w:rsid w:val="000C55DF"/>
    <w:rsid w:val="000C5A10"/>
    <w:rsid w:val="000C6031"/>
    <w:rsid w:val="000C6074"/>
    <w:rsid w:val="000C6426"/>
    <w:rsid w:val="000C6871"/>
    <w:rsid w:val="000C68E1"/>
    <w:rsid w:val="000C691F"/>
    <w:rsid w:val="000C69A5"/>
    <w:rsid w:val="000C6D82"/>
    <w:rsid w:val="000C6F35"/>
    <w:rsid w:val="000C7037"/>
    <w:rsid w:val="000C7161"/>
    <w:rsid w:val="000C7439"/>
    <w:rsid w:val="000C750A"/>
    <w:rsid w:val="000C7736"/>
    <w:rsid w:val="000C7781"/>
    <w:rsid w:val="000C7848"/>
    <w:rsid w:val="000C7C05"/>
    <w:rsid w:val="000C7F14"/>
    <w:rsid w:val="000C7FA9"/>
    <w:rsid w:val="000D0138"/>
    <w:rsid w:val="000D01B5"/>
    <w:rsid w:val="000D0251"/>
    <w:rsid w:val="000D0550"/>
    <w:rsid w:val="000D07E4"/>
    <w:rsid w:val="000D0845"/>
    <w:rsid w:val="000D0B8E"/>
    <w:rsid w:val="000D0CFF"/>
    <w:rsid w:val="000D12FB"/>
    <w:rsid w:val="000D1421"/>
    <w:rsid w:val="000D1643"/>
    <w:rsid w:val="000D1983"/>
    <w:rsid w:val="000D19B4"/>
    <w:rsid w:val="000D1AB7"/>
    <w:rsid w:val="000D1DCA"/>
    <w:rsid w:val="000D1DEA"/>
    <w:rsid w:val="000D1F80"/>
    <w:rsid w:val="000D2004"/>
    <w:rsid w:val="000D21CD"/>
    <w:rsid w:val="000D2358"/>
    <w:rsid w:val="000D24D0"/>
    <w:rsid w:val="000D28F4"/>
    <w:rsid w:val="000D2CCD"/>
    <w:rsid w:val="000D301C"/>
    <w:rsid w:val="000D3109"/>
    <w:rsid w:val="000D3110"/>
    <w:rsid w:val="000D33DC"/>
    <w:rsid w:val="000D3ADA"/>
    <w:rsid w:val="000D3BD5"/>
    <w:rsid w:val="000D3C80"/>
    <w:rsid w:val="000D3CB2"/>
    <w:rsid w:val="000D3DBA"/>
    <w:rsid w:val="000D3F37"/>
    <w:rsid w:val="000D40D7"/>
    <w:rsid w:val="000D41E2"/>
    <w:rsid w:val="000D4210"/>
    <w:rsid w:val="000D4297"/>
    <w:rsid w:val="000D4585"/>
    <w:rsid w:val="000D4731"/>
    <w:rsid w:val="000D47E1"/>
    <w:rsid w:val="000D4B43"/>
    <w:rsid w:val="000D4BB3"/>
    <w:rsid w:val="000D4D60"/>
    <w:rsid w:val="000D52C8"/>
    <w:rsid w:val="000D53BD"/>
    <w:rsid w:val="000D5421"/>
    <w:rsid w:val="000D5AFF"/>
    <w:rsid w:val="000D5C5B"/>
    <w:rsid w:val="000D5D6E"/>
    <w:rsid w:val="000D5F7F"/>
    <w:rsid w:val="000D61AE"/>
    <w:rsid w:val="000D66BF"/>
    <w:rsid w:val="000D6717"/>
    <w:rsid w:val="000D6780"/>
    <w:rsid w:val="000D68DA"/>
    <w:rsid w:val="000D68EE"/>
    <w:rsid w:val="000D69AE"/>
    <w:rsid w:val="000D69D0"/>
    <w:rsid w:val="000D6AD4"/>
    <w:rsid w:val="000D6DFA"/>
    <w:rsid w:val="000D705D"/>
    <w:rsid w:val="000D714A"/>
    <w:rsid w:val="000D71AA"/>
    <w:rsid w:val="000D71ED"/>
    <w:rsid w:val="000D79D7"/>
    <w:rsid w:val="000D7A74"/>
    <w:rsid w:val="000D7B50"/>
    <w:rsid w:val="000D7BFE"/>
    <w:rsid w:val="000D7C52"/>
    <w:rsid w:val="000D7E43"/>
    <w:rsid w:val="000D7E85"/>
    <w:rsid w:val="000D7EA5"/>
    <w:rsid w:val="000D7FCC"/>
    <w:rsid w:val="000E01F8"/>
    <w:rsid w:val="000E05DC"/>
    <w:rsid w:val="000E09C1"/>
    <w:rsid w:val="000E09CD"/>
    <w:rsid w:val="000E0D3F"/>
    <w:rsid w:val="000E0E08"/>
    <w:rsid w:val="000E0F8F"/>
    <w:rsid w:val="000E1039"/>
    <w:rsid w:val="000E10DD"/>
    <w:rsid w:val="000E12C3"/>
    <w:rsid w:val="000E1388"/>
    <w:rsid w:val="000E14B4"/>
    <w:rsid w:val="000E1523"/>
    <w:rsid w:val="000E169F"/>
    <w:rsid w:val="000E16DA"/>
    <w:rsid w:val="000E17B5"/>
    <w:rsid w:val="000E17DA"/>
    <w:rsid w:val="000E1A02"/>
    <w:rsid w:val="000E1A43"/>
    <w:rsid w:val="000E1BA4"/>
    <w:rsid w:val="000E1C3B"/>
    <w:rsid w:val="000E1E7A"/>
    <w:rsid w:val="000E2028"/>
    <w:rsid w:val="000E2105"/>
    <w:rsid w:val="000E2438"/>
    <w:rsid w:val="000E2446"/>
    <w:rsid w:val="000E244C"/>
    <w:rsid w:val="000E24C3"/>
    <w:rsid w:val="000E27EE"/>
    <w:rsid w:val="000E280E"/>
    <w:rsid w:val="000E295A"/>
    <w:rsid w:val="000E2B79"/>
    <w:rsid w:val="000E2C0D"/>
    <w:rsid w:val="000E3025"/>
    <w:rsid w:val="000E341A"/>
    <w:rsid w:val="000E34BB"/>
    <w:rsid w:val="000E3557"/>
    <w:rsid w:val="000E359E"/>
    <w:rsid w:val="000E36BF"/>
    <w:rsid w:val="000E38F4"/>
    <w:rsid w:val="000E399B"/>
    <w:rsid w:val="000E39A2"/>
    <w:rsid w:val="000E3B0D"/>
    <w:rsid w:val="000E3BCB"/>
    <w:rsid w:val="000E3D0C"/>
    <w:rsid w:val="000E3D52"/>
    <w:rsid w:val="000E3E36"/>
    <w:rsid w:val="000E3EC1"/>
    <w:rsid w:val="000E4169"/>
    <w:rsid w:val="000E41A4"/>
    <w:rsid w:val="000E4256"/>
    <w:rsid w:val="000E48AF"/>
    <w:rsid w:val="000E48CE"/>
    <w:rsid w:val="000E4939"/>
    <w:rsid w:val="000E4A19"/>
    <w:rsid w:val="000E4B78"/>
    <w:rsid w:val="000E4D3D"/>
    <w:rsid w:val="000E4D76"/>
    <w:rsid w:val="000E51D8"/>
    <w:rsid w:val="000E52CE"/>
    <w:rsid w:val="000E54C7"/>
    <w:rsid w:val="000E5620"/>
    <w:rsid w:val="000E575D"/>
    <w:rsid w:val="000E57BA"/>
    <w:rsid w:val="000E5867"/>
    <w:rsid w:val="000E5AB4"/>
    <w:rsid w:val="000E5B23"/>
    <w:rsid w:val="000E5BE8"/>
    <w:rsid w:val="000E5C74"/>
    <w:rsid w:val="000E5D28"/>
    <w:rsid w:val="000E5D7B"/>
    <w:rsid w:val="000E5E3D"/>
    <w:rsid w:val="000E6010"/>
    <w:rsid w:val="000E664E"/>
    <w:rsid w:val="000E67DE"/>
    <w:rsid w:val="000E69FA"/>
    <w:rsid w:val="000E6A19"/>
    <w:rsid w:val="000E708F"/>
    <w:rsid w:val="000E717D"/>
    <w:rsid w:val="000E719F"/>
    <w:rsid w:val="000E72E6"/>
    <w:rsid w:val="000E7854"/>
    <w:rsid w:val="000E7918"/>
    <w:rsid w:val="000E799E"/>
    <w:rsid w:val="000E7ADE"/>
    <w:rsid w:val="000E7BAE"/>
    <w:rsid w:val="000E7E01"/>
    <w:rsid w:val="000F041D"/>
    <w:rsid w:val="000F0572"/>
    <w:rsid w:val="000F05DF"/>
    <w:rsid w:val="000F0D24"/>
    <w:rsid w:val="000F0D72"/>
    <w:rsid w:val="000F0D9D"/>
    <w:rsid w:val="000F0FE5"/>
    <w:rsid w:val="000F128A"/>
    <w:rsid w:val="000F1688"/>
    <w:rsid w:val="000F17B9"/>
    <w:rsid w:val="000F195B"/>
    <w:rsid w:val="000F1ACA"/>
    <w:rsid w:val="000F1F99"/>
    <w:rsid w:val="000F1FF3"/>
    <w:rsid w:val="000F21CB"/>
    <w:rsid w:val="000F2277"/>
    <w:rsid w:val="000F23F2"/>
    <w:rsid w:val="000F24D5"/>
    <w:rsid w:val="000F2518"/>
    <w:rsid w:val="000F256C"/>
    <w:rsid w:val="000F2791"/>
    <w:rsid w:val="000F28CD"/>
    <w:rsid w:val="000F2ABE"/>
    <w:rsid w:val="000F2D18"/>
    <w:rsid w:val="000F2DE8"/>
    <w:rsid w:val="000F3133"/>
    <w:rsid w:val="000F31C1"/>
    <w:rsid w:val="000F32EA"/>
    <w:rsid w:val="000F36AC"/>
    <w:rsid w:val="000F3808"/>
    <w:rsid w:val="000F3AB5"/>
    <w:rsid w:val="000F3FB5"/>
    <w:rsid w:val="000F4101"/>
    <w:rsid w:val="000F4517"/>
    <w:rsid w:val="000F45BA"/>
    <w:rsid w:val="000F4793"/>
    <w:rsid w:val="000F49A9"/>
    <w:rsid w:val="000F4A1C"/>
    <w:rsid w:val="000F4A24"/>
    <w:rsid w:val="000F4B3B"/>
    <w:rsid w:val="000F5180"/>
    <w:rsid w:val="000F556D"/>
    <w:rsid w:val="000F5630"/>
    <w:rsid w:val="000F56C9"/>
    <w:rsid w:val="000F5D1F"/>
    <w:rsid w:val="000F5E87"/>
    <w:rsid w:val="000F5F0D"/>
    <w:rsid w:val="000F6050"/>
    <w:rsid w:val="000F6337"/>
    <w:rsid w:val="000F6570"/>
    <w:rsid w:val="000F6602"/>
    <w:rsid w:val="000F6740"/>
    <w:rsid w:val="000F678F"/>
    <w:rsid w:val="000F6997"/>
    <w:rsid w:val="000F6A31"/>
    <w:rsid w:val="000F6A81"/>
    <w:rsid w:val="000F6DCF"/>
    <w:rsid w:val="000F6E69"/>
    <w:rsid w:val="000F7194"/>
    <w:rsid w:val="000F720B"/>
    <w:rsid w:val="000F72A4"/>
    <w:rsid w:val="000F73A1"/>
    <w:rsid w:val="000F75B4"/>
    <w:rsid w:val="000F77A8"/>
    <w:rsid w:val="000F7B79"/>
    <w:rsid w:val="000F7C17"/>
    <w:rsid w:val="000F7F6E"/>
    <w:rsid w:val="00100003"/>
    <w:rsid w:val="001000E0"/>
    <w:rsid w:val="00100168"/>
    <w:rsid w:val="00100467"/>
    <w:rsid w:val="00100560"/>
    <w:rsid w:val="001005A5"/>
    <w:rsid w:val="00100644"/>
    <w:rsid w:val="00100678"/>
    <w:rsid w:val="00100952"/>
    <w:rsid w:val="0010116F"/>
    <w:rsid w:val="00101202"/>
    <w:rsid w:val="00101393"/>
    <w:rsid w:val="0010157E"/>
    <w:rsid w:val="0010170B"/>
    <w:rsid w:val="0010179A"/>
    <w:rsid w:val="00101951"/>
    <w:rsid w:val="00101B48"/>
    <w:rsid w:val="00101B9A"/>
    <w:rsid w:val="00101C32"/>
    <w:rsid w:val="00101CB9"/>
    <w:rsid w:val="00101D5E"/>
    <w:rsid w:val="00101D94"/>
    <w:rsid w:val="00101DBF"/>
    <w:rsid w:val="001023F2"/>
    <w:rsid w:val="0010245B"/>
    <w:rsid w:val="00102578"/>
    <w:rsid w:val="001025C5"/>
    <w:rsid w:val="001025F9"/>
    <w:rsid w:val="001027FD"/>
    <w:rsid w:val="00102C37"/>
    <w:rsid w:val="00103145"/>
    <w:rsid w:val="001032EA"/>
    <w:rsid w:val="0010343D"/>
    <w:rsid w:val="0010356F"/>
    <w:rsid w:val="0010358D"/>
    <w:rsid w:val="0010362C"/>
    <w:rsid w:val="00103841"/>
    <w:rsid w:val="001038B3"/>
    <w:rsid w:val="00103A14"/>
    <w:rsid w:val="00103AF6"/>
    <w:rsid w:val="00103B09"/>
    <w:rsid w:val="00103C2E"/>
    <w:rsid w:val="00103D6A"/>
    <w:rsid w:val="00104258"/>
    <w:rsid w:val="0010425A"/>
    <w:rsid w:val="0010426E"/>
    <w:rsid w:val="0010434C"/>
    <w:rsid w:val="00104692"/>
    <w:rsid w:val="001049EE"/>
    <w:rsid w:val="00104DA5"/>
    <w:rsid w:val="00104F91"/>
    <w:rsid w:val="00105366"/>
    <w:rsid w:val="0010540D"/>
    <w:rsid w:val="001054EA"/>
    <w:rsid w:val="00105504"/>
    <w:rsid w:val="001056EB"/>
    <w:rsid w:val="00105701"/>
    <w:rsid w:val="00105A16"/>
    <w:rsid w:val="00105D5E"/>
    <w:rsid w:val="00105EF1"/>
    <w:rsid w:val="00106070"/>
    <w:rsid w:val="00106204"/>
    <w:rsid w:val="001062C9"/>
    <w:rsid w:val="001065EF"/>
    <w:rsid w:val="001067D4"/>
    <w:rsid w:val="0010687D"/>
    <w:rsid w:val="00106C3F"/>
    <w:rsid w:val="00106D4D"/>
    <w:rsid w:val="00106D84"/>
    <w:rsid w:val="00106E33"/>
    <w:rsid w:val="00106E51"/>
    <w:rsid w:val="001070D4"/>
    <w:rsid w:val="0010781D"/>
    <w:rsid w:val="00107862"/>
    <w:rsid w:val="0010798D"/>
    <w:rsid w:val="00107F19"/>
    <w:rsid w:val="00110227"/>
    <w:rsid w:val="00110B0C"/>
    <w:rsid w:val="00110BA5"/>
    <w:rsid w:val="00110CC6"/>
    <w:rsid w:val="00110CE5"/>
    <w:rsid w:val="00110DF5"/>
    <w:rsid w:val="00110E82"/>
    <w:rsid w:val="001110B9"/>
    <w:rsid w:val="001110D9"/>
    <w:rsid w:val="0011146C"/>
    <w:rsid w:val="00111504"/>
    <w:rsid w:val="001116D3"/>
    <w:rsid w:val="00111732"/>
    <w:rsid w:val="00111802"/>
    <w:rsid w:val="001118A8"/>
    <w:rsid w:val="00111E23"/>
    <w:rsid w:val="00112110"/>
    <w:rsid w:val="00112238"/>
    <w:rsid w:val="001122C9"/>
    <w:rsid w:val="001122D3"/>
    <w:rsid w:val="0011230E"/>
    <w:rsid w:val="001124F8"/>
    <w:rsid w:val="001125A2"/>
    <w:rsid w:val="00112605"/>
    <w:rsid w:val="0011264E"/>
    <w:rsid w:val="001126DA"/>
    <w:rsid w:val="00112705"/>
    <w:rsid w:val="00112A43"/>
    <w:rsid w:val="00112F45"/>
    <w:rsid w:val="0011311A"/>
    <w:rsid w:val="00113151"/>
    <w:rsid w:val="0011349C"/>
    <w:rsid w:val="00113685"/>
    <w:rsid w:val="0011370A"/>
    <w:rsid w:val="001137C8"/>
    <w:rsid w:val="00113864"/>
    <w:rsid w:val="00113B43"/>
    <w:rsid w:val="00113D01"/>
    <w:rsid w:val="00113DE5"/>
    <w:rsid w:val="001140A8"/>
    <w:rsid w:val="001143F1"/>
    <w:rsid w:val="001147C2"/>
    <w:rsid w:val="0011481B"/>
    <w:rsid w:val="00114858"/>
    <w:rsid w:val="001149FD"/>
    <w:rsid w:val="00114B13"/>
    <w:rsid w:val="00114C56"/>
    <w:rsid w:val="00114C76"/>
    <w:rsid w:val="00114D43"/>
    <w:rsid w:val="00114E4C"/>
    <w:rsid w:val="00114EA5"/>
    <w:rsid w:val="001154ED"/>
    <w:rsid w:val="001154F2"/>
    <w:rsid w:val="0011551C"/>
    <w:rsid w:val="001155E1"/>
    <w:rsid w:val="0011589C"/>
    <w:rsid w:val="00115B36"/>
    <w:rsid w:val="00115E10"/>
    <w:rsid w:val="00115FBF"/>
    <w:rsid w:val="00116260"/>
    <w:rsid w:val="00116521"/>
    <w:rsid w:val="001165C8"/>
    <w:rsid w:val="001167C9"/>
    <w:rsid w:val="00116944"/>
    <w:rsid w:val="00116E20"/>
    <w:rsid w:val="00116EC9"/>
    <w:rsid w:val="00117138"/>
    <w:rsid w:val="001174F4"/>
    <w:rsid w:val="001176A2"/>
    <w:rsid w:val="001176D5"/>
    <w:rsid w:val="00117AAA"/>
    <w:rsid w:val="00117B37"/>
    <w:rsid w:val="00117BBA"/>
    <w:rsid w:val="0012042A"/>
    <w:rsid w:val="001209A6"/>
    <w:rsid w:val="00120C1F"/>
    <w:rsid w:val="00121026"/>
    <w:rsid w:val="00121315"/>
    <w:rsid w:val="0012137C"/>
    <w:rsid w:val="0012151E"/>
    <w:rsid w:val="001218C7"/>
    <w:rsid w:val="001218F2"/>
    <w:rsid w:val="00121A0F"/>
    <w:rsid w:val="00121CE0"/>
    <w:rsid w:val="00121EC8"/>
    <w:rsid w:val="00121F96"/>
    <w:rsid w:val="00121FCA"/>
    <w:rsid w:val="001220A1"/>
    <w:rsid w:val="001220E6"/>
    <w:rsid w:val="001220FD"/>
    <w:rsid w:val="001222D0"/>
    <w:rsid w:val="00122337"/>
    <w:rsid w:val="0012233F"/>
    <w:rsid w:val="00122341"/>
    <w:rsid w:val="001227D4"/>
    <w:rsid w:val="0012286C"/>
    <w:rsid w:val="0012294E"/>
    <w:rsid w:val="00122A82"/>
    <w:rsid w:val="00122D28"/>
    <w:rsid w:val="00122E49"/>
    <w:rsid w:val="001230E8"/>
    <w:rsid w:val="001231AE"/>
    <w:rsid w:val="00123305"/>
    <w:rsid w:val="001233DE"/>
    <w:rsid w:val="0012340F"/>
    <w:rsid w:val="0012357F"/>
    <w:rsid w:val="00123673"/>
    <w:rsid w:val="001237FE"/>
    <w:rsid w:val="001238AA"/>
    <w:rsid w:val="0012397D"/>
    <w:rsid w:val="00123A00"/>
    <w:rsid w:val="00123A34"/>
    <w:rsid w:val="00123A59"/>
    <w:rsid w:val="00123C74"/>
    <w:rsid w:val="00123EF3"/>
    <w:rsid w:val="00124195"/>
    <w:rsid w:val="0012422E"/>
    <w:rsid w:val="0012477D"/>
    <w:rsid w:val="001248C8"/>
    <w:rsid w:val="0012492F"/>
    <w:rsid w:val="00124ABE"/>
    <w:rsid w:val="00124B06"/>
    <w:rsid w:val="00124B3F"/>
    <w:rsid w:val="00124BAD"/>
    <w:rsid w:val="00124CCB"/>
    <w:rsid w:val="0012500A"/>
    <w:rsid w:val="001250A6"/>
    <w:rsid w:val="00125288"/>
    <w:rsid w:val="0012568D"/>
    <w:rsid w:val="001257A1"/>
    <w:rsid w:val="001258B5"/>
    <w:rsid w:val="001259BD"/>
    <w:rsid w:val="00125D83"/>
    <w:rsid w:val="00125EA0"/>
    <w:rsid w:val="0012628D"/>
    <w:rsid w:val="001262DE"/>
    <w:rsid w:val="00126457"/>
    <w:rsid w:val="00126461"/>
    <w:rsid w:val="00126530"/>
    <w:rsid w:val="001265F8"/>
    <w:rsid w:val="00126892"/>
    <w:rsid w:val="001268E7"/>
    <w:rsid w:val="001269AC"/>
    <w:rsid w:val="001269C1"/>
    <w:rsid w:val="00126DF6"/>
    <w:rsid w:val="00126E51"/>
    <w:rsid w:val="00127139"/>
    <w:rsid w:val="001272BC"/>
    <w:rsid w:val="001279EA"/>
    <w:rsid w:val="00127AE8"/>
    <w:rsid w:val="00127B3A"/>
    <w:rsid w:val="00130063"/>
    <w:rsid w:val="00130342"/>
    <w:rsid w:val="00130395"/>
    <w:rsid w:val="00130568"/>
    <w:rsid w:val="0013063F"/>
    <w:rsid w:val="001309C2"/>
    <w:rsid w:val="001309E9"/>
    <w:rsid w:val="00130A27"/>
    <w:rsid w:val="00130BC0"/>
    <w:rsid w:val="00130C06"/>
    <w:rsid w:val="00130C50"/>
    <w:rsid w:val="00130F4F"/>
    <w:rsid w:val="00130FA1"/>
    <w:rsid w:val="00131038"/>
    <w:rsid w:val="001310DA"/>
    <w:rsid w:val="00131112"/>
    <w:rsid w:val="00131425"/>
    <w:rsid w:val="001315EB"/>
    <w:rsid w:val="00131F06"/>
    <w:rsid w:val="001322D3"/>
    <w:rsid w:val="0013247B"/>
    <w:rsid w:val="00132629"/>
    <w:rsid w:val="00132708"/>
    <w:rsid w:val="00132933"/>
    <w:rsid w:val="0013295D"/>
    <w:rsid w:val="00132A9D"/>
    <w:rsid w:val="00133CAD"/>
    <w:rsid w:val="00133D41"/>
    <w:rsid w:val="001340B9"/>
    <w:rsid w:val="001340FC"/>
    <w:rsid w:val="0013422B"/>
    <w:rsid w:val="0013470E"/>
    <w:rsid w:val="00134726"/>
    <w:rsid w:val="00134819"/>
    <w:rsid w:val="00134826"/>
    <w:rsid w:val="00134AB8"/>
    <w:rsid w:val="00134C8C"/>
    <w:rsid w:val="00134D96"/>
    <w:rsid w:val="00134E40"/>
    <w:rsid w:val="00135165"/>
    <w:rsid w:val="001351F0"/>
    <w:rsid w:val="00135204"/>
    <w:rsid w:val="00135257"/>
    <w:rsid w:val="00135284"/>
    <w:rsid w:val="001353A4"/>
    <w:rsid w:val="001357E7"/>
    <w:rsid w:val="001359BB"/>
    <w:rsid w:val="00135AE7"/>
    <w:rsid w:val="00135CCB"/>
    <w:rsid w:val="001361BF"/>
    <w:rsid w:val="00136354"/>
    <w:rsid w:val="001363E2"/>
    <w:rsid w:val="001365A6"/>
    <w:rsid w:val="001366F4"/>
    <w:rsid w:val="0013697B"/>
    <w:rsid w:val="00136B31"/>
    <w:rsid w:val="00136C8E"/>
    <w:rsid w:val="00136EF6"/>
    <w:rsid w:val="00137016"/>
    <w:rsid w:val="00137033"/>
    <w:rsid w:val="0013706B"/>
    <w:rsid w:val="0013708B"/>
    <w:rsid w:val="0013763A"/>
    <w:rsid w:val="001378A2"/>
    <w:rsid w:val="00137919"/>
    <w:rsid w:val="00137A58"/>
    <w:rsid w:val="00137B55"/>
    <w:rsid w:val="00137CB7"/>
    <w:rsid w:val="00137DC9"/>
    <w:rsid w:val="00137F20"/>
    <w:rsid w:val="00137FA9"/>
    <w:rsid w:val="0014010A"/>
    <w:rsid w:val="00140BEF"/>
    <w:rsid w:val="00140D77"/>
    <w:rsid w:val="00140DD9"/>
    <w:rsid w:val="00140EBA"/>
    <w:rsid w:val="001411FE"/>
    <w:rsid w:val="00141486"/>
    <w:rsid w:val="0014163B"/>
    <w:rsid w:val="00141897"/>
    <w:rsid w:val="00141CC9"/>
    <w:rsid w:val="00141D9C"/>
    <w:rsid w:val="00141E3D"/>
    <w:rsid w:val="00142399"/>
    <w:rsid w:val="0014243F"/>
    <w:rsid w:val="0014253D"/>
    <w:rsid w:val="001425A1"/>
    <w:rsid w:val="001425F0"/>
    <w:rsid w:val="00142674"/>
    <w:rsid w:val="001426AE"/>
    <w:rsid w:val="00142900"/>
    <w:rsid w:val="00142F4D"/>
    <w:rsid w:val="001433A4"/>
    <w:rsid w:val="0014344A"/>
    <w:rsid w:val="00143760"/>
    <w:rsid w:val="001437D5"/>
    <w:rsid w:val="00143AC2"/>
    <w:rsid w:val="00143D0A"/>
    <w:rsid w:val="00143F93"/>
    <w:rsid w:val="00143F9A"/>
    <w:rsid w:val="00144062"/>
    <w:rsid w:val="001440E4"/>
    <w:rsid w:val="00144714"/>
    <w:rsid w:val="00144AD2"/>
    <w:rsid w:val="00144E32"/>
    <w:rsid w:val="0014529B"/>
    <w:rsid w:val="00145451"/>
    <w:rsid w:val="001455A8"/>
    <w:rsid w:val="00145837"/>
    <w:rsid w:val="00145957"/>
    <w:rsid w:val="00145A02"/>
    <w:rsid w:val="00145AF8"/>
    <w:rsid w:val="00145B0E"/>
    <w:rsid w:val="00146002"/>
    <w:rsid w:val="0014604A"/>
    <w:rsid w:val="00146150"/>
    <w:rsid w:val="001462D4"/>
    <w:rsid w:val="00146694"/>
    <w:rsid w:val="001466D3"/>
    <w:rsid w:val="00146763"/>
    <w:rsid w:val="001468D2"/>
    <w:rsid w:val="00146982"/>
    <w:rsid w:val="00146A24"/>
    <w:rsid w:val="00146B19"/>
    <w:rsid w:val="00146C36"/>
    <w:rsid w:val="00146D5C"/>
    <w:rsid w:val="00146E8D"/>
    <w:rsid w:val="00146FA9"/>
    <w:rsid w:val="001470B3"/>
    <w:rsid w:val="0014750F"/>
    <w:rsid w:val="0014766E"/>
    <w:rsid w:val="00147886"/>
    <w:rsid w:val="00147ACB"/>
    <w:rsid w:val="00147B7F"/>
    <w:rsid w:val="00147EFD"/>
    <w:rsid w:val="00150092"/>
    <w:rsid w:val="00150383"/>
    <w:rsid w:val="001503EA"/>
    <w:rsid w:val="00150709"/>
    <w:rsid w:val="0015093A"/>
    <w:rsid w:val="0015096C"/>
    <w:rsid w:val="00150EDA"/>
    <w:rsid w:val="00150FF5"/>
    <w:rsid w:val="00151146"/>
    <w:rsid w:val="00151406"/>
    <w:rsid w:val="00151474"/>
    <w:rsid w:val="001514A8"/>
    <w:rsid w:val="001515E9"/>
    <w:rsid w:val="0015170A"/>
    <w:rsid w:val="00151BB3"/>
    <w:rsid w:val="00151D80"/>
    <w:rsid w:val="00151DFA"/>
    <w:rsid w:val="00151F6E"/>
    <w:rsid w:val="00151FCB"/>
    <w:rsid w:val="00152029"/>
    <w:rsid w:val="00152868"/>
    <w:rsid w:val="0015299E"/>
    <w:rsid w:val="00152A5F"/>
    <w:rsid w:val="00152B32"/>
    <w:rsid w:val="00152B60"/>
    <w:rsid w:val="00152F4C"/>
    <w:rsid w:val="00152FD6"/>
    <w:rsid w:val="00153099"/>
    <w:rsid w:val="001530B0"/>
    <w:rsid w:val="00153123"/>
    <w:rsid w:val="00153213"/>
    <w:rsid w:val="00153215"/>
    <w:rsid w:val="001534E2"/>
    <w:rsid w:val="00153C0A"/>
    <w:rsid w:val="00153E35"/>
    <w:rsid w:val="00153EC1"/>
    <w:rsid w:val="00154312"/>
    <w:rsid w:val="00154417"/>
    <w:rsid w:val="001547BF"/>
    <w:rsid w:val="001547D5"/>
    <w:rsid w:val="0015480A"/>
    <w:rsid w:val="00154A3B"/>
    <w:rsid w:val="00154A4E"/>
    <w:rsid w:val="00154D48"/>
    <w:rsid w:val="00154DD5"/>
    <w:rsid w:val="00154E3B"/>
    <w:rsid w:val="00154E9F"/>
    <w:rsid w:val="00154F05"/>
    <w:rsid w:val="00155174"/>
    <w:rsid w:val="001553B4"/>
    <w:rsid w:val="001556C1"/>
    <w:rsid w:val="00155837"/>
    <w:rsid w:val="00155B31"/>
    <w:rsid w:val="00155BFA"/>
    <w:rsid w:val="00155BFB"/>
    <w:rsid w:val="00155D0A"/>
    <w:rsid w:val="00155FF1"/>
    <w:rsid w:val="00156021"/>
    <w:rsid w:val="0015628E"/>
    <w:rsid w:val="001562E6"/>
    <w:rsid w:val="00156781"/>
    <w:rsid w:val="001569F7"/>
    <w:rsid w:val="00156ADA"/>
    <w:rsid w:val="00156DEE"/>
    <w:rsid w:val="00156E99"/>
    <w:rsid w:val="00156F88"/>
    <w:rsid w:val="00157024"/>
    <w:rsid w:val="001574B8"/>
    <w:rsid w:val="00157629"/>
    <w:rsid w:val="0015770C"/>
    <w:rsid w:val="00157722"/>
    <w:rsid w:val="00157853"/>
    <w:rsid w:val="0015796D"/>
    <w:rsid w:val="001579DC"/>
    <w:rsid w:val="00157C25"/>
    <w:rsid w:val="00157F69"/>
    <w:rsid w:val="0016006C"/>
    <w:rsid w:val="00160260"/>
    <w:rsid w:val="001605E2"/>
    <w:rsid w:val="001606AE"/>
    <w:rsid w:val="00160773"/>
    <w:rsid w:val="001607DB"/>
    <w:rsid w:val="00160AA9"/>
    <w:rsid w:val="00160ABC"/>
    <w:rsid w:val="00160B64"/>
    <w:rsid w:val="00160C75"/>
    <w:rsid w:val="00160D12"/>
    <w:rsid w:val="00160FF5"/>
    <w:rsid w:val="001611A1"/>
    <w:rsid w:val="001613E1"/>
    <w:rsid w:val="00161429"/>
    <w:rsid w:val="001616F8"/>
    <w:rsid w:val="00161F3C"/>
    <w:rsid w:val="00162101"/>
    <w:rsid w:val="001621B6"/>
    <w:rsid w:val="00162552"/>
    <w:rsid w:val="0016272D"/>
    <w:rsid w:val="00162A87"/>
    <w:rsid w:val="00162AB3"/>
    <w:rsid w:val="001633F1"/>
    <w:rsid w:val="001634C7"/>
    <w:rsid w:val="00163549"/>
    <w:rsid w:val="00163B93"/>
    <w:rsid w:val="00163EF7"/>
    <w:rsid w:val="001640C1"/>
    <w:rsid w:val="00164135"/>
    <w:rsid w:val="0016414B"/>
    <w:rsid w:val="00164585"/>
    <w:rsid w:val="001647DD"/>
    <w:rsid w:val="001648CD"/>
    <w:rsid w:val="001649D6"/>
    <w:rsid w:val="00164AB1"/>
    <w:rsid w:val="00164C46"/>
    <w:rsid w:val="00164C95"/>
    <w:rsid w:val="00164E6F"/>
    <w:rsid w:val="0016504D"/>
    <w:rsid w:val="001650AC"/>
    <w:rsid w:val="0016516B"/>
    <w:rsid w:val="00165247"/>
    <w:rsid w:val="00165285"/>
    <w:rsid w:val="00165351"/>
    <w:rsid w:val="001653E8"/>
    <w:rsid w:val="0016541F"/>
    <w:rsid w:val="0016542D"/>
    <w:rsid w:val="001658A3"/>
    <w:rsid w:val="001658F0"/>
    <w:rsid w:val="00165979"/>
    <w:rsid w:val="00165BAA"/>
    <w:rsid w:val="00165BF9"/>
    <w:rsid w:val="00165C40"/>
    <w:rsid w:val="00165EEE"/>
    <w:rsid w:val="001661D8"/>
    <w:rsid w:val="00166344"/>
    <w:rsid w:val="00166440"/>
    <w:rsid w:val="00166506"/>
    <w:rsid w:val="00166511"/>
    <w:rsid w:val="001667E0"/>
    <w:rsid w:val="00166903"/>
    <w:rsid w:val="00166933"/>
    <w:rsid w:val="00166EE0"/>
    <w:rsid w:val="00166F2A"/>
    <w:rsid w:val="00167286"/>
    <w:rsid w:val="00167389"/>
    <w:rsid w:val="001674AD"/>
    <w:rsid w:val="001675F9"/>
    <w:rsid w:val="001676BA"/>
    <w:rsid w:val="0016771D"/>
    <w:rsid w:val="00167804"/>
    <w:rsid w:val="001679D7"/>
    <w:rsid w:val="00167A52"/>
    <w:rsid w:val="00167A6B"/>
    <w:rsid w:val="00167B6E"/>
    <w:rsid w:val="00167DD0"/>
    <w:rsid w:val="00167FA2"/>
    <w:rsid w:val="0017017D"/>
    <w:rsid w:val="001704CC"/>
    <w:rsid w:val="00170585"/>
    <w:rsid w:val="00170642"/>
    <w:rsid w:val="001706B4"/>
    <w:rsid w:val="001706BE"/>
    <w:rsid w:val="00170A66"/>
    <w:rsid w:val="00170DB2"/>
    <w:rsid w:val="00171166"/>
    <w:rsid w:val="0017132D"/>
    <w:rsid w:val="00171386"/>
    <w:rsid w:val="001713ED"/>
    <w:rsid w:val="0017160D"/>
    <w:rsid w:val="0017166B"/>
    <w:rsid w:val="001717FF"/>
    <w:rsid w:val="001718D3"/>
    <w:rsid w:val="00171930"/>
    <w:rsid w:val="00171994"/>
    <w:rsid w:val="00171E81"/>
    <w:rsid w:val="00171E94"/>
    <w:rsid w:val="00172008"/>
    <w:rsid w:val="00172147"/>
    <w:rsid w:val="0017248C"/>
    <w:rsid w:val="001724B7"/>
    <w:rsid w:val="00172771"/>
    <w:rsid w:val="00172A29"/>
    <w:rsid w:val="00172A2A"/>
    <w:rsid w:val="00172D22"/>
    <w:rsid w:val="00172DBC"/>
    <w:rsid w:val="00172E30"/>
    <w:rsid w:val="001730B9"/>
    <w:rsid w:val="00173219"/>
    <w:rsid w:val="0017336B"/>
    <w:rsid w:val="00173491"/>
    <w:rsid w:val="00173547"/>
    <w:rsid w:val="00173579"/>
    <w:rsid w:val="001736A5"/>
    <w:rsid w:val="001737AD"/>
    <w:rsid w:val="00173B25"/>
    <w:rsid w:val="00173D22"/>
    <w:rsid w:val="00173F8A"/>
    <w:rsid w:val="0017450E"/>
    <w:rsid w:val="001748FE"/>
    <w:rsid w:val="00174A02"/>
    <w:rsid w:val="00174B1C"/>
    <w:rsid w:val="00174DC6"/>
    <w:rsid w:val="00174EBF"/>
    <w:rsid w:val="0017515F"/>
    <w:rsid w:val="0017536C"/>
    <w:rsid w:val="001753F8"/>
    <w:rsid w:val="0017546E"/>
    <w:rsid w:val="00175E17"/>
    <w:rsid w:val="001762A7"/>
    <w:rsid w:val="001763A4"/>
    <w:rsid w:val="001764BA"/>
    <w:rsid w:val="00176608"/>
    <w:rsid w:val="001767B1"/>
    <w:rsid w:val="00176841"/>
    <w:rsid w:val="00176DF3"/>
    <w:rsid w:val="00176E52"/>
    <w:rsid w:val="00177311"/>
    <w:rsid w:val="001774C2"/>
    <w:rsid w:val="00177689"/>
    <w:rsid w:val="00177762"/>
    <w:rsid w:val="00177B8E"/>
    <w:rsid w:val="00177CC3"/>
    <w:rsid w:val="00180676"/>
    <w:rsid w:val="001808CD"/>
    <w:rsid w:val="001809A5"/>
    <w:rsid w:val="001809FB"/>
    <w:rsid w:val="00180B3A"/>
    <w:rsid w:val="00180B7B"/>
    <w:rsid w:val="00180D6E"/>
    <w:rsid w:val="00180EDB"/>
    <w:rsid w:val="00181115"/>
    <w:rsid w:val="0018133F"/>
    <w:rsid w:val="0018140F"/>
    <w:rsid w:val="0018141F"/>
    <w:rsid w:val="00181506"/>
    <w:rsid w:val="001815F3"/>
    <w:rsid w:val="001816ED"/>
    <w:rsid w:val="001818CB"/>
    <w:rsid w:val="00181BDB"/>
    <w:rsid w:val="00181D9C"/>
    <w:rsid w:val="00181E67"/>
    <w:rsid w:val="00182017"/>
    <w:rsid w:val="001821A3"/>
    <w:rsid w:val="00182425"/>
    <w:rsid w:val="001824D8"/>
    <w:rsid w:val="0018267F"/>
    <w:rsid w:val="001826DC"/>
    <w:rsid w:val="00182870"/>
    <w:rsid w:val="00182A8A"/>
    <w:rsid w:val="00182CAA"/>
    <w:rsid w:val="00182D34"/>
    <w:rsid w:val="00182DE8"/>
    <w:rsid w:val="00182E8C"/>
    <w:rsid w:val="00182F80"/>
    <w:rsid w:val="00183561"/>
    <w:rsid w:val="001835E6"/>
    <w:rsid w:val="001836B6"/>
    <w:rsid w:val="00183802"/>
    <w:rsid w:val="00183A35"/>
    <w:rsid w:val="00183AB0"/>
    <w:rsid w:val="00183CD3"/>
    <w:rsid w:val="00183E29"/>
    <w:rsid w:val="0018426C"/>
    <w:rsid w:val="00184335"/>
    <w:rsid w:val="001843A7"/>
    <w:rsid w:val="001843AE"/>
    <w:rsid w:val="00184613"/>
    <w:rsid w:val="001847DE"/>
    <w:rsid w:val="00184945"/>
    <w:rsid w:val="00184A82"/>
    <w:rsid w:val="00184AA2"/>
    <w:rsid w:val="00184AE4"/>
    <w:rsid w:val="00184B5B"/>
    <w:rsid w:val="00184DE5"/>
    <w:rsid w:val="00184ED9"/>
    <w:rsid w:val="0018526A"/>
    <w:rsid w:val="0018544A"/>
    <w:rsid w:val="00185965"/>
    <w:rsid w:val="00185F90"/>
    <w:rsid w:val="0018618E"/>
    <w:rsid w:val="001862DE"/>
    <w:rsid w:val="0018657F"/>
    <w:rsid w:val="00186819"/>
    <w:rsid w:val="001869A5"/>
    <w:rsid w:val="00186D8F"/>
    <w:rsid w:val="0018704B"/>
    <w:rsid w:val="00187360"/>
    <w:rsid w:val="0018748E"/>
    <w:rsid w:val="001874F3"/>
    <w:rsid w:val="00187612"/>
    <w:rsid w:val="00187625"/>
    <w:rsid w:val="001876D8"/>
    <w:rsid w:val="001877E1"/>
    <w:rsid w:val="00187919"/>
    <w:rsid w:val="00187CFA"/>
    <w:rsid w:val="00187E85"/>
    <w:rsid w:val="00187E87"/>
    <w:rsid w:val="00190050"/>
    <w:rsid w:val="00190224"/>
    <w:rsid w:val="00190264"/>
    <w:rsid w:val="00190285"/>
    <w:rsid w:val="0019032C"/>
    <w:rsid w:val="0019039B"/>
    <w:rsid w:val="001905A4"/>
    <w:rsid w:val="00191598"/>
    <w:rsid w:val="001915E3"/>
    <w:rsid w:val="0019162B"/>
    <w:rsid w:val="0019177C"/>
    <w:rsid w:val="001917D7"/>
    <w:rsid w:val="00191BFF"/>
    <w:rsid w:val="00191C8F"/>
    <w:rsid w:val="00192025"/>
    <w:rsid w:val="00192112"/>
    <w:rsid w:val="00192187"/>
    <w:rsid w:val="00192466"/>
    <w:rsid w:val="001925E7"/>
    <w:rsid w:val="00192728"/>
    <w:rsid w:val="00192753"/>
    <w:rsid w:val="00192797"/>
    <w:rsid w:val="001927A8"/>
    <w:rsid w:val="00192AB9"/>
    <w:rsid w:val="00192AEE"/>
    <w:rsid w:val="00192EB2"/>
    <w:rsid w:val="00192EC6"/>
    <w:rsid w:val="00192EEC"/>
    <w:rsid w:val="00193015"/>
    <w:rsid w:val="00193345"/>
    <w:rsid w:val="00193394"/>
    <w:rsid w:val="00193587"/>
    <w:rsid w:val="00193609"/>
    <w:rsid w:val="0019367D"/>
    <w:rsid w:val="0019399F"/>
    <w:rsid w:val="00193AAC"/>
    <w:rsid w:val="00193C02"/>
    <w:rsid w:val="00193DC8"/>
    <w:rsid w:val="00193E12"/>
    <w:rsid w:val="00193FAA"/>
    <w:rsid w:val="001941A2"/>
    <w:rsid w:val="00194269"/>
    <w:rsid w:val="001942A4"/>
    <w:rsid w:val="00194374"/>
    <w:rsid w:val="0019448D"/>
    <w:rsid w:val="0019459D"/>
    <w:rsid w:val="00194635"/>
    <w:rsid w:val="001946F9"/>
    <w:rsid w:val="00194869"/>
    <w:rsid w:val="0019490C"/>
    <w:rsid w:val="001949AD"/>
    <w:rsid w:val="001949EE"/>
    <w:rsid w:val="00194B28"/>
    <w:rsid w:val="00194C63"/>
    <w:rsid w:val="00194E43"/>
    <w:rsid w:val="00194F65"/>
    <w:rsid w:val="00195505"/>
    <w:rsid w:val="00195551"/>
    <w:rsid w:val="00195709"/>
    <w:rsid w:val="00195760"/>
    <w:rsid w:val="001957A2"/>
    <w:rsid w:val="001957F2"/>
    <w:rsid w:val="00195A56"/>
    <w:rsid w:val="00195C59"/>
    <w:rsid w:val="00195C62"/>
    <w:rsid w:val="00195EAD"/>
    <w:rsid w:val="0019602D"/>
    <w:rsid w:val="001965BA"/>
    <w:rsid w:val="00196905"/>
    <w:rsid w:val="00196CB1"/>
    <w:rsid w:val="00196CC6"/>
    <w:rsid w:val="00196E50"/>
    <w:rsid w:val="00196F60"/>
    <w:rsid w:val="0019700A"/>
    <w:rsid w:val="0019705C"/>
    <w:rsid w:val="0019732C"/>
    <w:rsid w:val="001975AE"/>
    <w:rsid w:val="00197C46"/>
    <w:rsid w:val="00197FCD"/>
    <w:rsid w:val="001A00BD"/>
    <w:rsid w:val="001A0122"/>
    <w:rsid w:val="001A021D"/>
    <w:rsid w:val="001A02FF"/>
    <w:rsid w:val="001A03AF"/>
    <w:rsid w:val="001A03FE"/>
    <w:rsid w:val="001A0443"/>
    <w:rsid w:val="001A097A"/>
    <w:rsid w:val="001A09E4"/>
    <w:rsid w:val="001A0A50"/>
    <w:rsid w:val="001A114E"/>
    <w:rsid w:val="001A1244"/>
    <w:rsid w:val="001A12BE"/>
    <w:rsid w:val="001A1380"/>
    <w:rsid w:val="001A1417"/>
    <w:rsid w:val="001A1556"/>
    <w:rsid w:val="001A16D6"/>
    <w:rsid w:val="001A1D25"/>
    <w:rsid w:val="001A1E46"/>
    <w:rsid w:val="001A1EFA"/>
    <w:rsid w:val="001A1F40"/>
    <w:rsid w:val="001A1F8B"/>
    <w:rsid w:val="001A223E"/>
    <w:rsid w:val="001A22D0"/>
    <w:rsid w:val="001A2559"/>
    <w:rsid w:val="001A274B"/>
    <w:rsid w:val="001A279A"/>
    <w:rsid w:val="001A30B2"/>
    <w:rsid w:val="001A37FD"/>
    <w:rsid w:val="001A3B60"/>
    <w:rsid w:val="001A3CB2"/>
    <w:rsid w:val="001A3D24"/>
    <w:rsid w:val="001A3F03"/>
    <w:rsid w:val="001A43FE"/>
    <w:rsid w:val="001A4511"/>
    <w:rsid w:val="001A4801"/>
    <w:rsid w:val="001A4882"/>
    <w:rsid w:val="001A48FA"/>
    <w:rsid w:val="001A4A2A"/>
    <w:rsid w:val="001A4B8F"/>
    <w:rsid w:val="001A4DAC"/>
    <w:rsid w:val="001A4E3C"/>
    <w:rsid w:val="001A4EA7"/>
    <w:rsid w:val="001A509E"/>
    <w:rsid w:val="001A5148"/>
    <w:rsid w:val="001A5253"/>
    <w:rsid w:val="001A53BC"/>
    <w:rsid w:val="001A53DA"/>
    <w:rsid w:val="001A54A2"/>
    <w:rsid w:val="001A55C6"/>
    <w:rsid w:val="001A57CE"/>
    <w:rsid w:val="001A5C8A"/>
    <w:rsid w:val="001A5D2E"/>
    <w:rsid w:val="001A6155"/>
    <w:rsid w:val="001A61EB"/>
    <w:rsid w:val="001A6391"/>
    <w:rsid w:val="001A64F1"/>
    <w:rsid w:val="001A67BC"/>
    <w:rsid w:val="001A691D"/>
    <w:rsid w:val="001A7027"/>
    <w:rsid w:val="001A70BC"/>
    <w:rsid w:val="001A738B"/>
    <w:rsid w:val="001A74A0"/>
    <w:rsid w:val="001A7567"/>
    <w:rsid w:val="001A75A0"/>
    <w:rsid w:val="001A7615"/>
    <w:rsid w:val="001A778F"/>
    <w:rsid w:val="001A7882"/>
    <w:rsid w:val="001A7B16"/>
    <w:rsid w:val="001A7BA7"/>
    <w:rsid w:val="001A7D4C"/>
    <w:rsid w:val="001A7DA9"/>
    <w:rsid w:val="001B01FC"/>
    <w:rsid w:val="001B03B5"/>
    <w:rsid w:val="001B0788"/>
    <w:rsid w:val="001B0839"/>
    <w:rsid w:val="001B0923"/>
    <w:rsid w:val="001B0A1C"/>
    <w:rsid w:val="001B0A99"/>
    <w:rsid w:val="001B1160"/>
    <w:rsid w:val="001B123B"/>
    <w:rsid w:val="001B12D9"/>
    <w:rsid w:val="001B1678"/>
    <w:rsid w:val="001B1720"/>
    <w:rsid w:val="001B1A22"/>
    <w:rsid w:val="001B1B19"/>
    <w:rsid w:val="001B1B5D"/>
    <w:rsid w:val="001B1C77"/>
    <w:rsid w:val="001B2346"/>
    <w:rsid w:val="001B2414"/>
    <w:rsid w:val="001B24C1"/>
    <w:rsid w:val="001B29A8"/>
    <w:rsid w:val="001B2D1C"/>
    <w:rsid w:val="001B305F"/>
    <w:rsid w:val="001B30BB"/>
    <w:rsid w:val="001B3433"/>
    <w:rsid w:val="001B3465"/>
    <w:rsid w:val="001B3535"/>
    <w:rsid w:val="001B364E"/>
    <w:rsid w:val="001B3BC8"/>
    <w:rsid w:val="001B40FC"/>
    <w:rsid w:val="001B429B"/>
    <w:rsid w:val="001B4773"/>
    <w:rsid w:val="001B4791"/>
    <w:rsid w:val="001B47DE"/>
    <w:rsid w:val="001B4C44"/>
    <w:rsid w:val="001B4DB5"/>
    <w:rsid w:val="001B51DB"/>
    <w:rsid w:val="001B5206"/>
    <w:rsid w:val="001B5265"/>
    <w:rsid w:val="001B54FD"/>
    <w:rsid w:val="001B5525"/>
    <w:rsid w:val="001B5790"/>
    <w:rsid w:val="001B579B"/>
    <w:rsid w:val="001B58BA"/>
    <w:rsid w:val="001B5961"/>
    <w:rsid w:val="001B59E5"/>
    <w:rsid w:val="001B59EC"/>
    <w:rsid w:val="001B6054"/>
    <w:rsid w:val="001B6501"/>
    <w:rsid w:val="001B6547"/>
    <w:rsid w:val="001B6584"/>
    <w:rsid w:val="001B6A18"/>
    <w:rsid w:val="001B6AE6"/>
    <w:rsid w:val="001B6D65"/>
    <w:rsid w:val="001B6E7D"/>
    <w:rsid w:val="001B6FE2"/>
    <w:rsid w:val="001B7016"/>
    <w:rsid w:val="001B71F1"/>
    <w:rsid w:val="001B77A6"/>
    <w:rsid w:val="001B78A5"/>
    <w:rsid w:val="001B7904"/>
    <w:rsid w:val="001B795E"/>
    <w:rsid w:val="001B7DE1"/>
    <w:rsid w:val="001B7FA3"/>
    <w:rsid w:val="001C0215"/>
    <w:rsid w:val="001C071B"/>
    <w:rsid w:val="001C0968"/>
    <w:rsid w:val="001C0EA5"/>
    <w:rsid w:val="001C11D9"/>
    <w:rsid w:val="001C1238"/>
    <w:rsid w:val="001C12E9"/>
    <w:rsid w:val="001C136C"/>
    <w:rsid w:val="001C13B9"/>
    <w:rsid w:val="001C186E"/>
    <w:rsid w:val="001C1FCA"/>
    <w:rsid w:val="001C20B3"/>
    <w:rsid w:val="001C20C3"/>
    <w:rsid w:val="001C220C"/>
    <w:rsid w:val="001C2BD7"/>
    <w:rsid w:val="001C2E24"/>
    <w:rsid w:val="001C3044"/>
    <w:rsid w:val="001C3261"/>
    <w:rsid w:val="001C337D"/>
    <w:rsid w:val="001C34C5"/>
    <w:rsid w:val="001C3552"/>
    <w:rsid w:val="001C37D9"/>
    <w:rsid w:val="001C3899"/>
    <w:rsid w:val="001C39E8"/>
    <w:rsid w:val="001C3B64"/>
    <w:rsid w:val="001C3D20"/>
    <w:rsid w:val="001C3E31"/>
    <w:rsid w:val="001C415E"/>
    <w:rsid w:val="001C418D"/>
    <w:rsid w:val="001C4431"/>
    <w:rsid w:val="001C44C0"/>
    <w:rsid w:val="001C451A"/>
    <w:rsid w:val="001C4582"/>
    <w:rsid w:val="001C48B7"/>
    <w:rsid w:val="001C4B8C"/>
    <w:rsid w:val="001C4B91"/>
    <w:rsid w:val="001C4C75"/>
    <w:rsid w:val="001C4D3A"/>
    <w:rsid w:val="001C4E52"/>
    <w:rsid w:val="001C4E9C"/>
    <w:rsid w:val="001C50D2"/>
    <w:rsid w:val="001C53C4"/>
    <w:rsid w:val="001C5561"/>
    <w:rsid w:val="001C5B2B"/>
    <w:rsid w:val="001C5BB7"/>
    <w:rsid w:val="001C5C1E"/>
    <w:rsid w:val="001C5C3E"/>
    <w:rsid w:val="001C6174"/>
    <w:rsid w:val="001C6273"/>
    <w:rsid w:val="001C66E5"/>
    <w:rsid w:val="001C6876"/>
    <w:rsid w:val="001C68A6"/>
    <w:rsid w:val="001C68E6"/>
    <w:rsid w:val="001C6B65"/>
    <w:rsid w:val="001C6E4D"/>
    <w:rsid w:val="001C6EE6"/>
    <w:rsid w:val="001C7091"/>
    <w:rsid w:val="001C724B"/>
    <w:rsid w:val="001C743C"/>
    <w:rsid w:val="001C7A4E"/>
    <w:rsid w:val="001C7FC0"/>
    <w:rsid w:val="001D0040"/>
    <w:rsid w:val="001D0082"/>
    <w:rsid w:val="001D00B6"/>
    <w:rsid w:val="001D0109"/>
    <w:rsid w:val="001D034D"/>
    <w:rsid w:val="001D04FC"/>
    <w:rsid w:val="001D06A6"/>
    <w:rsid w:val="001D0935"/>
    <w:rsid w:val="001D0B78"/>
    <w:rsid w:val="001D0D33"/>
    <w:rsid w:val="001D0E77"/>
    <w:rsid w:val="001D1085"/>
    <w:rsid w:val="001D1337"/>
    <w:rsid w:val="001D153B"/>
    <w:rsid w:val="001D1A9E"/>
    <w:rsid w:val="001D1AAE"/>
    <w:rsid w:val="001D1BB7"/>
    <w:rsid w:val="001D1D56"/>
    <w:rsid w:val="001D1E80"/>
    <w:rsid w:val="001D205E"/>
    <w:rsid w:val="001D2635"/>
    <w:rsid w:val="001D268A"/>
    <w:rsid w:val="001D26B9"/>
    <w:rsid w:val="001D2E6E"/>
    <w:rsid w:val="001D2E83"/>
    <w:rsid w:val="001D3727"/>
    <w:rsid w:val="001D374E"/>
    <w:rsid w:val="001D3CD7"/>
    <w:rsid w:val="001D3F0F"/>
    <w:rsid w:val="001D3F32"/>
    <w:rsid w:val="001D4124"/>
    <w:rsid w:val="001D414D"/>
    <w:rsid w:val="001D446F"/>
    <w:rsid w:val="001D4617"/>
    <w:rsid w:val="001D4639"/>
    <w:rsid w:val="001D46A7"/>
    <w:rsid w:val="001D4A2B"/>
    <w:rsid w:val="001D4B40"/>
    <w:rsid w:val="001D4EB2"/>
    <w:rsid w:val="001D5062"/>
    <w:rsid w:val="001D556F"/>
    <w:rsid w:val="001D56BE"/>
    <w:rsid w:val="001D5DCE"/>
    <w:rsid w:val="001D5E88"/>
    <w:rsid w:val="001D62B3"/>
    <w:rsid w:val="001D642B"/>
    <w:rsid w:val="001D669C"/>
    <w:rsid w:val="001D687E"/>
    <w:rsid w:val="001D6DE3"/>
    <w:rsid w:val="001D6E45"/>
    <w:rsid w:val="001D721C"/>
    <w:rsid w:val="001D7557"/>
    <w:rsid w:val="001D758C"/>
    <w:rsid w:val="001D7673"/>
    <w:rsid w:val="001D76FD"/>
    <w:rsid w:val="001D790D"/>
    <w:rsid w:val="001D79DB"/>
    <w:rsid w:val="001D79E8"/>
    <w:rsid w:val="001D7ABE"/>
    <w:rsid w:val="001D7AEF"/>
    <w:rsid w:val="001D7B6A"/>
    <w:rsid w:val="001D7D93"/>
    <w:rsid w:val="001D7DBC"/>
    <w:rsid w:val="001D7EDB"/>
    <w:rsid w:val="001E00E1"/>
    <w:rsid w:val="001E037D"/>
    <w:rsid w:val="001E03A1"/>
    <w:rsid w:val="001E06C6"/>
    <w:rsid w:val="001E0943"/>
    <w:rsid w:val="001E0DC6"/>
    <w:rsid w:val="001E0FAF"/>
    <w:rsid w:val="001E1004"/>
    <w:rsid w:val="001E11CD"/>
    <w:rsid w:val="001E1254"/>
    <w:rsid w:val="001E12AA"/>
    <w:rsid w:val="001E1571"/>
    <w:rsid w:val="001E184E"/>
    <w:rsid w:val="001E18B3"/>
    <w:rsid w:val="001E19F7"/>
    <w:rsid w:val="001E1A1D"/>
    <w:rsid w:val="001E1A77"/>
    <w:rsid w:val="001E1A7F"/>
    <w:rsid w:val="001E1A89"/>
    <w:rsid w:val="001E1E79"/>
    <w:rsid w:val="001E1ECF"/>
    <w:rsid w:val="001E211D"/>
    <w:rsid w:val="001E2185"/>
    <w:rsid w:val="001E237F"/>
    <w:rsid w:val="001E2404"/>
    <w:rsid w:val="001E253C"/>
    <w:rsid w:val="001E274A"/>
    <w:rsid w:val="001E28F9"/>
    <w:rsid w:val="001E29D4"/>
    <w:rsid w:val="001E2A9E"/>
    <w:rsid w:val="001E2C83"/>
    <w:rsid w:val="001E2E12"/>
    <w:rsid w:val="001E31E1"/>
    <w:rsid w:val="001E32BB"/>
    <w:rsid w:val="001E347E"/>
    <w:rsid w:val="001E3588"/>
    <w:rsid w:val="001E37B7"/>
    <w:rsid w:val="001E38C4"/>
    <w:rsid w:val="001E39CE"/>
    <w:rsid w:val="001E3B29"/>
    <w:rsid w:val="001E3EDD"/>
    <w:rsid w:val="001E3FD1"/>
    <w:rsid w:val="001E4198"/>
    <w:rsid w:val="001E446A"/>
    <w:rsid w:val="001E448E"/>
    <w:rsid w:val="001E449F"/>
    <w:rsid w:val="001E465F"/>
    <w:rsid w:val="001E4739"/>
    <w:rsid w:val="001E4973"/>
    <w:rsid w:val="001E4A47"/>
    <w:rsid w:val="001E4F5B"/>
    <w:rsid w:val="001E50B4"/>
    <w:rsid w:val="001E54C7"/>
    <w:rsid w:val="001E5688"/>
    <w:rsid w:val="001E586C"/>
    <w:rsid w:val="001E5CDB"/>
    <w:rsid w:val="001E659C"/>
    <w:rsid w:val="001E6647"/>
    <w:rsid w:val="001E67B1"/>
    <w:rsid w:val="001E6849"/>
    <w:rsid w:val="001E6C4E"/>
    <w:rsid w:val="001E6DC0"/>
    <w:rsid w:val="001E6E16"/>
    <w:rsid w:val="001E6EA8"/>
    <w:rsid w:val="001E74CE"/>
    <w:rsid w:val="001E765B"/>
    <w:rsid w:val="001E7747"/>
    <w:rsid w:val="001E77C1"/>
    <w:rsid w:val="001E79DA"/>
    <w:rsid w:val="001E7CBC"/>
    <w:rsid w:val="001E7D55"/>
    <w:rsid w:val="001E7E36"/>
    <w:rsid w:val="001F0009"/>
    <w:rsid w:val="001F0117"/>
    <w:rsid w:val="001F08EB"/>
    <w:rsid w:val="001F0996"/>
    <w:rsid w:val="001F09D0"/>
    <w:rsid w:val="001F0F55"/>
    <w:rsid w:val="001F0F82"/>
    <w:rsid w:val="001F1191"/>
    <w:rsid w:val="001F129B"/>
    <w:rsid w:val="001F12E9"/>
    <w:rsid w:val="001F146E"/>
    <w:rsid w:val="001F1594"/>
    <w:rsid w:val="001F16A5"/>
    <w:rsid w:val="001F17F4"/>
    <w:rsid w:val="001F1939"/>
    <w:rsid w:val="001F19F9"/>
    <w:rsid w:val="001F22A8"/>
    <w:rsid w:val="001F2580"/>
    <w:rsid w:val="001F2583"/>
    <w:rsid w:val="001F25C1"/>
    <w:rsid w:val="001F260A"/>
    <w:rsid w:val="001F276F"/>
    <w:rsid w:val="001F285A"/>
    <w:rsid w:val="001F2909"/>
    <w:rsid w:val="001F29B6"/>
    <w:rsid w:val="001F2A64"/>
    <w:rsid w:val="001F2F59"/>
    <w:rsid w:val="001F30B6"/>
    <w:rsid w:val="001F32EC"/>
    <w:rsid w:val="001F3435"/>
    <w:rsid w:val="001F3506"/>
    <w:rsid w:val="001F3551"/>
    <w:rsid w:val="001F35D8"/>
    <w:rsid w:val="001F35FE"/>
    <w:rsid w:val="001F3738"/>
    <w:rsid w:val="001F3B8D"/>
    <w:rsid w:val="001F3BB1"/>
    <w:rsid w:val="001F3E7E"/>
    <w:rsid w:val="001F3F72"/>
    <w:rsid w:val="001F435C"/>
    <w:rsid w:val="001F4419"/>
    <w:rsid w:val="001F486E"/>
    <w:rsid w:val="001F4958"/>
    <w:rsid w:val="001F4966"/>
    <w:rsid w:val="001F4BB6"/>
    <w:rsid w:val="001F4F29"/>
    <w:rsid w:val="001F5028"/>
    <w:rsid w:val="001F5071"/>
    <w:rsid w:val="001F51B1"/>
    <w:rsid w:val="001F5250"/>
    <w:rsid w:val="001F549F"/>
    <w:rsid w:val="001F551D"/>
    <w:rsid w:val="001F5631"/>
    <w:rsid w:val="001F56A7"/>
    <w:rsid w:val="001F56E8"/>
    <w:rsid w:val="001F5930"/>
    <w:rsid w:val="001F5B2F"/>
    <w:rsid w:val="001F5BB0"/>
    <w:rsid w:val="001F5D7B"/>
    <w:rsid w:val="001F5DB2"/>
    <w:rsid w:val="001F5ECA"/>
    <w:rsid w:val="001F5F24"/>
    <w:rsid w:val="001F5F60"/>
    <w:rsid w:val="001F5F72"/>
    <w:rsid w:val="001F61AA"/>
    <w:rsid w:val="001F61C9"/>
    <w:rsid w:val="001F63BF"/>
    <w:rsid w:val="001F675C"/>
    <w:rsid w:val="001F6992"/>
    <w:rsid w:val="001F6C36"/>
    <w:rsid w:val="001F6FB7"/>
    <w:rsid w:val="001F6FE1"/>
    <w:rsid w:val="001F7209"/>
    <w:rsid w:val="001F78F6"/>
    <w:rsid w:val="001F7950"/>
    <w:rsid w:val="001F79BC"/>
    <w:rsid w:val="00200140"/>
    <w:rsid w:val="002001E0"/>
    <w:rsid w:val="002003A9"/>
    <w:rsid w:val="002004C1"/>
    <w:rsid w:val="00200877"/>
    <w:rsid w:val="00200B27"/>
    <w:rsid w:val="00200CBB"/>
    <w:rsid w:val="00200DFC"/>
    <w:rsid w:val="002010E9"/>
    <w:rsid w:val="00201271"/>
    <w:rsid w:val="002012B7"/>
    <w:rsid w:val="002012DC"/>
    <w:rsid w:val="00201366"/>
    <w:rsid w:val="002013BA"/>
    <w:rsid w:val="00201528"/>
    <w:rsid w:val="002015A0"/>
    <w:rsid w:val="00201671"/>
    <w:rsid w:val="00201698"/>
    <w:rsid w:val="002018CA"/>
    <w:rsid w:val="002021E4"/>
    <w:rsid w:val="0020225C"/>
    <w:rsid w:val="00202425"/>
    <w:rsid w:val="00202523"/>
    <w:rsid w:val="00202849"/>
    <w:rsid w:val="00202BC9"/>
    <w:rsid w:val="00202C18"/>
    <w:rsid w:val="00202FDC"/>
    <w:rsid w:val="0020301F"/>
    <w:rsid w:val="00203022"/>
    <w:rsid w:val="0020310B"/>
    <w:rsid w:val="002032D9"/>
    <w:rsid w:val="00203375"/>
    <w:rsid w:val="002036CA"/>
    <w:rsid w:val="002036DD"/>
    <w:rsid w:val="00203D6D"/>
    <w:rsid w:val="00203F11"/>
    <w:rsid w:val="002042FF"/>
    <w:rsid w:val="00204391"/>
    <w:rsid w:val="002046E7"/>
    <w:rsid w:val="002048C7"/>
    <w:rsid w:val="00204C27"/>
    <w:rsid w:val="00204CE3"/>
    <w:rsid w:val="00205095"/>
    <w:rsid w:val="002050A2"/>
    <w:rsid w:val="00205117"/>
    <w:rsid w:val="00205189"/>
    <w:rsid w:val="00205448"/>
    <w:rsid w:val="0020553A"/>
    <w:rsid w:val="00205582"/>
    <w:rsid w:val="00205844"/>
    <w:rsid w:val="00205854"/>
    <w:rsid w:val="00205902"/>
    <w:rsid w:val="00205945"/>
    <w:rsid w:val="00205949"/>
    <w:rsid w:val="0020595D"/>
    <w:rsid w:val="0020595F"/>
    <w:rsid w:val="0020596D"/>
    <w:rsid w:val="0020596E"/>
    <w:rsid w:val="002059C4"/>
    <w:rsid w:val="00205A34"/>
    <w:rsid w:val="00205DD8"/>
    <w:rsid w:val="00205EDB"/>
    <w:rsid w:val="00206224"/>
    <w:rsid w:val="00206310"/>
    <w:rsid w:val="00206602"/>
    <w:rsid w:val="00206658"/>
    <w:rsid w:val="00206764"/>
    <w:rsid w:val="00206832"/>
    <w:rsid w:val="002068A6"/>
    <w:rsid w:val="00206ABD"/>
    <w:rsid w:val="00206B8C"/>
    <w:rsid w:val="00206DA1"/>
    <w:rsid w:val="00206DE5"/>
    <w:rsid w:val="00206E65"/>
    <w:rsid w:val="00206EC7"/>
    <w:rsid w:val="00206EC9"/>
    <w:rsid w:val="00206ED6"/>
    <w:rsid w:val="00207292"/>
    <w:rsid w:val="00207333"/>
    <w:rsid w:val="002078A5"/>
    <w:rsid w:val="002078DD"/>
    <w:rsid w:val="00207D07"/>
    <w:rsid w:val="00207DBE"/>
    <w:rsid w:val="00207E81"/>
    <w:rsid w:val="00207F3E"/>
    <w:rsid w:val="002101BC"/>
    <w:rsid w:val="00210321"/>
    <w:rsid w:val="00210361"/>
    <w:rsid w:val="002105F8"/>
    <w:rsid w:val="002107F0"/>
    <w:rsid w:val="0021083D"/>
    <w:rsid w:val="002108B1"/>
    <w:rsid w:val="00210A08"/>
    <w:rsid w:val="00210B2A"/>
    <w:rsid w:val="00210DB4"/>
    <w:rsid w:val="00210DF2"/>
    <w:rsid w:val="00210E1A"/>
    <w:rsid w:val="00210FED"/>
    <w:rsid w:val="0021118A"/>
    <w:rsid w:val="00211290"/>
    <w:rsid w:val="00211330"/>
    <w:rsid w:val="00211472"/>
    <w:rsid w:val="0021188C"/>
    <w:rsid w:val="00211947"/>
    <w:rsid w:val="00211A6B"/>
    <w:rsid w:val="00211B0A"/>
    <w:rsid w:val="00211CFD"/>
    <w:rsid w:val="00211DB9"/>
    <w:rsid w:val="00211F43"/>
    <w:rsid w:val="00212028"/>
    <w:rsid w:val="00212148"/>
    <w:rsid w:val="0021243B"/>
    <w:rsid w:val="002124FB"/>
    <w:rsid w:val="00212598"/>
    <w:rsid w:val="002126E7"/>
    <w:rsid w:val="00212712"/>
    <w:rsid w:val="00212784"/>
    <w:rsid w:val="00212788"/>
    <w:rsid w:val="0021279C"/>
    <w:rsid w:val="002129AF"/>
    <w:rsid w:val="002129E9"/>
    <w:rsid w:val="00212A90"/>
    <w:rsid w:val="00212B0F"/>
    <w:rsid w:val="00212E4D"/>
    <w:rsid w:val="00212F3A"/>
    <w:rsid w:val="00213096"/>
    <w:rsid w:val="0021314F"/>
    <w:rsid w:val="002132C1"/>
    <w:rsid w:val="002132EC"/>
    <w:rsid w:val="002139E0"/>
    <w:rsid w:val="0021423B"/>
    <w:rsid w:val="00214284"/>
    <w:rsid w:val="002142CF"/>
    <w:rsid w:val="00214368"/>
    <w:rsid w:val="00214427"/>
    <w:rsid w:val="0021446D"/>
    <w:rsid w:val="0021452B"/>
    <w:rsid w:val="002145E5"/>
    <w:rsid w:val="00214860"/>
    <w:rsid w:val="00214BE0"/>
    <w:rsid w:val="0021531B"/>
    <w:rsid w:val="00215322"/>
    <w:rsid w:val="0021550E"/>
    <w:rsid w:val="0021567E"/>
    <w:rsid w:val="00215694"/>
    <w:rsid w:val="002156A6"/>
    <w:rsid w:val="00215780"/>
    <w:rsid w:val="00215833"/>
    <w:rsid w:val="00215A04"/>
    <w:rsid w:val="00215A14"/>
    <w:rsid w:val="00215A97"/>
    <w:rsid w:val="00215C03"/>
    <w:rsid w:val="00215E1E"/>
    <w:rsid w:val="00215F46"/>
    <w:rsid w:val="0021608D"/>
    <w:rsid w:val="00216096"/>
    <w:rsid w:val="0021626D"/>
    <w:rsid w:val="00216481"/>
    <w:rsid w:val="002165C3"/>
    <w:rsid w:val="0021678B"/>
    <w:rsid w:val="00216916"/>
    <w:rsid w:val="00216B66"/>
    <w:rsid w:val="00216BF1"/>
    <w:rsid w:val="00216C89"/>
    <w:rsid w:val="00216EB6"/>
    <w:rsid w:val="00216ED9"/>
    <w:rsid w:val="00216EDA"/>
    <w:rsid w:val="00216EEB"/>
    <w:rsid w:val="00217150"/>
    <w:rsid w:val="00217208"/>
    <w:rsid w:val="002173DC"/>
    <w:rsid w:val="00217402"/>
    <w:rsid w:val="00217403"/>
    <w:rsid w:val="002174F7"/>
    <w:rsid w:val="0021775B"/>
    <w:rsid w:val="00217A78"/>
    <w:rsid w:val="00217BCB"/>
    <w:rsid w:val="00217C61"/>
    <w:rsid w:val="00217D3C"/>
    <w:rsid w:val="00217E15"/>
    <w:rsid w:val="00217E8F"/>
    <w:rsid w:val="00217F06"/>
    <w:rsid w:val="002200E6"/>
    <w:rsid w:val="002200F1"/>
    <w:rsid w:val="0022029B"/>
    <w:rsid w:val="00220A5C"/>
    <w:rsid w:val="00220B7C"/>
    <w:rsid w:val="00220CF3"/>
    <w:rsid w:val="00220F6A"/>
    <w:rsid w:val="002210AB"/>
    <w:rsid w:val="00221500"/>
    <w:rsid w:val="0022180F"/>
    <w:rsid w:val="00221ABD"/>
    <w:rsid w:val="00221B34"/>
    <w:rsid w:val="00221BC9"/>
    <w:rsid w:val="00221D41"/>
    <w:rsid w:val="00221FC1"/>
    <w:rsid w:val="002220AC"/>
    <w:rsid w:val="002221B5"/>
    <w:rsid w:val="00222268"/>
    <w:rsid w:val="00222320"/>
    <w:rsid w:val="00222705"/>
    <w:rsid w:val="00222A31"/>
    <w:rsid w:val="00222B05"/>
    <w:rsid w:val="00222CBD"/>
    <w:rsid w:val="00222CE6"/>
    <w:rsid w:val="00222E75"/>
    <w:rsid w:val="00223002"/>
    <w:rsid w:val="00223043"/>
    <w:rsid w:val="002233F3"/>
    <w:rsid w:val="00223494"/>
    <w:rsid w:val="0022365A"/>
    <w:rsid w:val="00223660"/>
    <w:rsid w:val="0022388A"/>
    <w:rsid w:val="00223975"/>
    <w:rsid w:val="00223B48"/>
    <w:rsid w:val="00224071"/>
    <w:rsid w:val="002241F6"/>
    <w:rsid w:val="00224223"/>
    <w:rsid w:val="002243D3"/>
    <w:rsid w:val="002246BB"/>
    <w:rsid w:val="00224889"/>
    <w:rsid w:val="002248ED"/>
    <w:rsid w:val="00224970"/>
    <w:rsid w:val="002249FB"/>
    <w:rsid w:val="00224BB1"/>
    <w:rsid w:val="00224BC1"/>
    <w:rsid w:val="00224C8E"/>
    <w:rsid w:val="00224CF0"/>
    <w:rsid w:val="00224E87"/>
    <w:rsid w:val="00224F99"/>
    <w:rsid w:val="0022518F"/>
    <w:rsid w:val="002253DE"/>
    <w:rsid w:val="00225578"/>
    <w:rsid w:val="00225E42"/>
    <w:rsid w:val="00225FB4"/>
    <w:rsid w:val="0022606E"/>
    <w:rsid w:val="002260A6"/>
    <w:rsid w:val="00226141"/>
    <w:rsid w:val="002263AD"/>
    <w:rsid w:val="002263B7"/>
    <w:rsid w:val="00226644"/>
    <w:rsid w:val="0022676A"/>
    <w:rsid w:val="00226874"/>
    <w:rsid w:val="002268D9"/>
    <w:rsid w:val="00226957"/>
    <w:rsid w:val="00226ACE"/>
    <w:rsid w:val="00226D0C"/>
    <w:rsid w:val="00226D4B"/>
    <w:rsid w:val="00226F82"/>
    <w:rsid w:val="00227356"/>
    <w:rsid w:val="00227366"/>
    <w:rsid w:val="00227486"/>
    <w:rsid w:val="00227508"/>
    <w:rsid w:val="0022762C"/>
    <w:rsid w:val="00227A79"/>
    <w:rsid w:val="00227B4C"/>
    <w:rsid w:val="00227C32"/>
    <w:rsid w:val="00227F86"/>
    <w:rsid w:val="002300B5"/>
    <w:rsid w:val="002302A6"/>
    <w:rsid w:val="0023030A"/>
    <w:rsid w:val="002306F8"/>
    <w:rsid w:val="0023079A"/>
    <w:rsid w:val="002308C1"/>
    <w:rsid w:val="00230A20"/>
    <w:rsid w:val="00230C13"/>
    <w:rsid w:val="00230C34"/>
    <w:rsid w:val="00230C8D"/>
    <w:rsid w:val="00230DB1"/>
    <w:rsid w:val="00230E2A"/>
    <w:rsid w:val="00230F38"/>
    <w:rsid w:val="00230F8F"/>
    <w:rsid w:val="0023107B"/>
    <w:rsid w:val="0023116F"/>
    <w:rsid w:val="00231493"/>
    <w:rsid w:val="00231532"/>
    <w:rsid w:val="00231537"/>
    <w:rsid w:val="002315A3"/>
    <w:rsid w:val="002317CA"/>
    <w:rsid w:val="00231A82"/>
    <w:rsid w:val="00231C91"/>
    <w:rsid w:val="00231D6C"/>
    <w:rsid w:val="00231DB6"/>
    <w:rsid w:val="00231E32"/>
    <w:rsid w:val="00231E85"/>
    <w:rsid w:val="00231EA5"/>
    <w:rsid w:val="00231EB1"/>
    <w:rsid w:val="00231EFD"/>
    <w:rsid w:val="002321A1"/>
    <w:rsid w:val="002321FC"/>
    <w:rsid w:val="002324CE"/>
    <w:rsid w:val="00232567"/>
    <w:rsid w:val="00232630"/>
    <w:rsid w:val="00232DFF"/>
    <w:rsid w:val="00232E58"/>
    <w:rsid w:val="00233163"/>
    <w:rsid w:val="00233424"/>
    <w:rsid w:val="00233620"/>
    <w:rsid w:val="0023392B"/>
    <w:rsid w:val="00233931"/>
    <w:rsid w:val="00233BD6"/>
    <w:rsid w:val="00233D7B"/>
    <w:rsid w:val="00233D82"/>
    <w:rsid w:val="00233F55"/>
    <w:rsid w:val="00233F79"/>
    <w:rsid w:val="002341DB"/>
    <w:rsid w:val="002343AB"/>
    <w:rsid w:val="002343D7"/>
    <w:rsid w:val="00234709"/>
    <w:rsid w:val="0023479E"/>
    <w:rsid w:val="0023481B"/>
    <w:rsid w:val="0023487F"/>
    <w:rsid w:val="00234AD9"/>
    <w:rsid w:val="00234E7E"/>
    <w:rsid w:val="00234ECC"/>
    <w:rsid w:val="002351B1"/>
    <w:rsid w:val="002353DB"/>
    <w:rsid w:val="0023548B"/>
    <w:rsid w:val="00235645"/>
    <w:rsid w:val="0023568B"/>
    <w:rsid w:val="002356C1"/>
    <w:rsid w:val="00235DA9"/>
    <w:rsid w:val="00235DE0"/>
    <w:rsid w:val="00235E28"/>
    <w:rsid w:val="0023606A"/>
    <w:rsid w:val="002362B1"/>
    <w:rsid w:val="00236760"/>
    <w:rsid w:val="0023676B"/>
    <w:rsid w:val="00236BD1"/>
    <w:rsid w:val="00236BEA"/>
    <w:rsid w:val="00236C0D"/>
    <w:rsid w:val="00236DF1"/>
    <w:rsid w:val="00236F49"/>
    <w:rsid w:val="00236FE7"/>
    <w:rsid w:val="002370ED"/>
    <w:rsid w:val="002375E1"/>
    <w:rsid w:val="0023771F"/>
    <w:rsid w:val="00237A07"/>
    <w:rsid w:val="00237AC8"/>
    <w:rsid w:val="00237DDC"/>
    <w:rsid w:val="00237DFD"/>
    <w:rsid w:val="00237E1B"/>
    <w:rsid w:val="00237F76"/>
    <w:rsid w:val="00237FFD"/>
    <w:rsid w:val="00240022"/>
    <w:rsid w:val="00240031"/>
    <w:rsid w:val="0024004A"/>
    <w:rsid w:val="002400FB"/>
    <w:rsid w:val="002401E2"/>
    <w:rsid w:val="002402E0"/>
    <w:rsid w:val="002405B5"/>
    <w:rsid w:val="002405BC"/>
    <w:rsid w:val="00240662"/>
    <w:rsid w:val="002406A0"/>
    <w:rsid w:val="002406F1"/>
    <w:rsid w:val="002409BF"/>
    <w:rsid w:val="00240BC6"/>
    <w:rsid w:val="00240C9E"/>
    <w:rsid w:val="00240FD0"/>
    <w:rsid w:val="00241174"/>
    <w:rsid w:val="00241670"/>
    <w:rsid w:val="0024196D"/>
    <w:rsid w:val="00241B9F"/>
    <w:rsid w:val="00241C06"/>
    <w:rsid w:val="00241E33"/>
    <w:rsid w:val="00241E94"/>
    <w:rsid w:val="002421B9"/>
    <w:rsid w:val="0024243A"/>
    <w:rsid w:val="00242822"/>
    <w:rsid w:val="00242827"/>
    <w:rsid w:val="00242B4E"/>
    <w:rsid w:val="00242C05"/>
    <w:rsid w:val="00242E80"/>
    <w:rsid w:val="00242FE9"/>
    <w:rsid w:val="00243087"/>
    <w:rsid w:val="002430D1"/>
    <w:rsid w:val="002432AF"/>
    <w:rsid w:val="002434F6"/>
    <w:rsid w:val="00243A9D"/>
    <w:rsid w:val="00243ACD"/>
    <w:rsid w:val="00243BFA"/>
    <w:rsid w:val="00243F9B"/>
    <w:rsid w:val="00244079"/>
    <w:rsid w:val="00244621"/>
    <w:rsid w:val="00244712"/>
    <w:rsid w:val="00244B33"/>
    <w:rsid w:val="00244E78"/>
    <w:rsid w:val="002451E9"/>
    <w:rsid w:val="00245234"/>
    <w:rsid w:val="0024545A"/>
    <w:rsid w:val="0024553E"/>
    <w:rsid w:val="0024570E"/>
    <w:rsid w:val="002457E5"/>
    <w:rsid w:val="00245838"/>
    <w:rsid w:val="0024586D"/>
    <w:rsid w:val="002458FA"/>
    <w:rsid w:val="00245B29"/>
    <w:rsid w:val="00245BEA"/>
    <w:rsid w:val="00245C90"/>
    <w:rsid w:val="00245E7E"/>
    <w:rsid w:val="002460F3"/>
    <w:rsid w:val="00246566"/>
    <w:rsid w:val="00246594"/>
    <w:rsid w:val="002465D3"/>
    <w:rsid w:val="00246C31"/>
    <w:rsid w:val="00246D29"/>
    <w:rsid w:val="00246D2E"/>
    <w:rsid w:val="00246DB6"/>
    <w:rsid w:val="00246E7F"/>
    <w:rsid w:val="00246FA7"/>
    <w:rsid w:val="00247350"/>
    <w:rsid w:val="002473F6"/>
    <w:rsid w:val="00247BC4"/>
    <w:rsid w:val="002500F3"/>
    <w:rsid w:val="002502BB"/>
    <w:rsid w:val="002504C8"/>
    <w:rsid w:val="0025062A"/>
    <w:rsid w:val="00250708"/>
    <w:rsid w:val="00250965"/>
    <w:rsid w:val="00250D40"/>
    <w:rsid w:val="00250D42"/>
    <w:rsid w:val="00250E30"/>
    <w:rsid w:val="002511C3"/>
    <w:rsid w:val="0025163E"/>
    <w:rsid w:val="00251692"/>
    <w:rsid w:val="00251869"/>
    <w:rsid w:val="00251964"/>
    <w:rsid w:val="00251982"/>
    <w:rsid w:val="00251C13"/>
    <w:rsid w:val="00251C95"/>
    <w:rsid w:val="00251F5E"/>
    <w:rsid w:val="00251FC9"/>
    <w:rsid w:val="002520B3"/>
    <w:rsid w:val="002520FA"/>
    <w:rsid w:val="00252359"/>
    <w:rsid w:val="00252389"/>
    <w:rsid w:val="0025250C"/>
    <w:rsid w:val="00252536"/>
    <w:rsid w:val="0025257A"/>
    <w:rsid w:val="002525B0"/>
    <w:rsid w:val="00252D70"/>
    <w:rsid w:val="00252D80"/>
    <w:rsid w:val="00252F75"/>
    <w:rsid w:val="00252FD2"/>
    <w:rsid w:val="002535F9"/>
    <w:rsid w:val="002536CE"/>
    <w:rsid w:val="002538DA"/>
    <w:rsid w:val="00253953"/>
    <w:rsid w:val="00253A6B"/>
    <w:rsid w:val="00254029"/>
    <w:rsid w:val="002541B7"/>
    <w:rsid w:val="002541CD"/>
    <w:rsid w:val="0025475A"/>
    <w:rsid w:val="00254869"/>
    <w:rsid w:val="0025487C"/>
    <w:rsid w:val="00254AC6"/>
    <w:rsid w:val="00254BAB"/>
    <w:rsid w:val="00254BC3"/>
    <w:rsid w:val="00254CCE"/>
    <w:rsid w:val="00254D8E"/>
    <w:rsid w:val="00254EFA"/>
    <w:rsid w:val="002551C4"/>
    <w:rsid w:val="002555C2"/>
    <w:rsid w:val="0025575C"/>
    <w:rsid w:val="002557C2"/>
    <w:rsid w:val="002557C8"/>
    <w:rsid w:val="0025597C"/>
    <w:rsid w:val="00255D69"/>
    <w:rsid w:val="00255F1B"/>
    <w:rsid w:val="00255F72"/>
    <w:rsid w:val="00255F8E"/>
    <w:rsid w:val="0025602E"/>
    <w:rsid w:val="00256740"/>
    <w:rsid w:val="002567ED"/>
    <w:rsid w:val="00256A2A"/>
    <w:rsid w:val="00256AE8"/>
    <w:rsid w:val="00256B97"/>
    <w:rsid w:val="00256BAE"/>
    <w:rsid w:val="00256D06"/>
    <w:rsid w:val="00256DE0"/>
    <w:rsid w:val="00257026"/>
    <w:rsid w:val="00257124"/>
    <w:rsid w:val="002571D9"/>
    <w:rsid w:val="00257276"/>
    <w:rsid w:val="00257642"/>
    <w:rsid w:val="002576FF"/>
    <w:rsid w:val="0025778E"/>
    <w:rsid w:val="002577E7"/>
    <w:rsid w:val="002577EF"/>
    <w:rsid w:val="00257A0A"/>
    <w:rsid w:val="00257A3C"/>
    <w:rsid w:val="00257A4B"/>
    <w:rsid w:val="00257CCD"/>
    <w:rsid w:val="00257DB3"/>
    <w:rsid w:val="00257E10"/>
    <w:rsid w:val="0026003C"/>
    <w:rsid w:val="00260214"/>
    <w:rsid w:val="0026078C"/>
    <w:rsid w:val="00260A9C"/>
    <w:rsid w:val="00260ABB"/>
    <w:rsid w:val="00260B86"/>
    <w:rsid w:val="00260C15"/>
    <w:rsid w:val="00260C8A"/>
    <w:rsid w:val="00260DAD"/>
    <w:rsid w:val="0026124D"/>
    <w:rsid w:val="002612A3"/>
    <w:rsid w:val="00261387"/>
    <w:rsid w:val="00261A59"/>
    <w:rsid w:val="00261AF2"/>
    <w:rsid w:val="00261B5B"/>
    <w:rsid w:val="00261C42"/>
    <w:rsid w:val="00261D1B"/>
    <w:rsid w:val="00261EB2"/>
    <w:rsid w:val="0026245E"/>
    <w:rsid w:val="002624BE"/>
    <w:rsid w:val="00262875"/>
    <w:rsid w:val="00262A3F"/>
    <w:rsid w:val="00262C4F"/>
    <w:rsid w:val="00262C9A"/>
    <w:rsid w:val="00262D18"/>
    <w:rsid w:val="00262E12"/>
    <w:rsid w:val="0026327E"/>
    <w:rsid w:val="002635F8"/>
    <w:rsid w:val="0026372B"/>
    <w:rsid w:val="00263791"/>
    <w:rsid w:val="0026387D"/>
    <w:rsid w:val="00263A4E"/>
    <w:rsid w:val="00263B67"/>
    <w:rsid w:val="00263B72"/>
    <w:rsid w:val="00263DC8"/>
    <w:rsid w:val="00264088"/>
    <w:rsid w:val="00264333"/>
    <w:rsid w:val="002643CA"/>
    <w:rsid w:val="002644D6"/>
    <w:rsid w:val="00264547"/>
    <w:rsid w:val="0026454F"/>
    <w:rsid w:val="00264732"/>
    <w:rsid w:val="0026482D"/>
    <w:rsid w:val="0026493B"/>
    <w:rsid w:val="00264B34"/>
    <w:rsid w:val="00265255"/>
    <w:rsid w:val="00265285"/>
    <w:rsid w:val="002653DD"/>
    <w:rsid w:val="0026552E"/>
    <w:rsid w:val="0026563A"/>
    <w:rsid w:val="00265862"/>
    <w:rsid w:val="00265A84"/>
    <w:rsid w:val="00265C94"/>
    <w:rsid w:val="00265DF4"/>
    <w:rsid w:val="002666A8"/>
    <w:rsid w:val="00266709"/>
    <w:rsid w:val="002669A6"/>
    <w:rsid w:val="00266AF6"/>
    <w:rsid w:val="00266DA9"/>
    <w:rsid w:val="00266E0E"/>
    <w:rsid w:val="00266EAB"/>
    <w:rsid w:val="0026738D"/>
    <w:rsid w:val="0026782B"/>
    <w:rsid w:val="0026785D"/>
    <w:rsid w:val="00267C54"/>
    <w:rsid w:val="00267D34"/>
    <w:rsid w:val="00267DEB"/>
    <w:rsid w:val="00270272"/>
    <w:rsid w:val="002702C7"/>
    <w:rsid w:val="002707D6"/>
    <w:rsid w:val="00270C59"/>
    <w:rsid w:val="00270C6E"/>
    <w:rsid w:val="00270D92"/>
    <w:rsid w:val="00270EC3"/>
    <w:rsid w:val="002711AF"/>
    <w:rsid w:val="002714F8"/>
    <w:rsid w:val="0027155B"/>
    <w:rsid w:val="00271AA0"/>
    <w:rsid w:val="00271CFD"/>
    <w:rsid w:val="00271E5F"/>
    <w:rsid w:val="002723FD"/>
    <w:rsid w:val="0027261A"/>
    <w:rsid w:val="00272659"/>
    <w:rsid w:val="00272683"/>
    <w:rsid w:val="0027275A"/>
    <w:rsid w:val="002727B7"/>
    <w:rsid w:val="00272BD0"/>
    <w:rsid w:val="00272DDC"/>
    <w:rsid w:val="00272EC4"/>
    <w:rsid w:val="002730F6"/>
    <w:rsid w:val="0027318E"/>
    <w:rsid w:val="0027323A"/>
    <w:rsid w:val="0027326D"/>
    <w:rsid w:val="002733FA"/>
    <w:rsid w:val="002737AB"/>
    <w:rsid w:val="00273836"/>
    <w:rsid w:val="00273AAE"/>
    <w:rsid w:val="00273F17"/>
    <w:rsid w:val="00273F26"/>
    <w:rsid w:val="002742F4"/>
    <w:rsid w:val="0027478C"/>
    <w:rsid w:val="00274808"/>
    <w:rsid w:val="00274827"/>
    <w:rsid w:val="002748ED"/>
    <w:rsid w:val="00274980"/>
    <w:rsid w:val="00274A79"/>
    <w:rsid w:val="00274B3E"/>
    <w:rsid w:val="00274EEC"/>
    <w:rsid w:val="00274FF7"/>
    <w:rsid w:val="002753B4"/>
    <w:rsid w:val="0027541F"/>
    <w:rsid w:val="00275443"/>
    <w:rsid w:val="00275530"/>
    <w:rsid w:val="002755D3"/>
    <w:rsid w:val="00275791"/>
    <w:rsid w:val="002759FB"/>
    <w:rsid w:val="00275BAE"/>
    <w:rsid w:val="00275F15"/>
    <w:rsid w:val="00276183"/>
    <w:rsid w:val="002762D0"/>
    <w:rsid w:val="0027660B"/>
    <w:rsid w:val="00276644"/>
    <w:rsid w:val="002767B3"/>
    <w:rsid w:val="002768B9"/>
    <w:rsid w:val="00276A43"/>
    <w:rsid w:val="00276A58"/>
    <w:rsid w:val="00276C57"/>
    <w:rsid w:val="00276C90"/>
    <w:rsid w:val="00276D36"/>
    <w:rsid w:val="00276DD6"/>
    <w:rsid w:val="00276E52"/>
    <w:rsid w:val="00276F8F"/>
    <w:rsid w:val="00276FFF"/>
    <w:rsid w:val="002774DB"/>
    <w:rsid w:val="002776B3"/>
    <w:rsid w:val="00277B39"/>
    <w:rsid w:val="00277C7D"/>
    <w:rsid w:val="00277DB0"/>
    <w:rsid w:val="00277E9B"/>
    <w:rsid w:val="00277FC0"/>
    <w:rsid w:val="002800B7"/>
    <w:rsid w:val="0028023F"/>
    <w:rsid w:val="00280543"/>
    <w:rsid w:val="002805A1"/>
    <w:rsid w:val="00280877"/>
    <w:rsid w:val="002809E2"/>
    <w:rsid w:val="00280EC0"/>
    <w:rsid w:val="00281059"/>
    <w:rsid w:val="00281139"/>
    <w:rsid w:val="00281322"/>
    <w:rsid w:val="00281497"/>
    <w:rsid w:val="002814B1"/>
    <w:rsid w:val="0028182D"/>
    <w:rsid w:val="00281940"/>
    <w:rsid w:val="00281C42"/>
    <w:rsid w:val="00281CF1"/>
    <w:rsid w:val="00281F69"/>
    <w:rsid w:val="00282099"/>
    <w:rsid w:val="0028243C"/>
    <w:rsid w:val="0028255F"/>
    <w:rsid w:val="00282804"/>
    <w:rsid w:val="00282919"/>
    <w:rsid w:val="0028294D"/>
    <w:rsid w:val="002829CD"/>
    <w:rsid w:val="00282C02"/>
    <w:rsid w:val="00282D84"/>
    <w:rsid w:val="00282DBC"/>
    <w:rsid w:val="00282DD7"/>
    <w:rsid w:val="002831C2"/>
    <w:rsid w:val="00283798"/>
    <w:rsid w:val="00283975"/>
    <w:rsid w:val="00283A41"/>
    <w:rsid w:val="00283B0A"/>
    <w:rsid w:val="00283CEE"/>
    <w:rsid w:val="00283E19"/>
    <w:rsid w:val="00284066"/>
    <w:rsid w:val="00284081"/>
    <w:rsid w:val="00284103"/>
    <w:rsid w:val="002841DD"/>
    <w:rsid w:val="002842C8"/>
    <w:rsid w:val="0028454A"/>
    <w:rsid w:val="002846B8"/>
    <w:rsid w:val="002847B5"/>
    <w:rsid w:val="0028484F"/>
    <w:rsid w:val="0028494F"/>
    <w:rsid w:val="002849A7"/>
    <w:rsid w:val="00284FEB"/>
    <w:rsid w:val="00285439"/>
    <w:rsid w:val="002854DD"/>
    <w:rsid w:val="00285B7F"/>
    <w:rsid w:val="00285F1F"/>
    <w:rsid w:val="00285FC2"/>
    <w:rsid w:val="00286098"/>
    <w:rsid w:val="00286277"/>
    <w:rsid w:val="002866D5"/>
    <w:rsid w:val="002867C9"/>
    <w:rsid w:val="0028683A"/>
    <w:rsid w:val="00286E35"/>
    <w:rsid w:val="00286E6A"/>
    <w:rsid w:val="00286FF7"/>
    <w:rsid w:val="00287039"/>
    <w:rsid w:val="0028715A"/>
    <w:rsid w:val="00287329"/>
    <w:rsid w:val="00287662"/>
    <w:rsid w:val="00287694"/>
    <w:rsid w:val="002878B9"/>
    <w:rsid w:val="002878E8"/>
    <w:rsid w:val="00287989"/>
    <w:rsid w:val="00287B2F"/>
    <w:rsid w:val="00287E17"/>
    <w:rsid w:val="002900B7"/>
    <w:rsid w:val="00290478"/>
    <w:rsid w:val="00290495"/>
    <w:rsid w:val="0029067C"/>
    <w:rsid w:val="002906EA"/>
    <w:rsid w:val="002906F3"/>
    <w:rsid w:val="0029093B"/>
    <w:rsid w:val="00290A13"/>
    <w:rsid w:val="00290C38"/>
    <w:rsid w:val="00290D81"/>
    <w:rsid w:val="00290DBD"/>
    <w:rsid w:val="00290E84"/>
    <w:rsid w:val="0029116F"/>
    <w:rsid w:val="002914A7"/>
    <w:rsid w:val="002916F6"/>
    <w:rsid w:val="002916FA"/>
    <w:rsid w:val="00291A9F"/>
    <w:rsid w:val="00291BCB"/>
    <w:rsid w:val="00291D45"/>
    <w:rsid w:val="00291D4C"/>
    <w:rsid w:val="00291E52"/>
    <w:rsid w:val="002920E8"/>
    <w:rsid w:val="0029230B"/>
    <w:rsid w:val="0029233F"/>
    <w:rsid w:val="002925D7"/>
    <w:rsid w:val="0029260B"/>
    <w:rsid w:val="002926EE"/>
    <w:rsid w:val="0029275D"/>
    <w:rsid w:val="002927C4"/>
    <w:rsid w:val="00292A70"/>
    <w:rsid w:val="00292B60"/>
    <w:rsid w:val="00292B77"/>
    <w:rsid w:val="00292E63"/>
    <w:rsid w:val="00292FF6"/>
    <w:rsid w:val="00293334"/>
    <w:rsid w:val="0029355D"/>
    <w:rsid w:val="00293869"/>
    <w:rsid w:val="002939BE"/>
    <w:rsid w:val="00293EBE"/>
    <w:rsid w:val="00293F17"/>
    <w:rsid w:val="0029407A"/>
    <w:rsid w:val="0029416E"/>
    <w:rsid w:val="002947EC"/>
    <w:rsid w:val="00294A43"/>
    <w:rsid w:val="00294B7A"/>
    <w:rsid w:val="00294B89"/>
    <w:rsid w:val="00294DFE"/>
    <w:rsid w:val="00294F3D"/>
    <w:rsid w:val="00295544"/>
    <w:rsid w:val="0029570A"/>
    <w:rsid w:val="002957E0"/>
    <w:rsid w:val="0029580D"/>
    <w:rsid w:val="0029584F"/>
    <w:rsid w:val="00295E27"/>
    <w:rsid w:val="00295EB2"/>
    <w:rsid w:val="00295F22"/>
    <w:rsid w:val="00296036"/>
    <w:rsid w:val="0029618E"/>
    <w:rsid w:val="002961FD"/>
    <w:rsid w:val="002962E9"/>
    <w:rsid w:val="00296530"/>
    <w:rsid w:val="00296562"/>
    <w:rsid w:val="00296631"/>
    <w:rsid w:val="002966C0"/>
    <w:rsid w:val="0029680B"/>
    <w:rsid w:val="0029692D"/>
    <w:rsid w:val="002969E0"/>
    <w:rsid w:val="00296A91"/>
    <w:rsid w:val="00296AA3"/>
    <w:rsid w:val="00296C38"/>
    <w:rsid w:val="00296E35"/>
    <w:rsid w:val="00296FAC"/>
    <w:rsid w:val="00297344"/>
    <w:rsid w:val="00297565"/>
    <w:rsid w:val="002978B8"/>
    <w:rsid w:val="00297B01"/>
    <w:rsid w:val="00297B23"/>
    <w:rsid w:val="00297B6E"/>
    <w:rsid w:val="00297F64"/>
    <w:rsid w:val="002A00DF"/>
    <w:rsid w:val="002A07C2"/>
    <w:rsid w:val="002A0B1D"/>
    <w:rsid w:val="002A0B2F"/>
    <w:rsid w:val="002A0BB1"/>
    <w:rsid w:val="002A0EAC"/>
    <w:rsid w:val="002A0FCB"/>
    <w:rsid w:val="002A10B6"/>
    <w:rsid w:val="002A16FA"/>
    <w:rsid w:val="002A1AE3"/>
    <w:rsid w:val="002A1AEB"/>
    <w:rsid w:val="002A1CD0"/>
    <w:rsid w:val="002A1D2A"/>
    <w:rsid w:val="002A2329"/>
    <w:rsid w:val="002A235C"/>
    <w:rsid w:val="002A2450"/>
    <w:rsid w:val="002A2698"/>
    <w:rsid w:val="002A2904"/>
    <w:rsid w:val="002A2A2C"/>
    <w:rsid w:val="002A2BE8"/>
    <w:rsid w:val="002A2CCB"/>
    <w:rsid w:val="002A2D61"/>
    <w:rsid w:val="002A3445"/>
    <w:rsid w:val="002A376D"/>
    <w:rsid w:val="002A39C2"/>
    <w:rsid w:val="002A3AE0"/>
    <w:rsid w:val="002A3B9F"/>
    <w:rsid w:val="002A3F3E"/>
    <w:rsid w:val="002A4287"/>
    <w:rsid w:val="002A459D"/>
    <w:rsid w:val="002A4642"/>
    <w:rsid w:val="002A487A"/>
    <w:rsid w:val="002A48B5"/>
    <w:rsid w:val="002A493D"/>
    <w:rsid w:val="002A4A3C"/>
    <w:rsid w:val="002A4AAC"/>
    <w:rsid w:val="002A4C30"/>
    <w:rsid w:val="002A4D54"/>
    <w:rsid w:val="002A4EE9"/>
    <w:rsid w:val="002A51BC"/>
    <w:rsid w:val="002A52C7"/>
    <w:rsid w:val="002A557A"/>
    <w:rsid w:val="002A561D"/>
    <w:rsid w:val="002A56AB"/>
    <w:rsid w:val="002A5972"/>
    <w:rsid w:val="002A597C"/>
    <w:rsid w:val="002A5AD9"/>
    <w:rsid w:val="002A5B98"/>
    <w:rsid w:val="002A5BE8"/>
    <w:rsid w:val="002A5D28"/>
    <w:rsid w:val="002A5DC4"/>
    <w:rsid w:val="002A5F8A"/>
    <w:rsid w:val="002A5FF4"/>
    <w:rsid w:val="002A6073"/>
    <w:rsid w:val="002A60A0"/>
    <w:rsid w:val="002A65E4"/>
    <w:rsid w:val="002A688F"/>
    <w:rsid w:val="002A6A8C"/>
    <w:rsid w:val="002A6B6C"/>
    <w:rsid w:val="002A6BD0"/>
    <w:rsid w:val="002A6DF3"/>
    <w:rsid w:val="002A7193"/>
    <w:rsid w:val="002A740A"/>
    <w:rsid w:val="002A76BB"/>
    <w:rsid w:val="002A78F1"/>
    <w:rsid w:val="002A7CC0"/>
    <w:rsid w:val="002A7CEB"/>
    <w:rsid w:val="002A7DD0"/>
    <w:rsid w:val="002A7FA1"/>
    <w:rsid w:val="002B0575"/>
    <w:rsid w:val="002B0681"/>
    <w:rsid w:val="002B071C"/>
    <w:rsid w:val="002B089B"/>
    <w:rsid w:val="002B0C4F"/>
    <w:rsid w:val="002B0D26"/>
    <w:rsid w:val="002B11D5"/>
    <w:rsid w:val="002B146C"/>
    <w:rsid w:val="002B1661"/>
    <w:rsid w:val="002B19CB"/>
    <w:rsid w:val="002B1AE3"/>
    <w:rsid w:val="002B1D09"/>
    <w:rsid w:val="002B1F4F"/>
    <w:rsid w:val="002B1FD2"/>
    <w:rsid w:val="002B20EE"/>
    <w:rsid w:val="002B230C"/>
    <w:rsid w:val="002B25AF"/>
    <w:rsid w:val="002B262F"/>
    <w:rsid w:val="002B297A"/>
    <w:rsid w:val="002B2A5B"/>
    <w:rsid w:val="002B2B15"/>
    <w:rsid w:val="002B2C0E"/>
    <w:rsid w:val="002B2CB7"/>
    <w:rsid w:val="002B2D0F"/>
    <w:rsid w:val="002B2E09"/>
    <w:rsid w:val="002B2EAA"/>
    <w:rsid w:val="002B2F12"/>
    <w:rsid w:val="002B30FF"/>
    <w:rsid w:val="002B3310"/>
    <w:rsid w:val="002B3351"/>
    <w:rsid w:val="002B346F"/>
    <w:rsid w:val="002B35F1"/>
    <w:rsid w:val="002B37C5"/>
    <w:rsid w:val="002B3C5C"/>
    <w:rsid w:val="002B405C"/>
    <w:rsid w:val="002B4113"/>
    <w:rsid w:val="002B4843"/>
    <w:rsid w:val="002B48B7"/>
    <w:rsid w:val="002B4D01"/>
    <w:rsid w:val="002B4EAC"/>
    <w:rsid w:val="002B4EFB"/>
    <w:rsid w:val="002B52A6"/>
    <w:rsid w:val="002B553C"/>
    <w:rsid w:val="002B5721"/>
    <w:rsid w:val="002B5724"/>
    <w:rsid w:val="002B5BBF"/>
    <w:rsid w:val="002B5C7E"/>
    <w:rsid w:val="002B5EEB"/>
    <w:rsid w:val="002B5F32"/>
    <w:rsid w:val="002B602C"/>
    <w:rsid w:val="002B607D"/>
    <w:rsid w:val="002B6081"/>
    <w:rsid w:val="002B60C0"/>
    <w:rsid w:val="002B625E"/>
    <w:rsid w:val="002B6BB4"/>
    <w:rsid w:val="002B6CF8"/>
    <w:rsid w:val="002B6D5B"/>
    <w:rsid w:val="002B6F0B"/>
    <w:rsid w:val="002B734B"/>
    <w:rsid w:val="002B753E"/>
    <w:rsid w:val="002B7562"/>
    <w:rsid w:val="002B78A0"/>
    <w:rsid w:val="002B7B4F"/>
    <w:rsid w:val="002B7D7B"/>
    <w:rsid w:val="002B7D98"/>
    <w:rsid w:val="002B7DBE"/>
    <w:rsid w:val="002C037E"/>
    <w:rsid w:val="002C0400"/>
    <w:rsid w:val="002C0536"/>
    <w:rsid w:val="002C055C"/>
    <w:rsid w:val="002C0A4C"/>
    <w:rsid w:val="002C0ABB"/>
    <w:rsid w:val="002C0BBE"/>
    <w:rsid w:val="002C0CE7"/>
    <w:rsid w:val="002C0E18"/>
    <w:rsid w:val="002C0F9D"/>
    <w:rsid w:val="002C1016"/>
    <w:rsid w:val="002C117F"/>
    <w:rsid w:val="002C13D0"/>
    <w:rsid w:val="002C14ED"/>
    <w:rsid w:val="002C1A26"/>
    <w:rsid w:val="002C1F28"/>
    <w:rsid w:val="002C2464"/>
    <w:rsid w:val="002C24F0"/>
    <w:rsid w:val="002C25CC"/>
    <w:rsid w:val="002C299C"/>
    <w:rsid w:val="002C2AF9"/>
    <w:rsid w:val="002C2CCC"/>
    <w:rsid w:val="002C2F98"/>
    <w:rsid w:val="002C3088"/>
    <w:rsid w:val="002C308C"/>
    <w:rsid w:val="002C308F"/>
    <w:rsid w:val="002C3115"/>
    <w:rsid w:val="002C312C"/>
    <w:rsid w:val="002C3297"/>
    <w:rsid w:val="002C34C9"/>
    <w:rsid w:val="002C355C"/>
    <w:rsid w:val="002C3624"/>
    <w:rsid w:val="002C3791"/>
    <w:rsid w:val="002C3A15"/>
    <w:rsid w:val="002C3A29"/>
    <w:rsid w:val="002C3C0D"/>
    <w:rsid w:val="002C3DFB"/>
    <w:rsid w:val="002C4026"/>
    <w:rsid w:val="002C41D5"/>
    <w:rsid w:val="002C41F4"/>
    <w:rsid w:val="002C4244"/>
    <w:rsid w:val="002C427A"/>
    <w:rsid w:val="002C42F2"/>
    <w:rsid w:val="002C4505"/>
    <w:rsid w:val="002C46B8"/>
    <w:rsid w:val="002C4962"/>
    <w:rsid w:val="002C4E1C"/>
    <w:rsid w:val="002C4EE0"/>
    <w:rsid w:val="002C5013"/>
    <w:rsid w:val="002C5087"/>
    <w:rsid w:val="002C532D"/>
    <w:rsid w:val="002C5384"/>
    <w:rsid w:val="002C5B4F"/>
    <w:rsid w:val="002C5C7C"/>
    <w:rsid w:val="002C5E67"/>
    <w:rsid w:val="002C6285"/>
    <w:rsid w:val="002C62E3"/>
    <w:rsid w:val="002C6492"/>
    <w:rsid w:val="002C6499"/>
    <w:rsid w:val="002C6563"/>
    <w:rsid w:val="002C6720"/>
    <w:rsid w:val="002C68AC"/>
    <w:rsid w:val="002C6A55"/>
    <w:rsid w:val="002C6AD1"/>
    <w:rsid w:val="002C6C93"/>
    <w:rsid w:val="002C6EB7"/>
    <w:rsid w:val="002C6F03"/>
    <w:rsid w:val="002C6F47"/>
    <w:rsid w:val="002C70F1"/>
    <w:rsid w:val="002C7229"/>
    <w:rsid w:val="002C7336"/>
    <w:rsid w:val="002C74F3"/>
    <w:rsid w:val="002C75DB"/>
    <w:rsid w:val="002C76EB"/>
    <w:rsid w:val="002C7959"/>
    <w:rsid w:val="002C7E4F"/>
    <w:rsid w:val="002D0383"/>
    <w:rsid w:val="002D0393"/>
    <w:rsid w:val="002D0487"/>
    <w:rsid w:val="002D0741"/>
    <w:rsid w:val="002D08CA"/>
    <w:rsid w:val="002D0A72"/>
    <w:rsid w:val="002D0AAB"/>
    <w:rsid w:val="002D0B69"/>
    <w:rsid w:val="002D0BF7"/>
    <w:rsid w:val="002D11D1"/>
    <w:rsid w:val="002D14AA"/>
    <w:rsid w:val="002D1627"/>
    <w:rsid w:val="002D1684"/>
    <w:rsid w:val="002D16B5"/>
    <w:rsid w:val="002D180C"/>
    <w:rsid w:val="002D1852"/>
    <w:rsid w:val="002D1867"/>
    <w:rsid w:val="002D192B"/>
    <w:rsid w:val="002D1C62"/>
    <w:rsid w:val="002D211D"/>
    <w:rsid w:val="002D21E7"/>
    <w:rsid w:val="002D21E8"/>
    <w:rsid w:val="002D243D"/>
    <w:rsid w:val="002D2554"/>
    <w:rsid w:val="002D258A"/>
    <w:rsid w:val="002D2712"/>
    <w:rsid w:val="002D2786"/>
    <w:rsid w:val="002D2C1B"/>
    <w:rsid w:val="002D2D20"/>
    <w:rsid w:val="002D2D9F"/>
    <w:rsid w:val="002D30AD"/>
    <w:rsid w:val="002D310B"/>
    <w:rsid w:val="002D3124"/>
    <w:rsid w:val="002D31BB"/>
    <w:rsid w:val="002D3521"/>
    <w:rsid w:val="002D377C"/>
    <w:rsid w:val="002D394C"/>
    <w:rsid w:val="002D398C"/>
    <w:rsid w:val="002D39F8"/>
    <w:rsid w:val="002D3ADB"/>
    <w:rsid w:val="002D3B50"/>
    <w:rsid w:val="002D3D04"/>
    <w:rsid w:val="002D3D0F"/>
    <w:rsid w:val="002D3E57"/>
    <w:rsid w:val="002D3E72"/>
    <w:rsid w:val="002D40C0"/>
    <w:rsid w:val="002D46AE"/>
    <w:rsid w:val="002D4780"/>
    <w:rsid w:val="002D48AE"/>
    <w:rsid w:val="002D4FDE"/>
    <w:rsid w:val="002D5016"/>
    <w:rsid w:val="002D515C"/>
    <w:rsid w:val="002D51E9"/>
    <w:rsid w:val="002D538B"/>
    <w:rsid w:val="002D5524"/>
    <w:rsid w:val="002D56B9"/>
    <w:rsid w:val="002D5A5F"/>
    <w:rsid w:val="002D5B5E"/>
    <w:rsid w:val="002D5ED0"/>
    <w:rsid w:val="002D5FBC"/>
    <w:rsid w:val="002D608D"/>
    <w:rsid w:val="002D6312"/>
    <w:rsid w:val="002D65BF"/>
    <w:rsid w:val="002D66A6"/>
    <w:rsid w:val="002D66E3"/>
    <w:rsid w:val="002D68FE"/>
    <w:rsid w:val="002D6B2E"/>
    <w:rsid w:val="002D6B4F"/>
    <w:rsid w:val="002D6C47"/>
    <w:rsid w:val="002D6CC5"/>
    <w:rsid w:val="002D6E7E"/>
    <w:rsid w:val="002D708F"/>
    <w:rsid w:val="002D71F9"/>
    <w:rsid w:val="002D733A"/>
    <w:rsid w:val="002D77ED"/>
    <w:rsid w:val="002D7B1E"/>
    <w:rsid w:val="002E00FF"/>
    <w:rsid w:val="002E0558"/>
    <w:rsid w:val="002E07CC"/>
    <w:rsid w:val="002E0C14"/>
    <w:rsid w:val="002E0F6C"/>
    <w:rsid w:val="002E0F77"/>
    <w:rsid w:val="002E12E1"/>
    <w:rsid w:val="002E14B3"/>
    <w:rsid w:val="002E16BA"/>
    <w:rsid w:val="002E1AE4"/>
    <w:rsid w:val="002E1D69"/>
    <w:rsid w:val="002E1DB8"/>
    <w:rsid w:val="002E20B8"/>
    <w:rsid w:val="002E22F7"/>
    <w:rsid w:val="002E29E9"/>
    <w:rsid w:val="002E2A29"/>
    <w:rsid w:val="002E2D33"/>
    <w:rsid w:val="002E2E44"/>
    <w:rsid w:val="002E2EA0"/>
    <w:rsid w:val="002E2F5D"/>
    <w:rsid w:val="002E3484"/>
    <w:rsid w:val="002E373F"/>
    <w:rsid w:val="002E383B"/>
    <w:rsid w:val="002E3A39"/>
    <w:rsid w:val="002E3D72"/>
    <w:rsid w:val="002E3D7B"/>
    <w:rsid w:val="002E3DF6"/>
    <w:rsid w:val="002E3FD8"/>
    <w:rsid w:val="002E4741"/>
    <w:rsid w:val="002E4A8E"/>
    <w:rsid w:val="002E4BDF"/>
    <w:rsid w:val="002E4D94"/>
    <w:rsid w:val="002E4E0B"/>
    <w:rsid w:val="002E4F78"/>
    <w:rsid w:val="002E5037"/>
    <w:rsid w:val="002E5088"/>
    <w:rsid w:val="002E508C"/>
    <w:rsid w:val="002E50A7"/>
    <w:rsid w:val="002E5132"/>
    <w:rsid w:val="002E51AD"/>
    <w:rsid w:val="002E52AD"/>
    <w:rsid w:val="002E52B9"/>
    <w:rsid w:val="002E5461"/>
    <w:rsid w:val="002E5571"/>
    <w:rsid w:val="002E55AE"/>
    <w:rsid w:val="002E5883"/>
    <w:rsid w:val="002E5B0C"/>
    <w:rsid w:val="002E5CB2"/>
    <w:rsid w:val="002E5CD2"/>
    <w:rsid w:val="002E5EC9"/>
    <w:rsid w:val="002E621B"/>
    <w:rsid w:val="002E6289"/>
    <w:rsid w:val="002E685B"/>
    <w:rsid w:val="002E68BE"/>
    <w:rsid w:val="002E6A24"/>
    <w:rsid w:val="002E6AB0"/>
    <w:rsid w:val="002E6B23"/>
    <w:rsid w:val="002E6B49"/>
    <w:rsid w:val="002E6CAA"/>
    <w:rsid w:val="002E6E1D"/>
    <w:rsid w:val="002E6EC8"/>
    <w:rsid w:val="002E70FB"/>
    <w:rsid w:val="002E722C"/>
    <w:rsid w:val="002E73A1"/>
    <w:rsid w:val="002E745D"/>
    <w:rsid w:val="002E75FA"/>
    <w:rsid w:val="002E761A"/>
    <w:rsid w:val="002E7AD8"/>
    <w:rsid w:val="002E7B18"/>
    <w:rsid w:val="002E7B7B"/>
    <w:rsid w:val="002E7DBD"/>
    <w:rsid w:val="002E7E0A"/>
    <w:rsid w:val="002E7E38"/>
    <w:rsid w:val="002F00F6"/>
    <w:rsid w:val="002F0385"/>
    <w:rsid w:val="002F0409"/>
    <w:rsid w:val="002F0917"/>
    <w:rsid w:val="002F0CA8"/>
    <w:rsid w:val="002F0F2F"/>
    <w:rsid w:val="002F10FE"/>
    <w:rsid w:val="002F119C"/>
    <w:rsid w:val="002F11AF"/>
    <w:rsid w:val="002F13EE"/>
    <w:rsid w:val="002F1638"/>
    <w:rsid w:val="002F167A"/>
    <w:rsid w:val="002F170F"/>
    <w:rsid w:val="002F1A10"/>
    <w:rsid w:val="002F1A96"/>
    <w:rsid w:val="002F1F1A"/>
    <w:rsid w:val="002F1FB1"/>
    <w:rsid w:val="002F2005"/>
    <w:rsid w:val="002F201D"/>
    <w:rsid w:val="002F2047"/>
    <w:rsid w:val="002F22A5"/>
    <w:rsid w:val="002F2339"/>
    <w:rsid w:val="002F25DF"/>
    <w:rsid w:val="002F2673"/>
    <w:rsid w:val="002F28A8"/>
    <w:rsid w:val="002F28C3"/>
    <w:rsid w:val="002F2ABF"/>
    <w:rsid w:val="002F2B3E"/>
    <w:rsid w:val="002F2C48"/>
    <w:rsid w:val="002F2CB9"/>
    <w:rsid w:val="002F2ECB"/>
    <w:rsid w:val="002F2F59"/>
    <w:rsid w:val="002F3262"/>
    <w:rsid w:val="002F3665"/>
    <w:rsid w:val="002F3673"/>
    <w:rsid w:val="002F369C"/>
    <w:rsid w:val="002F36AF"/>
    <w:rsid w:val="002F3826"/>
    <w:rsid w:val="002F3A52"/>
    <w:rsid w:val="002F3A9D"/>
    <w:rsid w:val="002F40B6"/>
    <w:rsid w:val="002F41F4"/>
    <w:rsid w:val="002F457A"/>
    <w:rsid w:val="002F460B"/>
    <w:rsid w:val="002F4635"/>
    <w:rsid w:val="002F4700"/>
    <w:rsid w:val="002F4705"/>
    <w:rsid w:val="002F4958"/>
    <w:rsid w:val="002F4DCD"/>
    <w:rsid w:val="002F4EE7"/>
    <w:rsid w:val="002F4F3E"/>
    <w:rsid w:val="002F4FA9"/>
    <w:rsid w:val="002F5068"/>
    <w:rsid w:val="002F50F9"/>
    <w:rsid w:val="002F5140"/>
    <w:rsid w:val="002F52C1"/>
    <w:rsid w:val="002F52E7"/>
    <w:rsid w:val="002F575E"/>
    <w:rsid w:val="002F5785"/>
    <w:rsid w:val="002F57DE"/>
    <w:rsid w:val="002F586D"/>
    <w:rsid w:val="002F5CB7"/>
    <w:rsid w:val="002F5FC0"/>
    <w:rsid w:val="002F612F"/>
    <w:rsid w:val="002F618B"/>
    <w:rsid w:val="002F625A"/>
    <w:rsid w:val="002F6543"/>
    <w:rsid w:val="002F65BB"/>
    <w:rsid w:val="002F66DA"/>
    <w:rsid w:val="002F6B93"/>
    <w:rsid w:val="002F6CCA"/>
    <w:rsid w:val="002F6CF9"/>
    <w:rsid w:val="002F7158"/>
    <w:rsid w:val="002F782B"/>
    <w:rsid w:val="002F7888"/>
    <w:rsid w:val="002F7A62"/>
    <w:rsid w:val="002F7B9C"/>
    <w:rsid w:val="002FAEA2"/>
    <w:rsid w:val="00300082"/>
    <w:rsid w:val="0030047D"/>
    <w:rsid w:val="0030054A"/>
    <w:rsid w:val="00300BAF"/>
    <w:rsid w:val="00300C2F"/>
    <w:rsid w:val="00300FB0"/>
    <w:rsid w:val="003011E2"/>
    <w:rsid w:val="0030151F"/>
    <w:rsid w:val="00301910"/>
    <w:rsid w:val="00301B5E"/>
    <w:rsid w:val="00301C30"/>
    <w:rsid w:val="00301F2C"/>
    <w:rsid w:val="00302013"/>
    <w:rsid w:val="003021DF"/>
    <w:rsid w:val="0030221E"/>
    <w:rsid w:val="003022C1"/>
    <w:rsid w:val="00302389"/>
    <w:rsid w:val="003023CB"/>
    <w:rsid w:val="00302699"/>
    <w:rsid w:val="00302802"/>
    <w:rsid w:val="00302821"/>
    <w:rsid w:val="00302969"/>
    <w:rsid w:val="003029C1"/>
    <w:rsid w:val="00302AC1"/>
    <w:rsid w:val="00302B86"/>
    <w:rsid w:val="00302C3C"/>
    <w:rsid w:val="00302C9B"/>
    <w:rsid w:val="00302DEC"/>
    <w:rsid w:val="00302E0F"/>
    <w:rsid w:val="00302EDB"/>
    <w:rsid w:val="00303439"/>
    <w:rsid w:val="003034C2"/>
    <w:rsid w:val="00303652"/>
    <w:rsid w:val="00303659"/>
    <w:rsid w:val="003038C4"/>
    <w:rsid w:val="00303998"/>
    <w:rsid w:val="00303A42"/>
    <w:rsid w:val="00303AE9"/>
    <w:rsid w:val="00303E73"/>
    <w:rsid w:val="003040AA"/>
    <w:rsid w:val="0030414B"/>
    <w:rsid w:val="00304152"/>
    <w:rsid w:val="00304340"/>
    <w:rsid w:val="00304511"/>
    <w:rsid w:val="003045A1"/>
    <w:rsid w:val="003046A2"/>
    <w:rsid w:val="003047D0"/>
    <w:rsid w:val="003048E2"/>
    <w:rsid w:val="00304A78"/>
    <w:rsid w:val="00304AA3"/>
    <w:rsid w:val="00304B07"/>
    <w:rsid w:val="00304C0B"/>
    <w:rsid w:val="00305178"/>
    <w:rsid w:val="0030526C"/>
    <w:rsid w:val="003054F8"/>
    <w:rsid w:val="00305693"/>
    <w:rsid w:val="00305953"/>
    <w:rsid w:val="00305B12"/>
    <w:rsid w:val="00305B14"/>
    <w:rsid w:val="00305C1D"/>
    <w:rsid w:val="00305D7E"/>
    <w:rsid w:val="00305D8B"/>
    <w:rsid w:val="00306091"/>
    <w:rsid w:val="003062D7"/>
    <w:rsid w:val="00306610"/>
    <w:rsid w:val="00306797"/>
    <w:rsid w:val="003067E9"/>
    <w:rsid w:val="0030685C"/>
    <w:rsid w:val="00306CC8"/>
    <w:rsid w:val="00306DD7"/>
    <w:rsid w:val="00306F73"/>
    <w:rsid w:val="003071B7"/>
    <w:rsid w:val="0030720D"/>
    <w:rsid w:val="003072D7"/>
    <w:rsid w:val="003073AF"/>
    <w:rsid w:val="003074FE"/>
    <w:rsid w:val="00307505"/>
    <w:rsid w:val="0030751D"/>
    <w:rsid w:val="00307841"/>
    <w:rsid w:val="003078DE"/>
    <w:rsid w:val="00307C70"/>
    <w:rsid w:val="00307CC0"/>
    <w:rsid w:val="00307E6A"/>
    <w:rsid w:val="003100B5"/>
    <w:rsid w:val="003102CA"/>
    <w:rsid w:val="0031041F"/>
    <w:rsid w:val="0031058E"/>
    <w:rsid w:val="00310752"/>
    <w:rsid w:val="003107F8"/>
    <w:rsid w:val="00310B2C"/>
    <w:rsid w:val="00310C04"/>
    <w:rsid w:val="00310C36"/>
    <w:rsid w:val="003111DC"/>
    <w:rsid w:val="003115EA"/>
    <w:rsid w:val="00311704"/>
    <w:rsid w:val="0031170E"/>
    <w:rsid w:val="00311C94"/>
    <w:rsid w:val="00312065"/>
    <w:rsid w:val="003124D1"/>
    <w:rsid w:val="0031264B"/>
    <w:rsid w:val="00312989"/>
    <w:rsid w:val="00312A3D"/>
    <w:rsid w:val="00312C0F"/>
    <w:rsid w:val="00312C86"/>
    <w:rsid w:val="00312CE7"/>
    <w:rsid w:val="00312E8D"/>
    <w:rsid w:val="00313357"/>
    <w:rsid w:val="00313386"/>
    <w:rsid w:val="003135F0"/>
    <w:rsid w:val="00313921"/>
    <w:rsid w:val="00313C74"/>
    <w:rsid w:val="0031408E"/>
    <w:rsid w:val="00314282"/>
    <w:rsid w:val="003142BB"/>
    <w:rsid w:val="0031438C"/>
    <w:rsid w:val="003144A3"/>
    <w:rsid w:val="0031451E"/>
    <w:rsid w:val="00314712"/>
    <w:rsid w:val="00314844"/>
    <w:rsid w:val="00314978"/>
    <w:rsid w:val="00314B5C"/>
    <w:rsid w:val="00314EC7"/>
    <w:rsid w:val="00314ED6"/>
    <w:rsid w:val="00315141"/>
    <w:rsid w:val="003154F4"/>
    <w:rsid w:val="003156C1"/>
    <w:rsid w:val="003157E7"/>
    <w:rsid w:val="003157EA"/>
    <w:rsid w:val="00315AB0"/>
    <w:rsid w:val="00315C8B"/>
    <w:rsid w:val="00315F71"/>
    <w:rsid w:val="00315F88"/>
    <w:rsid w:val="003162FC"/>
    <w:rsid w:val="003163BA"/>
    <w:rsid w:val="003164FF"/>
    <w:rsid w:val="00316563"/>
    <w:rsid w:val="003165FB"/>
    <w:rsid w:val="0031682A"/>
    <w:rsid w:val="00316A4D"/>
    <w:rsid w:val="00316B4E"/>
    <w:rsid w:val="00316C90"/>
    <w:rsid w:val="00316E9E"/>
    <w:rsid w:val="00316EFF"/>
    <w:rsid w:val="003170DB"/>
    <w:rsid w:val="00317185"/>
    <w:rsid w:val="003173E2"/>
    <w:rsid w:val="003174F0"/>
    <w:rsid w:val="0031755A"/>
    <w:rsid w:val="00317968"/>
    <w:rsid w:val="00317A9A"/>
    <w:rsid w:val="00317F10"/>
    <w:rsid w:val="00317F8E"/>
    <w:rsid w:val="00320145"/>
    <w:rsid w:val="003203F5"/>
    <w:rsid w:val="0032081B"/>
    <w:rsid w:val="0032084F"/>
    <w:rsid w:val="00320852"/>
    <w:rsid w:val="00320985"/>
    <w:rsid w:val="0032098E"/>
    <w:rsid w:val="00320995"/>
    <w:rsid w:val="00320B1C"/>
    <w:rsid w:val="0032110A"/>
    <w:rsid w:val="003211D5"/>
    <w:rsid w:val="00321AEF"/>
    <w:rsid w:val="00321B1D"/>
    <w:rsid w:val="00321BA0"/>
    <w:rsid w:val="0032217D"/>
    <w:rsid w:val="0032227A"/>
    <w:rsid w:val="0032232A"/>
    <w:rsid w:val="00322650"/>
    <w:rsid w:val="003228D6"/>
    <w:rsid w:val="00322AE2"/>
    <w:rsid w:val="00322B19"/>
    <w:rsid w:val="00322B1D"/>
    <w:rsid w:val="00322F75"/>
    <w:rsid w:val="003230B3"/>
    <w:rsid w:val="00323347"/>
    <w:rsid w:val="0032353C"/>
    <w:rsid w:val="003236E2"/>
    <w:rsid w:val="003236F8"/>
    <w:rsid w:val="0032383D"/>
    <w:rsid w:val="0032391E"/>
    <w:rsid w:val="00323A76"/>
    <w:rsid w:val="00323A7E"/>
    <w:rsid w:val="00323BC6"/>
    <w:rsid w:val="00323CC9"/>
    <w:rsid w:val="00323E38"/>
    <w:rsid w:val="00323F94"/>
    <w:rsid w:val="00324192"/>
    <w:rsid w:val="00324774"/>
    <w:rsid w:val="00324819"/>
    <w:rsid w:val="00324B1D"/>
    <w:rsid w:val="00324D61"/>
    <w:rsid w:val="00324F01"/>
    <w:rsid w:val="00324F06"/>
    <w:rsid w:val="00325294"/>
    <w:rsid w:val="0032544E"/>
    <w:rsid w:val="003254E7"/>
    <w:rsid w:val="003256FC"/>
    <w:rsid w:val="003257DE"/>
    <w:rsid w:val="00325AA2"/>
    <w:rsid w:val="00325B15"/>
    <w:rsid w:val="00325E06"/>
    <w:rsid w:val="00325EFF"/>
    <w:rsid w:val="00325F72"/>
    <w:rsid w:val="003260A6"/>
    <w:rsid w:val="00326180"/>
    <w:rsid w:val="00326402"/>
    <w:rsid w:val="00326404"/>
    <w:rsid w:val="0032673C"/>
    <w:rsid w:val="003269C7"/>
    <w:rsid w:val="00326C12"/>
    <w:rsid w:val="00326C9C"/>
    <w:rsid w:val="00326CCD"/>
    <w:rsid w:val="00326E33"/>
    <w:rsid w:val="00327259"/>
    <w:rsid w:val="003273D3"/>
    <w:rsid w:val="00327466"/>
    <w:rsid w:val="0032756C"/>
    <w:rsid w:val="00327712"/>
    <w:rsid w:val="00327A77"/>
    <w:rsid w:val="00327A8A"/>
    <w:rsid w:val="00327B9E"/>
    <w:rsid w:val="00327DCE"/>
    <w:rsid w:val="00327FE7"/>
    <w:rsid w:val="00330162"/>
    <w:rsid w:val="003301C3"/>
    <w:rsid w:val="00330224"/>
    <w:rsid w:val="003304FC"/>
    <w:rsid w:val="0033056F"/>
    <w:rsid w:val="00330708"/>
    <w:rsid w:val="0033090F"/>
    <w:rsid w:val="00330AC9"/>
    <w:rsid w:val="00330D24"/>
    <w:rsid w:val="003310C7"/>
    <w:rsid w:val="00331107"/>
    <w:rsid w:val="00331209"/>
    <w:rsid w:val="003313BA"/>
    <w:rsid w:val="003313D4"/>
    <w:rsid w:val="00331547"/>
    <w:rsid w:val="00331B84"/>
    <w:rsid w:val="00331CE4"/>
    <w:rsid w:val="00331E91"/>
    <w:rsid w:val="00331F68"/>
    <w:rsid w:val="0033202D"/>
    <w:rsid w:val="00332146"/>
    <w:rsid w:val="00332182"/>
    <w:rsid w:val="003323CF"/>
    <w:rsid w:val="00332458"/>
    <w:rsid w:val="003325DF"/>
    <w:rsid w:val="00332685"/>
    <w:rsid w:val="003328E1"/>
    <w:rsid w:val="00332C07"/>
    <w:rsid w:val="00332E56"/>
    <w:rsid w:val="00333039"/>
    <w:rsid w:val="0033311D"/>
    <w:rsid w:val="00333281"/>
    <w:rsid w:val="003334B6"/>
    <w:rsid w:val="00333626"/>
    <w:rsid w:val="0033370A"/>
    <w:rsid w:val="00333816"/>
    <w:rsid w:val="00333835"/>
    <w:rsid w:val="0033384B"/>
    <w:rsid w:val="00333F48"/>
    <w:rsid w:val="00333FC7"/>
    <w:rsid w:val="0033401D"/>
    <w:rsid w:val="003342C0"/>
    <w:rsid w:val="003342E4"/>
    <w:rsid w:val="003347BE"/>
    <w:rsid w:val="003349FD"/>
    <w:rsid w:val="00334A82"/>
    <w:rsid w:val="00334B02"/>
    <w:rsid w:val="00334D60"/>
    <w:rsid w:val="00334E6A"/>
    <w:rsid w:val="00334F31"/>
    <w:rsid w:val="00334F6E"/>
    <w:rsid w:val="00335143"/>
    <w:rsid w:val="00335170"/>
    <w:rsid w:val="00335328"/>
    <w:rsid w:val="00335559"/>
    <w:rsid w:val="00335930"/>
    <w:rsid w:val="00335C37"/>
    <w:rsid w:val="00335DCD"/>
    <w:rsid w:val="0033616F"/>
    <w:rsid w:val="00336393"/>
    <w:rsid w:val="00336566"/>
    <w:rsid w:val="00336698"/>
    <w:rsid w:val="00336855"/>
    <w:rsid w:val="00336E66"/>
    <w:rsid w:val="00336F26"/>
    <w:rsid w:val="00336FC7"/>
    <w:rsid w:val="00336FDB"/>
    <w:rsid w:val="00337310"/>
    <w:rsid w:val="00337396"/>
    <w:rsid w:val="003373E2"/>
    <w:rsid w:val="003377A0"/>
    <w:rsid w:val="00337992"/>
    <w:rsid w:val="00337A9B"/>
    <w:rsid w:val="00337D37"/>
    <w:rsid w:val="00340181"/>
    <w:rsid w:val="003402B1"/>
    <w:rsid w:val="003402EE"/>
    <w:rsid w:val="003403FD"/>
    <w:rsid w:val="00340439"/>
    <w:rsid w:val="0034044B"/>
    <w:rsid w:val="00340847"/>
    <w:rsid w:val="003409B1"/>
    <w:rsid w:val="00340ABA"/>
    <w:rsid w:val="00340ADF"/>
    <w:rsid w:val="00340E63"/>
    <w:rsid w:val="0034116B"/>
    <w:rsid w:val="003413D6"/>
    <w:rsid w:val="003414DB"/>
    <w:rsid w:val="003415A6"/>
    <w:rsid w:val="003415BC"/>
    <w:rsid w:val="003417D7"/>
    <w:rsid w:val="0034186D"/>
    <w:rsid w:val="0034198E"/>
    <w:rsid w:val="00341B17"/>
    <w:rsid w:val="00341E24"/>
    <w:rsid w:val="003420EB"/>
    <w:rsid w:val="00342111"/>
    <w:rsid w:val="00342240"/>
    <w:rsid w:val="0034229C"/>
    <w:rsid w:val="003424A3"/>
    <w:rsid w:val="00342506"/>
    <w:rsid w:val="00342561"/>
    <w:rsid w:val="0034269E"/>
    <w:rsid w:val="00342853"/>
    <w:rsid w:val="00342C25"/>
    <w:rsid w:val="003432D3"/>
    <w:rsid w:val="00343461"/>
    <w:rsid w:val="00343683"/>
    <w:rsid w:val="00343789"/>
    <w:rsid w:val="00343F22"/>
    <w:rsid w:val="003440DC"/>
    <w:rsid w:val="003440E5"/>
    <w:rsid w:val="0034415C"/>
    <w:rsid w:val="003443F4"/>
    <w:rsid w:val="0034461C"/>
    <w:rsid w:val="0034465D"/>
    <w:rsid w:val="00344826"/>
    <w:rsid w:val="0034486C"/>
    <w:rsid w:val="00344879"/>
    <w:rsid w:val="00344943"/>
    <w:rsid w:val="00344966"/>
    <w:rsid w:val="003449E7"/>
    <w:rsid w:val="00344C28"/>
    <w:rsid w:val="00344C2D"/>
    <w:rsid w:val="00344CBD"/>
    <w:rsid w:val="00344E9B"/>
    <w:rsid w:val="00344FD5"/>
    <w:rsid w:val="00345092"/>
    <w:rsid w:val="00345187"/>
    <w:rsid w:val="00345230"/>
    <w:rsid w:val="00345298"/>
    <w:rsid w:val="003452E1"/>
    <w:rsid w:val="0034539C"/>
    <w:rsid w:val="00345810"/>
    <w:rsid w:val="0034593B"/>
    <w:rsid w:val="003459F4"/>
    <w:rsid w:val="00345D32"/>
    <w:rsid w:val="00345D75"/>
    <w:rsid w:val="00345EE1"/>
    <w:rsid w:val="003460C1"/>
    <w:rsid w:val="00346149"/>
    <w:rsid w:val="00346291"/>
    <w:rsid w:val="003462FA"/>
    <w:rsid w:val="0034659B"/>
    <w:rsid w:val="0034667C"/>
    <w:rsid w:val="003468E8"/>
    <w:rsid w:val="003469A7"/>
    <w:rsid w:val="00346AEF"/>
    <w:rsid w:val="00346BCC"/>
    <w:rsid w:val="00346C8A"/>
    <w:rsid w:val="00346CB2"/>
    <w:rsid w:val="00346E5B"/>
    <w:rsid w:val="00347024"/>
    <w:rsid w:val="00347291"/>
    <w:rsid w:val="003474FF"/>
    <w:rsid w:val="003478B9"/>
    <w:rsid w:val="003479CF"/>
    <w:rsid w:val="0035018C"/>
    <w:rsid w:val="0035046F"/>
    <w:rsid w:val="00350472"/>
    <w:rsid w:val="003505E8"/>
    <w:rsid w:val="00350673"/>
    <w:rsid w:val="003508AB"/>
    <w:rsid w:val="00350A9E"/>
    <w:rsid w:val="00350AEE"/>
    <w:rsid w:val="00350D5C"/>
    <w:rsid w:val="00350EA5"/>
    <w:rsid w:val="00350ECF"/>
    <w:rsid w:val="00350EF9"/>
    <w:rsid w:val="00351110"/>
    <w:rsid w:val="00351183"/>
    <w:rsid w:val="003512B8"/>
    <w:rsid w:val="003512D7"/>
    <w:rsid w:val="00351569"/>
    <w:rsid w:val="0035175B"/>
    <w:rsid w:val="003519CE"/>
    <w:rsid w:val="00351BC3"/>
    <w:rsid w:val="00351CB1"/>
    <w:rsid w:val="00351ECA"/>
    <w:rsid w:val="00351EFC"/>
    <w:rsid w:val="00352055"/>
    <w:rsid w:val="0035256A"/>
    <w:rsid w:val="00352756"/>
    <w:rsid w:val="003528C2"/>
    <w:rsid w:val="00352A11"/>
    <w:rsid w:val="00352ACE"/>
    <w:rsid w:val="00352ADD"/>
    <w:rsid w:val="00352CAE"/>
    <w:rsid w:val="00352D5B"/>
    <w:rsid w:val="00352F90"/>
    <w:rsid w:val="00352FA9"/>
    <w:rsid w:val="00353064"/>
    <w:rsid w:val="00353243"/>
    <w:rsid w:val="00353288"/>
    <w:rsid w:val="00353484"/>
    <w:rsid w:val="00353537"/>
    <w:rsid w:val="0035356D"/>
    <w:rsid w:val="003537D2"/>
    <w:rsid w:val="003538AF"/>
    <w:rsid w:val="00353978"/>
    <w:rsid w:val="00353A9A"/>
    <w:rsid w:val="00353C20"/>
    <w:rsid w:val="00354016"/>
    <w:rsid w:val="00354397"/>
    <w:rsid w:val="0035456A"/>
    <w:rsid w:val="003546D1"/>
    <w:rsid w:val="00354786"/>
    <w:rsid w:val="003547BA"/>
    <w:rsid w:val="0035493D"/>
    <w:rsid w:val="00354BDE"/>
    <w:rsid w:val="00354E35"/>
    <w:rsid w:val="00355185"/>
    <w:rsid w:val="003551B6"/>
    <w:rsid w:val="00355368"/>
    <w:rsid w:val="00355437"/>
    <w:rsid w:val="0035554C"/>
    <w:rsid w:val="00355657"/>
    <w:rsid w:val="0035579F"/>
    <w:rsid w:val="003557FD"/>
    <w:rsid w:val="003558F1"/>
    <w:rsid w:val="00355B98"/>
    <w:rsid w:val="00355BCB"/>
    <w:rsid w:val="00355C6E"/>
    <w:rsid w:val="00355CC8"/>
    <w:rsid w:val="00355D7C"/>
    <w:rsid w:val="00355EB3"/>
    <w:rsid w:val="00355F77"/>
    <w:rsid w:val="003560FF"/>
    <w:rsid w:val="003561A6"/>
    <w:rsid w:val="0035630A"/>
    <w:rsid w:val="0035636C"/>
    <w:rsid w:val="003565AC"/>
    <w:rsid w:val="00356CE0"/>
    <w:rsid w:val="00356D57"/>
    <w:rsid w:val="003570DC"/>
    <w:rsid w:val="003571DB"/>
    <w:rsid w:val="0035725B"/>
    <w:rsid w:val="0035735A"/>
    <w:rsid w:val="00357448"/>
    <w:rsid w:val="003574E2"/>
    <w:rsid w:val="003574F8"/>
    <w:rsid w:val="003576C1"/>
    <w:rsid w:val="0035787A"/>
    <w:rsid w:val="0035789F"/>
    <w:rsid w:val="00357ABA"/>
    <w:rsid w:val="00357B23"/>
    <w:rsid w:val="00357DD8"/>
    <w:rsid w:val="00357FC0"/>
    <w:rsid w:val="0036001E"/>
    <w:rsid w:val="003604C5"/>
    <w:rsid w:val="00360606"/>
    <w:rsid w:val="00360766"/>
    <w:rsid w:val="003607A5"/>
    <w:rsid w:val="0036092D"/>
    <w:rsid w:val="00360AA7"/>
    <w:rsid w:val="00360B81"/>
    <w:rsid w:val="00360B96"/>
    <w:rsid w:val="00360D4E"/>
    <w:rsid w:val="00360D57"/>
    <w:rsid w:val="0036194F"/>
    <w:rsid w:val="00361C45"/>
    <w:rsid w:val="00361D2E"/>
    <w:rsid w:val="00361E56"/>
    <w:rsid w:val="00361F15"/>
    <w:rsid w:val="00362029"/>
    <w:rsid w:val="003623BD"/>
    <w:rsid w:val="00362552"/>
    <w:rsid w:val="00362577"/>
    <w:rsid w:val="003627AB"/>
    <w:rsid w:val="003628DA"/>
    <w:rsid w:val="00362956"/>
    <w:rsid w:val="003629D3"/>
    <w:rsid w:val="00362D9A"/>
    <w:rsid w:val="00362DF6"/>
    <w:rsid w:val="00363218"/>
    <w:rsid w:val="00363408"/>
    <w:rsid w:val="00363764"/>
    <w:rsid w:val="0036377E"/>
    <w:rsid w:val="00363969"/>
    <w:rsid w:val="00363B29"/>
    <w:rsid w:val="00363DB1"/>
    <w:rsid w:val="00363E8F"/>
    <w:rsid w:val="00363EE4"/>
    <w:rsid w:val="00363F98"/>
    <w:rsid w:val="003643BC"/>
    <w:rsid w:val="00364842"/>
    <w:rsid w:val="00364872"/>
    <w:rsid w:val="00364E75"/>
    <w:rsid w:val="00365008"/>
    <w:rsid w:val="003654C3"/>
    <w:rsid w:val="0036557D"/>
    <w:rsid w:val="0036575B"/>
    <w:rsid w:val="003658B5"/>
    <w:rsid w:val="00365951"/>
    <w:rsid w:val="00365A3A"/>
    <w:rsid w:val="00365CF7"/>
    <w:rsid w:val="00366104"/>
    <w:rsid w:val="00366A9B"/>
    <w:rsid w:val="00366C3F"/>
    <w:rsid w:val="00366F4A"/>
    <w:rsid w:val="00367157"/>
    <w:rsid w:val="003676DF"/>
    <w:rsid w:val="0036793B"/>
    <w:rsid w:val="003679F7"/>
    <w:rsid w:val="00367A86"/>
    <w:rsid w:val="00367C35"/>
    <w:rsid w:val="00367CC8"/>
    <w:rsid w:val="00367D25"/>
    <w:rsid w:val="0037020A"/>
    <w:rsid w:val="003702FB"/>
    <w:rsid w:val="003703B8"/>
    <w:rsid w:val="003705A1"/>
    <w:rsid w:val="00370624"/>
    <w:rsid w:val="0037062B"/>
    <w:rsid w:val="0037084F"/>
    <w:rsid w:val="0037097F"/>
    <w:rsid w:val="00370A8D"/>
    <w:rsid w:val="00370A9F"/>
    <w:rsid w:val="00370C26"/>
    <w:rsid w:val="00370C8B"/>
    <w:rsid w:val="00370DC4"/>
    <w:rsid w:val="00370DD0"/>
    <w:rsid w:val="00370EF5"/>
    <w:rsid w:val="00370FD3"/>
    <w:rsid w:val="0037115B"/>
    <w:rsid w:val="0037127D"/>
    <w:rsid w:val="0037132A"/>
    <w:rsid w:val="00371454"/>
    <w:rsid w:val="00371545"/>
    <w:rsid w:val="00371624"/>
    <w:rsid w:val="00371926"/>
    <w:rsid w:val="0037195D"/>
    <w:rsid w:val="00371A23"/>
    <w:rsid w:val="00371A77"/>
    <w:rsid w:val="00371AC9"/>
    <w:rsid w:val="00371FB4"/>
    <w:rsid w:val="00372383"/>
    <w:rsid w:val="0037252A"/>
    <w:rsid w:val="00372599"/>
    <w:rsid w:val="0037272F"/>
    <w:rsid w:val="00372BA4"/>
    <w:rsid w:val="00372C3D"/>
    <w:rsid w:val="00372D8F"/>
    <w:rsid w:val="00372E37"/>
    <w:rsid w:val="00372F8F"/>
    <w:rsid w:val="00372FB4"/>
    <w:rsid w:val="00373476"/>
    <w:rsid w:val="00373510"/>
    <w:rsid w:val="00373545"/>
    <w:rsid w:val="0037399B"/>
    <w:rsid w:val="00374167"/>
    <w:rsid w:val="003746AA"/>
    <w:rsid w:val="003746CB"/>
    <w:rsid w:val="00374801"/>
    <w:rsid w:val="00374BDE"/>
    <w:rsid w:val="00374D72"/>
    <w:rsid w:val="00374DF5"/>
    <w:rsid w:val="0037502E"/>
    <w:rsid w:val="00375124"/>
    <w:rsid w:val="003754AF"/>
    <w:rsid w:val="003755AF"/>
    <w:rsid w:val="003756DD"/>
    <w:rsid w:val="0037645F"/>
    <w:rsid w:val="00376626"/>
    <w:rsid w:val="003766CB"/>
    <w:rsid w:val="0037693A"/>
    <w:rsid w:val="00376A0D"/>
    <w:rsid w:val="00376A12"/>
    <w:rsid w:val="00376D09"/>
    <w:rsid w:val="00376F3B"/>
    <w:rsid w:val="00376FDD"/>
    <w:rsid w:val="0037704E"/>
    <w:rsid w:val="003771BA"/>
    <w:rsid w:val="003771BB"/>
    <w:rsid w:val="00377308"/>
    <w:rsid w:val="00377314"/>
    <w:rsid w:val="0037744A"/>
    <w:rsid w:val="003779E1"/>
    <w:rsid w:val="00377A52"/>
    <w:rsid w:val="00377D3A"/>
    <w:rsid w:val="00377FA6"/>
    <w:rsid w:val="00377FE3"/>
    <w:rsid w:val="00380043"/>
    <w:rsid w:val="00380502"/>
    <w:rsid w:val="0038056A"/>
    <w:rsid w:val="00380618"/>
    <w:rsid w:val="00380785"/>
    <w:rsid w:val="003808C8"/>
    <w:rsid w:val="003809CD"/>
    <w:rsid w:val="00380B46"/>
    <w:rsid w:val="00380C43"/>
    <w:rsid w:val="00380CA1"/>
    <w:rsid w:val="00380E5E"/>
    <w:rsid w:val="00381037"/>
    <w:rsid w:val="003811DC"/>
    <w:rsid w:val="0038140F"/>
    <w:rsid w:val="0038158F"/>
    <w:rsid w:val="00381720"/>
    <w:rsid w:val="00381B1A"/>
    <w:rsid w:val="00381BC5"/>
    <w:rsid w:val="00381BCC"/>
    <w:rsid w:val="00381BE5"/>
    <w:rsid w:val="00381D17"/>
    <w:rsid w:val="00382079"/>
    <w:rsid w:val="00382085"/>
    <w:rsid w:val="003820FE"/>
    <w:rsid w:val="00382443"/>
    <w:rsid w:val="003825F8"/>
    <w:rsid w:val="00382B1D"/>
    <w:rsid w:val="00382B89"/>
    <w:rsid w:val="00382B99"/>
    <w:rsid w:val="00382BE0"/>
    <w:rsid w:val="00382BF0"/>
    <w:rsid w:val="00382C89"/>
    <w:rsid w:val="00382ED8"/>
    <w:rsid w:val="00383039"/>
    <w:rsid w:val="0038307B"/>
    <w:rsid w:val="00383100"/>
    <w:rsid w:val="00383255"/>
    <w:rsid w:val="003832C4"/>
    <w:rsid w:val="00383504"/>
    <w:rsid w:val="0038359F"/>
    <w:rsid w:val="0038376D"/>
    <w:rsid w:val="0038392B"/>
    <w:rsid w:val="00383C28"/>
    <w:rsid w:val="00383D1C"/>
    <w:rsid w:val="00383E71"/>
    <w:rsid w:val="00383E84"/>
    <w:rsid w:val="00383EDD"/>
    <w:rsid w:val="00383F62"/>
    <w:rsid w:val="0038401A"/>
    <w:rsid w:val="003841F0"/>
    <w:rsid w:val="00384334"/>
    <w:rsid w:val="003844AB"/>
    <w:rsid w:val="00384541"/>
    <w:rsid w:val="0038462A"/>
    <w:rsid w:val="003846F4"/>
    <w:rsid w:val="00384721"/>
    <w:rsid w:val="0038484A"/>
    <w:rsid w:val="00384AF1"/>
    <w:rsid w:val="00384B0F"/>
    <w:rsid w:val="00384E72"/>
    <w:rsid w:val="00384EDC"/>
    <w:rsid w:val="0038519D"/>
    <w:rsid w:val="003854A9"/>
    <w:rsid w:val="00385521"/>
    <w:rsid w:val="003857CE"/>
    <w:rsid w:val="003858CD"/>
    <w:rsid w:val="003858DE"/>
    <w:rsid w:val="00385A40"/>
    <w:rsid w:val="00385CEA"/>
    <w:rsid w:val="00385D19"/>
    <w:rsid w:val="00385DC0"/>
    <w:rsid w:val="00385DF6"/>
    <w:rsid w:val="00385E48"/>
    <w:rsid w:val="00386168"/>
    <w:rsid w:val="003861D2"/>
    <w:rsid w:val="003862F1"/>
    <w:rsid w:val="00386335"/>
    <w:rsid w:val="0038653A"/>
    <w:rsid w:val="0038656A"/>
    <w:rsid w:val="0038674F"/>
    <w:rsid w:val="00387253"/>
    <w:rsid w:val="0038732A"/>
    <w:rsid w:val="00387344"/>
    <w:rsid w:val="0038749D"/>
    <w:rsid w:val="003877C0"/>
    <w:rsid w:val="00390003"/>
    <w:rsid w:val="0039004B"/>
    <w:rsid w:val="0039018F"/>
    <w:rsid w:val="003904B8"/>
    <w:rsid w:val="003906F7"/>
    <w:rsid w:val="003907DB"/>
    <w:rsid w:val="003907ED"/>
    <w:rsid w:val="003907F0"/>
    <w:rsid w:val="00390BAA"/>
    <w:rsid w:val="00390E71"/>
    <w:rsid w:val="0039101D"/>
    <w:rsid w:val="00391145"/>
    <w:rsid w:val="00391193"/>
    <w:rsid w:val="0039122A"/>
    <w:rsid w:val="00391237"/>
    <w:rsid w:val="00391254"/>
    <w:rsid w:val="0039134B"/>
    <w:rsid w:val="00391429"/>
    <w:rsid w:val="00391647"/>
    <w:rsid w:val="003916E2"/>
    <w:rsid w:val="00391BB6"/>
    <w:rsid w:val="00391C29"/>
    <w:rsid w:val="00391F06"/>
    <w:rsid w:val="00391F5D"/>
    <w:rsid w:val="00392243"/>
    <w:rsid w:val="003922E9"/>
    <w:rsid w:val="003927A8"/>
    <w:rsid w:val="003927B4"/>
    <w:rsid w:val="00392978"/>
    <w:rsid w:val="00392AE9"/>
    <w:rsid w:val="00392D86"/>
    <w:rsid w:val="00392E5E"/>
    <w:rsid w:val="00393074"/>
    <w:rsid w:val="003930F6"/>
    <w:rsid w:val="00393184"/>
    <w:rsid w:val="003931F2"/>
    <w:rsid w:val="003931FA"/>
    <w:rsid w:val="00393255"/>
    <w:rsid w:val="0039344A"/>
    <w:rsid w:val="0039378A"/>
    <w:rsid w:val="00393879"/>
    <w:rsid w:val="003938AE"/>
    <w:rsid w:val="00393919"/>
    <w:rsid w:val="00393C5E"/>
    <w:rsid w:val="00393C80"/>
    <w:rsid w:val="00393FC8"/>
    <w:rsid w:val="003941AE"/>
    <w:rsid w:val="00394205"/>
    <w:rsid w:val="00394215"/>
    <w:rsid w:val="003945DA"/>
    <w:rsid w:val="00394710"/>
    <w:rsid w:val="00394729"/>
    <w:rsid w:val="0039474C"/>
    <w:rsid w:val="003948CC"/>
    <w:rsid w:val="00394ABF"/>
    <w:rsid w:val="00394F8D"/>
    <w:rsid w:val="0039526C"/>
    <w:rsid w:val="00395271"/>
    <w:rsid w:val="003952DB"/>
    <w:rsid w:val="00395504"/>
    <w:rsid w:val="00395907"/>
    <w:rsid w:val="00395BF6"/>
    <w:rsid w:val="00395DC2"/>
    <w:rsid w:val="003960BE"/>
    <w:rsid w:val="00396403"/>
    <w:rsid w:val="0039643B"/>
    <w:rsid w:val="00396554"/>
    <w:rsid w:val="00396B10"/>
    <w:rsid w:val="00396B17"/>
    <w:rsid w:val="00396E10"/>
    <w:rsid w:val="003970D7"/>
    <w:rsid w:val="003972A6"/>
    <w:rsid w:val="003972DC"/>
    <w:rsid w:val="003972E2"/>
    <w:rsid w:val="00397329"/>
    <w:rsid w:val="003973F9"/>
    <w:rsid w:val="0039751A"/>
    <w:rsid w:val="003978AA"/>
    <w:rsid w:val="00397B07"/>
    <w:rsid w:val="00397D49"/>
    <w:rsid w:val="00397FF1"/>
    <w:rsid w:val="003A0076"/>
    <w:rsid w:val="003A0121"/>
    <w:rsid w:val="003A08D5"/>
    <w:rsid w:val="003A0947"/>
    <w:rsid w:val="003A0B70"/>
    <w:rsid w:val="003A0BF3"/>
    <w:rsid w:val="003A0FA7"/>
    <w:rsid w:val="003A10BF"/>
    <w:rsid w:val="003A11F8"/>
    <w:rsid w:val="003A1235"/>
    <w:rsid w:val="003A12BE"/>
    <w:rsid w:val="003A15CD"/>
    <w:rsid w:val="003A17E3"/>
    <w:rsid w:val="003A184E"/>
    <w:rsid w:val="003A18BF"/>
    <w:rsid w:val="003A197C"/>
    <w:rsid w:val="003A1AD1"/>
    <w:rsid w:val="003A1B87"/>
    <w:rsid w:val="003A1BA4"/>
    <w:rsid w:val="003A1C17"/>
    <w:rsid w:val="003A1DE1"/>
    <w:rsid w:val="003A1EE7"/>
    <w:rsid w:val="003A1FB3"/>
    <w:rsid w:val="003A20AE"/>
    <w:rsid w:val="003A22A9"/>
    <w:rsid w:val="003A2337"/>
    <w:rsid w:val="003A2398"/>
    <w:rsid w:val="003A23E1"/>
    <w:rsid w:val="003A2521"/>
    <w:rsid w:val="003A25B3"/>
    <w:rsid w:val="003A28A3"/>
    <w:rsid w:val="003A2B9F"/>
    <w:rsid w:val="003A2C90"/>
    <w:rsid w:val="003A2FCA"/>
    <w:rsid w:val="003A3121"/>
    <w:rsid w:val="003A328A"/>
    <w:rsid w:val="003A3341"/>
    <w:rsid w:val="003A34FC"/>
    <w:rsid w:val="003A3623"/>
    <w:rsid w:val="003A365C"/>
    <w:rsid w:val="003A3884"/>
    <w:rsid w:val="003A3A0E"/>
    <w:rsid w:val="003A3A61"/>
    <w:rsid w:val="003A3B93"/>
    <w:rsid w:val="003A3C49"/>
    <w:rsid w:val="003A3E54"/>
    <w:rsid w:val="003A3E72"/>
    <w:rsid w:val="003A3F1B"/>
    <w:rsid w:val="003A3FAD"/>
    <w:rsid w:val="003A408A"/>
    <w:rsid w:val="003A4327"/>
    <w:rsid w:val="003A432C"/>
    <w:rsid w:val="003A44B8"/>
    <w:rsid w:val="003A457C"/>
    <w:rsid w:val="003A4988"/>
    <w:rsid w:val="003A49C1"/>
    <w:rsid w:val="003A4B94"/>
    <w:rsid w:val="003A4CA8"/>
    <w:rsid w:val="003A4D37"/>
    <w:rsid w:val="003A4F16"/>
    <w:rsid w:val="003A4F6E"/>
    <w:rsid w:val="003A50B5"/>
    <w:rsid w:val="003A55D4"/>
    <w:rsid w:val="003A57F8"/>
    <w:rsid w:val="003A5A70"/>
    <w:rsid w:val="003A5AC3"/>
    <w:rsid w:val="003A5BD2"/>
    <w:rsid w:val="003A5CB9"/>
    <w:rsid w:val="003A5DF5"/>
    <w:rsid w:val="003A5F69"/>
    <w:rsid w:val="003A5F8B"/>
    <w:rsid w:val="003A5FB1"/>
    <w:rsid w:val="003A60A5"/>
    <w:rsid w:val="003A6133"/>
    <w:rsid w:val="003A6329"/>
    <w:rsid w:val="003A63A3"/>
    <w:rsid w:val="003A680D"/>
    <w:rsid w:val="003A6832"/>
    <w:rsid w:val="003A6858"/>
    <w:rsid w:val="003A69B5"/>
    <w:rsid w:val="003A6D63"/>
    <w:rsid w:val="003A6D83"/>
    <w:rsid w:val="003A6DC9"/>
    <w:rsid w:val="003A6F83"/>
    <w:rsid w:val="003A70B6"/>
    <w:rsid w:val="003A71A7"/>
    <w:rsid w:val="003A7A0A"/>
    <w:rsid w:val="003A7B29"/>
    <w:rsid w:val="003A7B36"/>
    <w:rsid w:val="003A7C7A"/>
    <w:rsid w:val="003A7D0F"/>
    <w:rsid w:val="003A7D9B"/>
    <w:rsid w:val="003A7EC9"/>
    <w:rsid w:val="003B005B"/>
    <w:rsid w:val="003B0087"/>
    <w:rsid w:val="003B016B"/>
    <w:rsid w:val="003B069F"/>
    <w:rsid w:val="003B06A1"/>
    <w:rsid w:val="003B0738"/>
    <w:rsid w:val="003B074E"/>
    <w:rsid w:val="003B09CD"/>
    <w:rsid w:val="003B09F6"/>
    <w:rsid w:val="003B0B11"/>
    <w:rsid w:val="003B1007"/>
    <w:rsid w:val="003B10E1"/>
    <w:rsid w:val="003B128F"/>
    <w:rsid w:val="003B13D7"/>
    <w:rsid w:val="003B14F3"/>
    <w:rsid w:val="003B19E9"/>
    <w:rsid w:val="003B1B63"/>
    <w:rsid w:val="003B1D24"/>
    <w:rsid w:val="003B21B3"/>
    <w:rsid w:val="003B2371"/>
    <w:rsid w:val="003B264A"/>
    <w:rsid w:val="003B2773"/>
    <w:rsid w:val="003B2836"/>
    <w:rsid w:val="003B2B66"/>
    <w:rsid w:val="003B2E19"/>
    <w:rsid w:val="003B2E94"/>
    <w:rsid w:val="003B2F92"/>
    <w:rsid w:val="003B2FF6"/>
    <w:rsid w:val="003B3187"/>
    <w:rsid w:val="003B325F"/>
    <w:rsid w:val="003B3A7C"/>
    <w:rsid w:val="003B3B07"/>
    <w:rsid w:val="003B3B11"/>
    <w:rsid w:val="003B3B56"/>
    <w:rsid w:val="003B3C66"/>
    <w:rsid w:val="003B3C76"/>
    <w:rsid w:val="003B3D1E"/>
    <w:rsid w:val="003B3D8B"/>
    <w:rsid w:val="003B3FA4"/>
    <w:rsid w:val="003B42ED"/>
    <w:rsid w:val="003B4557"/>
    <w:rsid w:val="003B468D"/>
    <w:rsid w:val="003B46A2"/>
    <w:rsid w:val="003B4948"/>
    <w:rsid w:val="003B49F4"/>
    <w:rsid w:val="003B4C57"/>
    <w:rsid w:val="003B4C85"/>
    <w:rsid w:val="003B514B"/>
    <w:rsid w:val="003B5442"/>
    <w:rsid w:val="003B5509"/>
    <w:rsid w:val="003B5573"/>
    <w:rsid w:val="003B5831"/>
    <w:rsid w:val="003B589C"/>
    <w:rsid w:val="003B595A"/>
    <w:rsid w:val="003B59A9"/>
    <w:rsid w:val="003B5A66"/>
    <w:rsid w:val="003B5AED"/>
    <w:rsid w:val="003B5C57"/>
    <w:rsid w:val="003B5CDD"/>
    <w:rsid w:val="003B5F66"/>
    <w:rsid w:val="003B6002"/>
    <w:rsid w:val="003B62A1"/>
    <w:rsid w:val="003B6304"/>
    <w:rsid w:val="003B6307"/>
    <w:rsid w:val="003B6348"/>
    <w:rsid w:val="003B63D1"/>
    <w:rsid w:val="003B6428"/>
    <w:rsid w:val="003B69C9"/>
    <w:rsid w:val="003B6B48"/>
    <w:rsid w:val="003B6B89"/>
    <w:rsid w:val="003B6BC5"/>
    <w:rsid w:val="003B6BE6"/>
    <w:rsid w:val="003B6BF9"/>
    <w:rsid w:val="003B6CCC"/>
    <w:rsid w:val="003B6D5A"/>
    <w:rsid w:val="003B700B"/>
    <w:rsid w:val="003B73AC"/>
    <w:rsid w:val="003B73DB"/>
    <w:rsid w:val="003B74ED"/>
    <w:rsid w:val="003B76D9"/>
    <w:rsid w:val="003B7746"/>
    <w:rsid w:val="003B79BC"/>
    <w:rsid w:val="003B7A3D"/>
    <w:rsid w:val="003C0119"/>
    <w:rsid w:val="003C0127"/>
    <w:rsid w:val="003C01A6"/>
    <w:rsid w:val="003C039E"/>
    <w:rsid w:val="003C047D"/>
    <w:rsid w:val="003C0755"/>
    <w:rsid w:val="003C08F6"/>
    <w:rsid w:val="003C091F"/>
    <w:rsid w:val="003C0D88"/>
    <w:rsid w:val="003C10F0"/>
    <w:rsid w:val="003C132C"/>
    <w:rsid w:val="003C13DF"/>
    <w:rsid w:val="003C13E5"/>
    <w:rsid w:val="003C1A86"/>
    <w:rsid w:val="003C25E7"/>
    <w:rsid w:val="003C26B1"/>
    <w:rsid w:val="003C274D"/>
    <w:rsid w:val="003C2A3E"/>
    <w:rsid w:val="003C2B66"/>
    <w:rsid w:val="003C2BF4"/>
    <w:rsid w:val="003C3030"/>
    <w:rsid w:val="003C3050"/>
    <w:rsid w:val="003C306D"/>
    <w:rsid w:val="003C31ED"/>
    <w:rsid w:val="003C323A"/>
    <w:rsid w:val="003C3292"/>
    <w:rsid w:val="003C32A6"/>
    <w:rsid w:val="003C32DA"/>
    <w:rsid w:val="003C34E9"/>
    <w:rsid w:val="003C3589"/>
    <w:rsid w:val="003C366D"/>
    <w:rsid w:val="003C38DF"/>
    <w:rsid w:val="003C3942"/>
    <w:rsid w:val="003C3D75"/>
    <w:rsid w:val="003C3EE2"/>
    <w:rsid w:val="003C3F49"/>
    <w:rsid w:val="003C3F76"/>
    <w:rsid w:val="003C4561"/>
    <w:rsid w:val="003C4711"/>
    <w:rsid w:val="003C496E"/>
    <w:rsid w:val="003C4A6F"/>
    <w:rsid w:val="003C4AE8"/>
    <w:rsid w:val="003C4FCA"/>
    <w:rsid w:val="003C5030"/>
    <w:rsid w:val="003C5131"/>
    <w:rsid w:val="003C54F9"/>
    <w:rsid w:val="003C560F"/>
    <w:rsid w:val="003C5718"/>
    <w:rsid w:val="003C5758"/>
    <w:rsid w:val="003C59D6"/>
    <w:rsid w:val="003C5A78"/>
    <w:rsid w:val="003C5AE1"/>
    <w:rsid w:val="003C5C79"/>
    <w:rsid w:val="003C5CD1"/>
    <w:rsid w:val="003C6105"/>
    <w:rsid w:val="003C629D"/>
    <w:rsid w:val="003C6366"/>
    <w:rsid w:val="003C672A"/>
    <w:rsid w:val="003C675F"/>
    <w:rsid w:val="003C676E"/>
    <w:rsid w:val="003C6825"/>
    <w:rsid w:val="003C6A7C"/>
    <w:rsid w:val="003C6AC2"/>
    <w:rsid w:val="003C6C0F"/>
    <w:rsid w:val="003C6CC4"/>
    <w:rsid w:val="003C701A"/>
    <w:rsid w:val="003C70B2"/>
    <w:rsid w:val="003C72FB"/>
    <w:rsid w:val="003C730C"/>
    <w:rsid w:val="003C75C5"/>
    <w:rsid w:val="003C775D"/>
    <w:rsid w:val="003C798F"/>
    <w:rsid w:val="003C79E4"/>
    <w:rsid w:val="003C7A00"/>
    <w:rsid w:val="003C7A3E"/>
    <w:rsid w:val="003C7D19"/>
    <w:rsid w:val="003C7EA2"/>
    <w:rsid w:val="003C7EDC"/>
    <w:rsid w:val="003D01D1"/>
    <w:rsid w:val="003D0252"/>
    <w:rsid w:val="003D026C"/>
    <w:rsid w:val="003D0397"/>
    <w:rsid w:val="003D04C1"/>
    <w:rsid w:val="003D04E2"/>
    <w:rsid w:val="003D08B9"/>
    <w:rsid w:val="003D0C7A"/>
    <w:rsid w:val="003D0CB0"/>
    <w:rsid w:val="003D0D58"/>
    <w:rsid w:val="003D0E83"/>
    <w:rsid w:val="003D1465"/>
    <w:rsid w:val="003D15C5"/>
    <w:rsid w:val="003D1612"/>
    <w:rsid w:val="003D16FA"/>
    <w:rsid w:val="003D17D5"/>
    <w:rsid w:val="003D181E"/>
    <w:rsid w:val="003D1838"/>
    <w:rsid w:val="003D1D1D"/>
    <w:rsid w:val="003D1FA0"/>
    <w:rsid w:val="003D212A"/>
    <w:rsid w:val="003D21EA"/>
    <w:rsid w:val="003D2ADC"/>
    <w:rsid w:val="003D2DD2"/>
    <w:rsid w:val="003D2ED5"/>
    <w:rsid w:val="003D2F78"/>
    <w:rsid w:val="003D2F90"/>
    <w:rsid w:val="003D2FAF"/>
    <w:rsid w:val="003D2FF7"/>
    <w:rsid w:val="003D30CF"/>
    <w:rsid w:val="003D333D"/>
    <w:rsid w:val="003D35D1"/>
    <w:rsid w:val="003D35F5"/>
    <w:rsid w:val="003D387F"/>
    <w:rsid w:val="003D38DA"/>
    <w:rsid w:val="003D3FA1"/>
    <w:rsid w:val="003D41A4"/>
    <w:rsid w:val="003D4244"/>
    <w:rsid w:val="003D42E3"/>
    <w:rsid w:val="003D4627"/>
    <w:rsid w:val="003D4779"/>
    <w:rsid w:val="003D4836"/>
    <w:rsid w:val="003D4ADA"/>
    <w:rsid w:val="003D4B97"/>
    <w:rsid w:val="003D4BB4"/>
    <w:rsid w:val="003D4C02"/>
    <w:rsid w:val="003D4E5E"/>
    <w:rsid w:val="003D4E6B"/>
    <w:rsid w:val="003D4E87"/>
    <w:rsid w:val="003D4FEB"/>
    <w:rsid w:val="003D5181"/>
    <w:rsid w:val="003D5289"/>
    <w:rsid w:val="003D566D"/>
    <w:rsid w:val="003D5C29"/>
    <w:rsid w:val="003D5DC2"/>
    <w:rsid w:val="003D5E9A"/>
    <w:rsid w:val="003D5EA6"/>
    <w:rsid w:val="003D6432"/>
    <w:rsid w:val="003D64E6"/>
    <w:rsid w:val="003D66D8"/>
    <w:rsid w:val="003D6736"/>
    <w:rsid w:val="003D6902"/>
    <w:rsid w:val="003D692D"/>
    <w:rsid w:val="003D6978"/>
    <w:rsid w:val="003D69A2"/>
    <w:rsid w:val="003D6A4B"/>
    <w:rsid w:val="003D6E48"/>
    <w:rsid w:val="003D6F19"/>
    <w:rsid w:val="003D6FF8"/>
    <w:rsid w:val="003D72E1"/>
    <w:rsid w:val="003D7656"/>
    <w:rsid w:val="003D7A24"/>
    <w:rsid w:val="003D7B0D"/>
    <w:rsid w:val="003D7C34"/>
    <w:rsid w:val="003D7D9D"/>
    <w:rsid w:val="003E012A"/>
    <w:rsid w:val="003E04C7"/>
    <w:rsid w:val="003E07FC"/>
    <w:rsid w:val="003E0ABE"/>
    <w:rsid w:val="003E0BB5"/>
    <w:rsid w:val="003E0C05"/>
    <w:rsid w:val="003E0D24"/>
    <w:rsid w:val="003E0D26"/>
    <w:rsid w:val="003E0F90"/>
    <w:rsid w:val="003E10DB"/>
    <w:rsid w:val="003E12C3"/>
    <w:rsid w:val="003E1886"/>
    <w:rsid w:val="003E2155"/>
    <w:rsid w:val="003E21DF"/>
    <w:rsid w:val="003E21ED"/>
    <w:rsid w:val="003E2277"/>
    <w:rsid w:val="003E22A7"/>
    <w:rsid w:val="003E22CC"/>
    <w:rsid w:val="003E2308"/>
    <w:rsid w:val="003E2541"/>
    <w:rsid w:val="003E258D"/>
    <w:rsid w:val="003E273C"/>
    <w:rsid w:val="003E287C"/>
    <w:rsid w:val="003E2A70"/>
    <w:rsid w:val="003E2B5A"/>
    <w:rsid w:val="003E2BCC"/>
    <w:rsid w:val="003E2CD9"/>
    <w:rsid w:val="003E2DCE"/>
    <w:rsid w:val="003E2F68"/>
    <w:rsid w:val="003E312C"/>
    <w:rsid w:val="003E321A"/>
    <w:rsid w:val="003E3383"/>
    <w:rsid w:val="003E38C6"/>
    <w:rsid w:val="003E3952"/>
    <w:rsid w:val="003E3A6E"/>
    <w:rsid w:val="003E3B77"/>
    <w:rsid w:val="003E3FB9"/>
    <w:rsid w:val="003E415B"/>
    <w:rsid w:val="003E4415"/>
    <w:rsid w:val="003E45D2"/>
    <w:rsid w:val="003E4634"/>
    <w:rsid w:val="003E464E"/>
    <w:rsid w:val="003E47AE"/>
    <w:rsid w:val="003E4CC7"/>
    <w:rsid w:val="003E4D70"/>
    <w:rsid w:val="003E5184"/>
    <w:rsid w:val="003E5187"/>
    <w:rsid w:val="003E5251"/>
    <w:rsid w:val="003E57A0"/>
    <w:rsid w:val="003E57D9"/>
    <w:rsid w:val="003E5E0E"/>
    <w:rsid w:val="003E616D"/>
    <w:rsid w:val="003E62FE"/>
    <w:rsid w:val="003E6459"/>
    <w:rsid w:val="003E6644"/>
    <w:rsid w:val="003E6834"/>
    <w:rsid w:val="003E69D9"/>
    <w:rsid w:val="003E6B87"/>
    <w:rsid w:val="003E6C4D"/>
    <w:rsid w:val="003E6FED"/>
    <w:rsid w:val="003E7077"/>
    <w:rsid w:val="003E7748"/>
    <w:rsid w:val="003E7888"/>
    <w:rsid w:val="003E79A2"/>
    <w:rsid w:val="003E7A2E"/>
    <w:rsid w:val="003E7BBE"/>
    <w:rsid w:val="003E7CE3"/>
    <w:rsid w:val="003E7F56"/>
    <w:rsid w:val="003F0398"/>
    <w:rsid w:val="003F0632"/>
    <w:rsid w:val="003F06F8"/>
    <w:rsid w:val="003F0882"/>
    <w:rsid w:val="003F0B75"/>
    <w:rsid w:val="003F0D65"/>
    <w:rsid w:val="003F0E0D"/>
    <w:rsid w:val="003F0FE2"/>
    <w:rsid w:val="003F12F7"/>
    <w:rsid w:val="003F15E0"/>
    <w:rsid w:val="003F1806"/>
    <w:rsid w:val="003F1851"/>
    <w:rsid w:val="003F1A58"/>
    <w:rsid w:val="003F1A9A"/>
    <w:rsid w:val="003F1BD6"/>
    <w:rsid w:val="003F1FFF"/>
    <w:rsid w:val="003F22B8"/>
    <w:rsid w:val="003F2515"/>
    <w:rsid w:val="003F2657"/>
    <w:rsid w:val="003F2A8B"/>
    <w:rsid w:val="003F2C41"/>
    <w:rsid w:val="003F2CB5"/>
    <w:rsid w:val="003F2F53"/>
    <w:rsid w:val="003F309F"/>
    <w:rsid w:val="003F3100"/>
    <w:rsid w:val="003F31B0"/>
    <w:rsid w:val="003F3548"/>
    <w:rsid w:val="003F3865"/>
    <w:rsid w:val="003F3CD9"/>
    <w:rsid w:val="003F3D31"/>
    <w:rsid w:val="003F4225"/>
    <w:rsid w:val="003F42A9"/>
    <w:rsid w:val="003F48A4"/>
    <w:rsid w:val="003F49E7"/>
    <w:rsid w:val="003F4ED8"/>
    <w:rsid w:val="003F4F18"/>
    <w:rsid w:val="003F55D1"/>
    <w:rsid w:val="003F58C4"/>
    <w:rsid w:val="003F5976"/>
    <w:rsid w:val="003F5AD3"/>
    <w:rsid w:val="003F5E3C"/>
    <w:rsid w:val="003F5ECF"/>
    <w:rsid w:val="003F5F53"/>
    <w:rsid w:val="003F5FF7"/>
    <w:rsid w:val="003F610F"/>
    <w:rsid w:val="003F61CB"/>
    <w:rsid w:val="003F62AC"/>
    <w:rsid w:val="003F64E9"/>
    <w:rsid w:val="003F68EA"/>
    <w:rsid w:val="003F6C95"/>
    <w:rsid w:val="003F6D13"/>
    <w:rsid w:val="003F6D4C"/>
    <w:rsid w:val="003F6D92"/>
    <w:rsid w:val="003F6F99"/>
    <w:rsid w:val="003F6FE9"/>
    <w:rsid w:val="003F743F"/>
    <w:rsid w:val="003F744D"/>
    <w:rsid w:val="003F7707"/>
    <w:rsid w:val="003F7752"/>
    <w:rsid w:val="003F77F0"/>
    <w:rsid w:val="003F7B3D"/>
    <w:rsid w:val="003F7BFE"/>
    <w:rsid w:val="003F7C02"/>
    <w:rsid w:val="003F7C47"/>
    <w:rsid w:val="003F7CFC"/>
    <w:rsid w:val="003F7D15"/>
    <w:rsid w:val="003F7DA9"/>
    <w:rsid w:val="003F7EE6"/>
    <w:rsid w:val="00400020"/>
    <w:rsid w:val="004000FF"/>
    <w:rsid w:val="0040057C"/>
    <w:rsid w:val="00400619"/>
    <w:rsid w:val="00400682"/>
    <w:rsid w:val="0040077C"/>
    <w:rsid w:val="00400861"/>
    <w:rsid w:val="00400868"/>
    <w:rsid w:val="00400A42"/>
    <w:rsid w:val="00400ADF"/>
    <w:rsid w:val="00400C17"/>
    <w:rsid w:val="00400CFE"/>
    <w:rsid w:val="00400FC4"/>
    <w:rsid w:val="00401196"/>
    <w:rsid w:val="00401357"/>
    <w:rsid w:val="00401445"/>
    <w:rsid w:val="004014A9"/>
    <w:rsid w:val="004014C0"/>
    <w:rsid w:val="00401658"/>
    <w:rsid w:val="004016D6"/>
    <w:rsid w:val="004019EC"/>
    <w:rsid w:val="00401DBF"/>
    <w:rsid w:val="00401DE5"/>
    <w:rsid w:val="0040200B"/>
    <w:rsid w:val="004020D8"/>
    <w:rsid w:val="00402214"/>
    <w:rsid w:val="00402215"/>
    <w:rsid w:val="004022A7"/>
    <w:rsid w:val="004022DF"/>
    <w:rsid w:val="004022E2"/>
    <w:rsid w:val="0040235D"/>
    <w:rsid w:val="00402477"/>
    <w:rsid w:val="00402636"/>
    <w:rsid w:val="004026F9"/>
    <w:rsid w:val="0040287D"/>
    <w:rsid w:val="0040296F"/>
    <w:rsid w:val="00402B16"/>
    <w:rsid w:val="00402C0C"/>
    <w:rsid w:val="00402D4D"/>
    <w:rsid w:val="00402FEF"/>
    <w:rsid w:val="0040348F"/>
    <w:rsid w:val="0040349B"/>
    <w:rsid w:val="0040349E"/>
    <w:rsid w:val="0040360C"/>
    <w:rsid w:val="00403675"/>
    <w:rsid w:val="0040381F"/>
    <w:rsid w:val="004039DF"/>
    <w:rsid w:val="00403B37"/>
    <w:rsid w:val="00403D9B"/>
    <w:rsid w:val="004041BB"/>
    <w:rsid w:val="00404259"/>
    <w:rsid w:val="004042FF"/>
    <w:rsid w:val="00404745"/>
    <w:rsid w:val="004047A5"/>
    <w:rsid w:val="00404807"/>
    <w:rsid w:val="004049D0"/>
    <w:rsid w:val="00404BD5"/>
    <w:rsid w:val="00404C60"/>
    <w:rsid w:val="00404D15"/>
    <w:rsid w:val="0040511A"/>
    <w:rsid w:val="0040516F"/>
    <w:rsid w:val="004051A7"/>
    <w:rsid w:val="004051DD"/>
    <w:rsid w:val="00405311"/>
    <w:rsid w:val="004053E0"/>
    <w:rsid w:val="0040597E"/>
    <w:rsid w:val="00405C3E"/>
    <w:rsid w:val="00405E6F"/>
    <w:rsid w:val="00406086"/>
    <w:rsid w:val="004060A4"/>
    <w:rsid w:val="004060FC"/>
    <w:rsid w:val="00406278"/>
    <w:rsid w:val="0040633B"/>
    <w:rsid w:val="004063F0"/>
    <w:rsid w:val="004065B3"/>
    <w:rsid w:val="004066F7"/>
    <w:rsid w:val="0040687B"/>
    <w:rsid w:val="00406BC0"/>
    <w:rsid w:val="0040745C"/>
    <w:rsid w:val="0040749F"/>
    <w:rsid w:val="00407930"/>
    <w:rsid w:val="00407A7E"/>
    <w:rsid w:val="00407C43"/>
    <w:rsid w:val="00407DD2"/>
    <w:rsid w:val="00407DEE"/>
    <w:rsid w:val="00407F18"/>
    <w:rsid w:val="00407FCC"/>
    <w:rsid w:val="004100BA"/>
    <w:rsid w:val="00410190"/>
    <w:rsid w:val="0041028C"/>
    <w:rsid w:val="004103A8"/>
    <w:rsid w:val="004103E7"/>
    <w:rsid w:val="00410444"/>
    <w:rsid w:val="004106B2"/>
    <w:rsid w:val="004107AB"/>
    <w:rsid w:val="004107F8"/>
    <w:rsid w:val="004108A6"/>
    <w:rsid w:val="004108BE"/>
    <w:rsid w:val="00410ABB"/>
    <w:rsid w:val="00410BFE"/>
    <w:rsid w:val="00410C18"/>
    <w:rsid w:val="00410E50"/>
    <w:rsid w:val="00410ECB"/>
    <w:rsid w:val="004110AA"/>
    <w:rsid w:val="0041123E"/>
    <w:rsid w:val="00411458"/>
    <w:rsid w:val="00411568"/>
    <w:rsid w:val="004115B3"/>
    <w:rsid w:val="00411ADB"/>
    <w:rsid w:val="00411B09"/>
    <w:rsid w:val="00412090"/>
    <w:rsid w:val="004123D2"/>
    <w:rsid w:val="00412451"/>
    <w:rsid w:val="00413097"/>
    <w:rsid w:val="0041316E"/>
    <w:rsid w:val="00413B7D"/>
    <w:rsid w:val="0041400A"/>
    <w:rsid w:val="00414490"/>
    <w:rsid w:val="0041451D"/>
    <w:rsid w:val="00414690"/>
    <w:rsid w:val="004148ED"/>
    <w:rsid w:val="00414A11"/>
    <w:rsid w:val="00414A56"/>
    <w:rsid w:val="00414AFC"/>
    <w:rsid w:val="00414BA7"/>
    <w:rsid w:val="00414BED"/>
    <w:rsid w:val="00414C50"/>
    <w:rsid w:val="00414CF1"/>
    <w:rsid w:val="00414EA3"/>
    <w:rsid w:val="004152B5"/>
    <w:rsid w:val="004152ED"/>
    <w:rsid w:val="004152FA"/>
    <w:rsid w:val="004153F5"/>
    <w:rsid w:val="00415A31"/>
    <w:rsid w:val="00415D10"/>
    <w:rsid w:val="00415DD6"/>
    <w:rsid w:val="00415F6A"/>
    <w:rsid w:val="00415FFF"/>
    <w:rsid w:val="004161DA"/>
    <w:rsid w:val="00416318"/>
    <w:rsid w:val="00416374"/>
    <w:rsid w:val="004164A0"/>
    <w:rsid w:val="00416645"/>
    <w:rsid w:val="00416717"/>
    <w:rsid w:val="00416C58"/>
    <w:rsid w:val="00416C67"/>
    <w:rsid w:val="00416C7C"/>
    <w:rsid w:val="00416D4C"/>
    <w:rsid w:val="004173A7"/>
    <w:rsid w:val="0041775F"/>
    <w:rsid w:val="00417909"/>
    <w:rsid w:val="00417956"/>
    <w:rsid w:val="00417A42"/>
    <w:rsid w:val="00417F2A"/>
    <w:rsid w:val="0042025F"/>
    <w:rsid w:val="00420535"/>
    <w:rsid w:val="004205BB"/>
    <w:rsid w:val="004205FD"/>
    <w:rsid w:val="00420C60"/>
    <w:rsid w:val="00420D9C"/>
    <w:rsid w:val="00420F7F"/>
    <w:rsid w:val="0042106A"/>
    <w:rsid w:val="0042108B"/>
    <w:rsid w:val="004210CB"/>
    <w:rsid w:val="004211B2"/>
    <w:rsid w:val="00421224"/>
    <w:rsid w:val="00421319"/>
    <w:rsid w:val="004214B9"/>
    <w:rsid w:val="00421614"/>
    <w:rsid w:val="00421690"/>
    <w:rsid w:val="00421947"/>
    <w:rsid w:val="00421A3B"/>
    <w:rsid w:val="00421AA0"/>
    <w:rsid w:val="00421D50"/>
    <w:rsid w:val="00421E1B"/>
    <w:rsid w:val="00421ED0"/>
    <w:rsid w:val="004220BD"/>
    <w:rsid w:val="004221B2"/>
    <w:rsid w:val="00422250"/>
    <w:rsid w:val="00422590"/>
    <w:rsid w:val="004227BD"/>
    <w:rsid w:val="00422865"/>
    <w:rsid w:val="00422912"/>
    <w:rsid w:val="0042293A"/>
    <w:rsid w:val="00422ACF"/>
    <w:rsid w:val="00422D1B"/>
    <w:rsid w:val="00422E31"/>
    <w:rsid w:val="0042325B"/>
    <w:rsid w:val="0042350B"/>
    <w:rsid w:val="0042358F"/>
    <w:rsid w:val="004235C5"/>
    <w:rsid w:val="004235D6"/>
    <w:rsid w:val="00423681"/>
    <w:rsid w:val="004236D5"/>
    <w:rsid w:val="00423833"/>
    <w:rsid w:val="00423836"/>
    <w:rsid w:val="00423918"/>
    <w:rsid w:val="0042397D"/>
    <w:rsid w:val="00423A5D"/>
    <w:rsid w:val="00423B59"/>
    <w:rsid w:val="00423C64"/>
    <w:rsid w:val="00423DB7"/>
    <w:rsid w:val="00423F9C"/>
    <w:rsid w:val="0042412C"/>
    <w:rsid w:val="00424309"/>
    <w:rsid w:val="00424490"/>
    <w:rsid w:val="00424533"/>
    <w:rsid w:val="00424796"/>
    <w:rsid w:val="0042490D"/>
    <w:rsid w:val="00424ABD"/>
    <w:rsid w:val="00424B21"/>
    <w:rsid w:val="00424B9C"/>
    <w:rsid w:val="00424BBE"/>
    <w:rsid w:val="00424FDB"/>
    <w:rsid w:val="00425159"/>
    <w:rsid w:val="0042541D"/>
    <w:rsid w:val="0042548E"/>
    <w:rsid w:val="00425552"/>
    <w:rsid w:val="00425698"/>
    <w:rsid w:val="004257F9"/>
    <w:rsid w:val="004258AC"/>
    <w:rsid w:val="00425CD6"/>
    <w:rsid w:val="00425F6C"/>
    <w:rsid w:val="0042615D"/>
    <w:rsid w:val="00426240"/>
    <w:rsid w:val="0042633C"/>
    <w:rsid w:val="004264B9"/>
    <w:rsid w:val="0042661B"/>
    <w:rsid w:val="0042661E"/>
    <w:rsid w:val="00426640"/>
    <w:rsid w:val="0042718B"/>
    <w:rsid w:val="00427608"/>
    <w:rsid w:val="00427784"/>
    <w:rsid w:val="00427890"/>
    <w:rsid w:val="0042792F"/>
    <w:rsid w:val="00427C29"/>
    <w:rsid w:val="00427F2B"/>
    <w:rsid w:val="00430229"/>
    <w:rsid w:val="0043026C"/>
    <w:rsid w:val="00430348"/>
    <w:rsid w:val="004304B5"/>
    <w:rsid w:val="004304F5"/>
    <w:rsid w:val="00430544"/>
    <w:rsid w:val="004305C8"/>
    <w:rsid w:val="00430634"/>
    <w:rsid w:val="00430AE5"/>
    <w:rsid w:val="00430E2F"/>
    <w:rsid w:val="00431349"/>
    <w:rsid w:val="00431CDF"/>
    <w:rsid w:val="00431D8E"/>
    <w:rsid w:val="00431DC0"/>
    <w:rsid w:val="00432175"/>
    <w:rsid w:val="004321D2"/>
    <w:rsid w:val="00432410"/>
    <w:rsid w:val="004325C1"/>
    <w:rsid w:val="00432971"/>
    <w:rsid w:val="00432CFA"/>
    <w:rsid w:val="004337AF"/>
    <w:rsid w:val="00433949"/>
    <w:rsid w:val="004339E3"/>
    <w:rsid w:val="00433A90"/>
    <w:rsid w:val="00433B82"/>
    <w:rsid w:val="00433D7F"/>
    <w:rsid w:val="00433DB4"/>
    <w:rsid w:val="00433DC0"/>
    <w:rsid w:val="00433E71"/>
    <w:rsid w:val="00433F2F"/>
    <w:rsid w:val="00434211"/>
    <w:rsid w:val="0043422E"/>
    <w:rsid w:val="00434415"/>
    <w:rsid w:val="00434530"/>
    <w:rsid w:val="00434695"/>
    <w:rsid w:val="0043470C"/>
    <w:rsid w:val="004349FE"/>
    <w:rsid w:val="00434D39"/>
    <w:rsid w:val="00434E72"/>
    <w:rsid w:val="00435264"/>
    <w:rsid w:val="004356C5"/>
    <w:rsid w:val="0043573A"/>
    <w:rsid w:val="0043589A"/>
    <w:rsid w:val="00435954"/>
    <w:rsid w:val="004361B0"/>
    <w:rsid w:val="0043629D"/>
    <w:rsid w:val="00436310"/>
    <w:rsid w:val="004364AA"/>
    <w:rsid w:val="004369B0"/>
    <w:rsid w:val="00436A09"/>
    <w:rsid w:val="00436AEE"/>
    <w:rsid w:val="00437044"/>
    <w:rsid w:val="00437278"/>
    <w:rsid w:val="004374FD"/>
    <w:rsid w:val="0043755A"/>
    <w:rsid w:val="004376C1"/>
    <w:rsid w:val="004377EF"/>
    <w:rsid w:val="00437824"/>
    <w:rsid w:val="00437BA9"/>
    <w:rsid w:val="0044007D"/>
    <w:rsid w:val="0044010C"/>
    <w:rsid w:val="00440149"/>
    <w:rsid w:val="0044050B"/>
    <w:rsid w:val="00440647"/>
    <w:rsid w:val="0044088D"/>
    <w:rsid w:val="0044099A"/>
    <w:rsid w:val="00440D67"/>
    <w:rsid w:val="00440F6D"/>
    <w:rsid w:val="00441140"/>
    <w:rsid w:val="0044133F"/>
    <w:rsid w:val="00441453"/>
    <w:rsid w:val="00441509"/>
    <w:rsid w:val="004416A1"/>
    <w:rsid w:val="00441C5D"/>
    <w:rsid w:val="00441E84"/>
    <w:rsid w:val="004420A3"/>
    <w:rsid w:val="004420B3"/>
    <w:rsid w:val="00442402"/>
    <w:rsid w:val="00442526"/>
    <w:rsid w:val="004426D0"/>
    <w:rsid w:val="00442B90"/>
    <w:rsid w:val="00442BC1"/>
    <w:rsid w:val="00442E69"/>
    <w:rsid w:val="00443251"/>
    <w:rsid w:val="004432ED"/>
    <w:rsid w:val="00443519"/>
    <w:rsid w:val="00443604"/>
    <w:rsid w:val="0044374D"/>
    <w:rsid w:val="00443931"/>
    <w:rsid w:val="00443CA9"/>
    <w:rsid w:val="00443CBC"/>
    <w:rsid w:val="00443F6E"/>
    <w:rsid w:val="00444202"/>
    <w:rsid w:val="00444A75"/>
    <w:rsid w:val="00444F21"/>
    <w:rsid w:val="00445194"/>
    <w:rsid w:val="004453A3"/>
    <w:rsid w:val="0044555D"/>
    <w:rsid w:val="00445823"/>
    <w:rsid w:val="0044599C"/>
    <w:rsid w:val="00445AA8"/>
    <w:rsid w:val="00445D67"/>
    <w:rsid w:val="00445EF4"/>
    <w:rsid w:val="00445F6A"/>
    <w:rsid w:val="0044607D"/>
    <w:rsid w:val="00446402"/>
    <w:rsid w:val="004465E7"/>
    <w:rsid w:val="0044682A"/>
    <w:rsid w:val="00446892"/>
    <w:rsid w:val="00446B31"/>
    <w:rsid w:val="00446BB3"/>
    <w:rsid w:val="00446FB8"/>
    <w:rsid w:val="00447079"/>
    <w:rsid w:val="00447346"/>
    <w:rsid w:val="004478DD"/>
    <w:rsid w:val="00447941"/>
    <w:rsid w:val="00447BAF"/>
    <w:rsid w:val="00447BBD"/>
    <w:rsid w:val="00447D9E"/>
    <w:rsid w:val="00447DE8"/>
    <w:rsid w:val="00447E74"/>
    <w:rsid w:val="0045039A"/>
    <w:rsid w:val="0045048E"/>
    <w:rsid w:val="004504EC"/>
    <w:rsid w:val="00450B5F"/>
    <w:rsid w:val="00451080"/>
    <w:rsid w:val="00451271"/>
    <w:rsid w:val="004514E7"/>
    <w:rsid w:val="004515E7"/>
    <w:rsid w:val="004516BB"/>
    <w:rsid w:val="00451885"/>
    <w:rsid w:val="004518D2"/>
    <w:rsid w:val="00451B3A"/>
    <w:rsid w:val="00451C6C"/>
    <w:rsid w:val="00451CA5"/>
    <w:rsid w:val="00451DE5"/>
    <w:rsid w:val="00452015"/>
    <w:rsid w:val="004520CD"/>
    <w:rsid w:val="0045210F"/>
    <w:rsid w:val="00452210"/>
    <w:rsid w:val="00452538"/>
    <w:rsid w:val="00452602"/>
    <w:rsid w:val="004526B8"/>
    <w:rsid w:val="004527AE"/>
    <w:rsid w:val="00452880"/>
    <w:rsid w:val="004529D8"/>
    <w:rsid w:val="00452EF6"/>
    <w:rsid w:val="0045354B"/>
    <w:rsid w:val="00453578"/>
    <w:rsid w:val="00453671"/>
    <w:rsid w:val="00453672"/>
    <w:rsid w:val="004536A3"/>
    <w:rsid w:val="004536F5"/>
    <w:rsid w:val="004537EC"/>
    <w:rsid w:val="00453875"/>
    <w:rsid w:val="00453B9D"/>
    <w:rsid w:val="00453DC0"/>
    <w:rsid w:val="00453E7A"/>
    <w:rsid w:val="00453E83"/>
    <w:rsid w:val="00453F7A"/>
    <w:rsid w:val="00454255"/>
    <w:rsid w:val="0045431E"/>
    <w:rsid w:val="0045438A"/>
    <w:rsid w:val="00454396"/>
    <w:rsid w:val="00454534"/>
    <w:rsid w:val="00454921"/>
    <w:rsid w:val="004549B3"/>
    <w:rsid w:val="004549F5"/>
    <w:rsid w:val="00454B1A"/>
    <w:rsid w:val="00454B71"/>
    <w:rsid w:val="00454ED6"/>
    <w:rsid w:val="00454F27"/>
    <w:rsid w:val="00455064"/>
    <w:rsid w:val="004558DA"/>
    <w:rsid w:val="00455B8B"/>
    <w:rsid w:val="00455C55"/>
    <w:rsid w:val="00455D27"/>
    <w:rsid w:val="00455D30"/>
    <w:rsid w:val="00455EA8"/>
    <w:rsid w:val="00455F2C"/>
    <w:rsid w:val="00455F2F"/>
    <w:rsid w:val="0045617E"/>
    <w:rsid w:val="00456254"/>
    <w:rsid w:val="00456315"/>
    <w:rsid w:val="004564B1"/>
    <w:rsid w:val="00456679"/>
    <w:rsid w:val="00456847"/>
    <w:rsid w:val="00456B51"/>
    <w:rsid w:val="00456B86"/>
    <w:rsid w:val="00456CE5"/>
    <w:rsid w:val="00456F1E"/>
    <w:rsid w:val="00457001"/>
    <w:rsid w:val="0045742C"/>
    <w:rsid w:val="004576A6"/>
    <w:rsid w:val="004577AD"/>
    <w:rsid w:val="004577C9"/>
    <w:rsid w:val="00457B35"/>
    <w:rsid w:val="00457C1B"/>
    <w:rsid w:val="00457D83"/>
    <w:rsid w:val="00457FD2"/>
    <w:rsid w:val="0046017E"/>
    <w:rsid w:val="00460234"/>
    <w:rsid w:val="00460262"/>
    <w:rsid w:val="004602A4"/>
    <w:rsid w:val="004603C4"/>
    <w:rsid w:val="0046069C"/>
    <w:rsid w:val="00460AB8"/>
    <w:rsid w:val="00460AD3"/>
    <w:rsid w:val="00460AF7"/>
    <w:rsid w:val="00460D91"/>
    <w:rsid w:val="00460FC4"/>
    <w:rsid w:val="00461109"/>
    <w:rsid w:val="00461123"/>
    <w:rsid w:val="004611A4"/>
    <w:rsid w:val="004611C1"/>
    <w:rsid w:val="004616F5"/>
    <w:rsid w:val="00461761"/>
    <w:rsid w:val="004617A0"/>
    <w:rsid w:val="0046196B"/>
    <w:rsid w:val="00461FE5"/>
    <w:rsid w:val="0046202B"/>
    <w:rsid w:val="00462236"/>
    <w:rsid w:val="004622C1"/>
    <w:rsid w:val="004623C1"/>
    <w:rsid w:val="0046248A"/>
    <w:rsid w:val="004624AA"/>
    <w:rsid w:val="00462560"/>
    <w:rsid w:val="0046257F"/>
    <w:rsid w:val="004625A7"/>
    <w:rsid w:val="0046262C"/>
    <w:rsid w:val="00462690"/>
    <w:rsid w:val="0046271C"/>
    <w:rsid w:val="004627A8"/>
    <w:rsid w:val="00462D12"/>
    <w:rsid w:val="00462E0F"/>
    <w:rsid w:val="00462F0E"/>
    <w:rsid w:val="00462F88"/>
    <w:rsid w:val="00463136"/>
    <w:rsid w:val="00463164"/>
    <w:rsid w:val="004632E4"/>
    <w:rsid w:val="004634A7"/>
    <w:rsid w:val="004635D1"/>
    <w:rsid w:val="00463859"/>
    <w:rsid w:val="0046386A"/>
    <w:rsid w:val="00463A35"/>
    <w:rsid w:val="00463AA4"/>
    <w:rsid w:val="00463B9E"/>
    <w:rsid w:val="00463D44"/>
    <w:rsid w:val="004645CD"/>
    <w:rsid w:val="004646A7"/>
    <w:rsid w:val="004647BC"/>
    <w:rsid w:val="004649D9"/>
    <w:rsid w:val="00464A4E"/>
    <w:rsid w:val="00464F31"/>
    <w:rsid w:val="00464F37"/>
    <w:rsid w:val="0046526A"/>
    <w:rsid w:val="004653F3"/>
    <w:rsid w:val="00465443"/>
    <w:rsid w:val="004654D1"/>
    <w:rsid w:val="004654DA"/>
    <w:rsid w:val="004655A4"/>
    <w:rsid w:val="00465849"/>
    <w:rsid w:val="00465A1F"/>
    <w:rsid w:val="00465EBC"/>
    <w:rsid w:val="00465F16"/>
    <w:rsid w:val="0046617B"/>
    <w:rsid w:val="0046632A"/>
    <w:rsid w:val="00466450"/>
    <w:rsid w:val="004669A9"/>
    <w:rsid w:val="00466C8D"/>
    <w:rsid w:val="00466E5A"/>
    <w:rsid w:val="00466F2C"/>
    <w:rsid w:val="00467097"/>
    <w:rsid w:val="00467211"/>
    <w:rsid w:val="00467268"/>
    <w:rsid w:val="00467327"/>
    <w:rsid w:val="0046784C"/>
    <w:rsid w:val="00467884"/>
    <w:rsid w:val="00467918"/>
    <w:rsid w:val="00467994"/>
    <w:rsid w:val="00467A1D"/>
    <w:rsid w:val="00467C13"/>
    <w:rsid w:val="00467E08"/>
    <w:rsid w:val="00467F58"/>
    <w:rsid w:val="0047002F"/>
    <w:rsid w:val="0047054B"/>
    <w:rsid w:val="004705E6"/>
    <w:rsid w:val="004707D8"/>
    <w:rsid w:val="0047083C"/>
    <w:rsid w:val="004708B5"/>
    <w:rsid w:val="00470BED"/>
    <w:rsid w:val="00470ECA"/>
    <w:rsid w:val="00470ED9"/>
    <w:rsid w:val="004711E8"/>
    <w:rsid w:val="00471310"/>
    <w:rsid w:val="004716AF"/>
    <w:rsid w:val="00471B54"/>
    <w:rsid w:val="00471D7D"/>
    <w:rsid w:val="00471E4E"/>
    <w:rsid w:val="00471F3D"/>
    <w:rsid w:val="00472063"/>
    <w:rsid w:val="00472215"/>
    <w:rsid w:val="00472270"/>
    <w:rsid w:val="004724E5"/>
    <w:rsid w:val="0047253D"/>
    <w:rsid w:val="00472690"/>
    <w:rsid w:val="00472732"/>
    <w:rsid w:val="00472A20"/>
    <w:rsid w:val="00472ADC"/>
    <w:rsid w:val="00472C7B"/>
    <w:rsid w:val="00472E9F"/>
    <w:rsid w:val="00472EAF"/>
    <w:rsid w:val="004730C6"/>
    <w:rsid w:val="00473254"/>
    <w:rsid w:val="004732BC"/>
    <w:rsid w:val="004732D8"/>
    <w:rsid w:val="004735E6"/>
    <w:rsid w:val="00473736"/>
    <w:rsid w:val="004737AB"/>
    <w:rsid w:val="00473AB7"/>
    <w:rsid w:val="00473B12"/>
    <w:rsid w:val="00473ED2"/>
    <w:rsid w:val="00473F60"/>
    <w:rsid w:val="0047445B"/>
    <w:rsid w:val="00474B09"/>
    <w:rsid w:val="00474E50"/>
    <w:rsid w:val="00474F22"/>
    <w:rsid w:val="004751B6"/>
    <w:rsid w:val="0047549B"/>
    <w:rsid w:val="004756EB"/>
    <w:rsid w:val="004758E3"/>
    <w:rsid w:val="00475993"/>
    <w:rsid w:val="004759EE"/>
    <w:rsid w:val="00475B69"/>
    <w:rsid w:val="00475B9E"/>
    <w:rsid w:val="00475CAC"/>
    <w:rsid w:val="00475D3B"/>
    <w:rsid w:val="0047611E"/>
    <w:rsid w:val="00476162"/>
    <w:rsid w:val="00476215"/>
    <w:rsid w:val="004763B1"/>
    <w:rsid w:val="004763B2"/>
    <w:rsid w:val="00476762"/>
    <w:rsid w:val="00476995"/>
    <w:rsid w:val="004769A9"/>
    <w:rsid w:val="00476F42"/>
    <w:rsid w:val="00476F54"/>
    <w:rsid w:val="0047709C"/>
    <w:rsid w:val="00477110"/>
    <w:rsid w:val="00477178"/>
    <w:rsid w:val="00477196"/>
    <w:rsid w:val="0047746E"/>
    <w:rsid w:val="004774D3"/>
    <w:rsid w:val="00477509"/>
    <w:rsid w:val="00477523"/>
    <w:rsid w:val="00477548"/>
    <w:rsid w:val="004775D5"/>
    <w:rsid w:val="00477776"/>
    <w:rsid w:val="0047782B"/>
    <w:rsid w:val="00477837"/>
    <w:rsid w:val="004778AB"/>
    <w:rsid w:val="004778AD"/>
    <w:rsid w:val="00477B5B"/>
    <w:rsid w:val="00477B6F"/>
    <w:rsid w:val="00477F15"/>
    <w:rsid w:val="004802C0"/>
    <w:rsid w:val="0048045C"/>
    <w:rsid w:val="004804A8"/>
    <w:rsid w:val="004806ED"/>
    <w:rsid w:val="00480745"/>
    <w:rsid w:val="00480FBF"/>
    <w:rsid w:val="00481537"/>
    <w:rsid w:val="0048190D"/>
    <w:rsid w:val="00481CED"/>
    <w:rsid w:val="00482005"/>
    <w:rsid w:val="00482025"/>
    <w:rsid w:val="004820FE"/>
    <w:rsid w:val="004822D8"/>
    <w:rsid w:val="0048236A"/>
    <w:rsid w:val="00482660"/>
    <w:rsid w:val="004827D3"/>
    <w:rsid w:val="0048296A"/>
    <w:rsid w:val="00482B3A"/>
    <w:rsid w:val="00482CDA"/>
    <w:rsid w:val="00482E2B"/>
    <w:rsid w:val="00482E3C"/>
    <w:rsid w:val="00482F18"/>
    <w:rsid w:val="00483170"/>
    <w:rsid w:val="004831F4"/>
    <w:rsid w:val="0048325E"/>
    <w:rsid w:val="00483280"/>
    <w:rsid w:val="004837EB"/>
    <w:rsid w:val="00483C21"/>
    <w:rsid w:val="00483C43"/>
    <w:rsid w:val="00483FDA"/>
    <w:rsid w:val="00484329"/>
    <w:rsid w:val="004847B8"/>
    <w:rsid w:val="00484C95"/>
    <w:rsid w:val="00484CE2"/>
    <w:rsid w:val="00484DB8"/>
    <w:rsid w:val="00484EC1"/>
    <w:rsid w:val="004850F6"/>
    <w:rsid w:val="00485534"/>
    <w:rsid w:val="00485584"/>
    <w:rsid w:val="00485710"/>
    <w:rsid w:val="00485948"/>
    <w:rsid w:val="00485BEF"/>
    <w:rsid w:val="00486200"/>
    <w:rsid w:val="00486316"/>
    <w:rsid w:val="004866BF"/>
    <w:rsid w:val="00486782"/>
    <w:rsid w:val="004868BF"/>
    <w:rsid w:val="00486A60"/>
    <w:rsid w:val="00486D66"/>
    <w:rsid w:val="00486DAB"/>
    <w:rsid w:val="00486E0E"/>
    <w:rsid w:val="00486EAE"/>
    <w:rsid w:val="00486F29"/>
    <w:rsid w:val="00486F7F"/>
    <w:rsid w:val="00486FD4"/>
    <w:rsid w:val="004873A0"/>
    <w:rsid w:val="00487E1C"/>
    <w:rsid w:val="00490347"/>
    <w:rsid w:val="004907D8"/>
    <w:rsid w:val="0049089D"/>
    <w:rsid w:val="00490DE5"/>
    <w:rsid w:val="00490E3E"/>
    <w:rsid w:val="00490FE9"/>
    <w:rsid w:val="00491053"/>
    <w:rsid w:val="00491152"/>
    <w:rsid w:val="0049132A"/>
    <w:rsid w:val="00491350"/>
    <w:rsid w:val="0049149B"/>
    <w:rsid w:val="0049197E"/>
    <w:rsid w:val="004919D8"/>
    <w:rsid w:val="00491A69"/>
    <w:rsid w:val="00491C57"/>
    <w:rsid w:val="00491E16"/>
    <w:rsid w:val="0049202E"/>
    <w:rsid w:val="0049206A"/>
    <w:rsid w:val="00492276"/>
    <w:rsid w:val="004923D4"/>
    <w:rsid w:val="00492E06"/>
    <w:rsid w:val="00492EA8"/>
    <w:rsid w:val="00492EE3"/>
    <w:rsid w:val="0049318A"/>
    <w:rsid w:val="00493400"/>
    <w:rsid w:val="004934CA"/>
    <w:rsid w:val="004938EB"/>
    <w:rsid w:val="00493B64"/>
    <w:rsid w:val="00493CA3"/>
    <w:rsid w:val="00493E3A"/>
    <w:rsid w:val="00493F60"/>
    <w:rsid w:val="004941B5"/>
    <w:rsid w:val="00494293"/>
    <w:rsid w:val="00494309"/>
    <w:rsid w:val="00494318"/>
    <w:rsid w:val="0049437E"/>
    <w:rsid w:val="0049457A"/>
    <w:rsid w:val="0049472F"/>
    <w:rsid w:val="004947A5"/>
    <w:rsid w:val="00494AEA"/>
    <w:rsid w:val="00494E3E"/>
    <w:rsid w:val="004950F6"/>
    <w:rsid w:val="00495276"/>
    <w:rsid w:val="004952ED"/>
    <w:rsid w:val="0049594A"/>
    <w:rsid w:val="004959BC"/>
    <w:rsid w:val="00495A02"/>
    <w:rsid w:val="00495CEE"/>
    <w:rsid w:val="00496037"/>
    <w:rsid w:val="00496451"/>
    <w:rsid w:val="004964BE"/>
    <w:rsid w:val="00496507"/>
    <w:rsid w:val="0049651F"/>
    <w:rsid w:val="004965C4"/>
    <w:rsid w:val="0049676B"/>
    <w:rsid w:val="004969EF"/>
    <w:rsid w:val="00496ABB"/>
    <w:rsid w:val="004972A4"/>
    <w:rsid w:val="0049742A"/>
    <w:rsid w:val="00497469"/>
    <w:rsid w:val="004974F3"/>
    <w:rsid w:val="004975CE"/>
    <w:rsid w:val="0049772B"/>
    <w:rsid w:val="0049787E"/>
    <w:rsid w:val="00497972"/>
    <w:rsid w:val="004979D2"/>
    <w:rsid w:val="00497E3C"/>
    <w:rsid w:val="00497F5F"/>
    <w:rsid w:val="00497FAD"/>
    <w:rsid w:val="004A0345"/>
    <w:rsid w:val="004A03A8"/>
    <w:rsid w:val="004A0439"/>
    <w:rsid w:val="004A056C"/>
    <w:rsid w:val="004A05F5"/>
    <w:rsid w:val="004A06B0"/>
    <w:rsid w:val="004A0738"/>
    <w:rsid w:val="004A079C"/>
    <w:rsid w:val="004A0A34"/>
    <w:rsid w:val="004A0AE7"/>
    <w:rsid w:val="004A0B08"/>
    <w:rsid w:val="004A108E"/>
    <w:rsid w:val="004A137B"/>
    <w:rsid w:val="004A1AC0"/>
    <w:rsid w:val="004A1B51"/>
    <w:rsid w:val="004A1BBC"/>
    <w:rsid w:val="004A1BE3"/>
    <w:rsid w:val="004A1CE1"/>
    <w:rsid w:val="004A1DBD"/>
    <w:rsid w:val="004A1DF4"/>
    <w:rsid w:val="004A1E4D"/>
    <w:rsid w:val="004A24F6"/>
    <w:rsid w:val="004A25D4"/>
    <w:rsid w:val="004A25D8"/>
    <w:rsid w:val="004A2963"/>
    <w:rsid w:val="004A2F78"/>
    <w:rsid w:val="004A30AB"/>
    <w:rsid w:val="004A3187"/>
    <w:rsid w:val="004A3324"/>
    <w:rsid w:val="004A3344"/>
    <w:rsid w:val="004A33CF"/>
    <w:rsid w:val="004A3866"/>
    <w:rsid w:val="004A3916"/>
    <w:rsid w:val="004A40C2"/>
    <w:rsid w:val="004A4167"/>
    <w:rsid w:val="004A41D6"/>
    <w:rsid w:val="004A42A1"/>
    <w:rsid w:val="004A444F"/>
    <w:rsid w:val="004A44E8"/>
    <w:rsid w:val="004A45B2"/>
    <w:rsid w:val="004A4729"/>
    <w:rsid w:val="004A473E"/>
    <w:rsid w:val="004A4880"/>
    <w:rsid w:val="004A4AE3"/>
    <w:rsid w:val="004A4CEC"/>
    <w:rsid w:val="004A500F"/>
    <w:rsid w:val="004A51FF"/>
    <w:rsid w:val="004A536F"/>
    <w:rsid w:val="004A54AF"/>
    <w:rsid w:val="004A554A"/>
    <w:rsid w:val="004A5574"/>
    <w:rsid w:val="004A56BE"/>
    <w:rsid w:val="004A57BE"/>
    <w:rsid w:val="004A57F5"/>
    <w:rsid w:val="004A5C59"/>
    <w:rsid w:val="004A5DA6"/>
    <w:rsid w:val="004A5EA5"/>
    <w:rsid w:val="004A5F96"/>
    <w:rsid w:val="004A6094"/>
    <w:rsid w:val="004A60B8"/>
    <w:rsid w:val="004A6222"/>
    <w:rsid w:val="004A6394"/>
    <w:rsid w:val="004A656C"/>
    <w:rsid w:val="004A6769"/>
    <w:rsid w:val="004A6DA2"/>
    <w:rsid w:val="004A6E35"/>
    <w:rsid w:val="004A6E4E"/>
    <w:rsid w:val="004A6FAA"/>
    <w:rsid w:val="004A6FE0"/>
    <w:rsid w:val="004A7209"/>
    <w:rsid w:val="004A7457"/>
    <w:rsid w:val="004A7502"/>
    <w:rsid w:val="004A756A"/>
    <w:rsid w:val="004A7707"/>
    <w:rsid w:val="004A77BD"/>
    <w:rsid w:val="004A797E"/>
    <w:rsid w:val="004A7CE8"/>
    <w:rsid w:val="004A7E95"/>
    <w:rsid w:val="004B05E5"/>
    <w:rsid w:val="004B0751"/>
    <w:rsid w:val="004B0AD0"/>
    <w:rsid w:val="004B0B13"/>
    <w:rsid w:val="004B0CEB"/>
    <w:rsid w:val="004B0D01"/>
    <w:rsid w:val="004B0DCB"/>
    <w:rsid w:val="004B0DF3"/>
    <w:rsid w:val="004B103B"/>
    <w:rsid w:val="004B11A3"/>
    <w:rsid w:val="004B11A8"/>
    <w:rsid w:val="004B15B4"/>
    <w:rsid w:val="004B1AEA"/>
    <w:rsid w:val="004B20BF"/>
    <w:rsid w:val="004B2175"/>
    <w:rsid w:val="004B2211"/>
    <w:rsid w:val="004B22EB"/>
    <w:rsid w:val="004B258B"/>
    <w:rsid w:val="004B2687"/>
    <w:rsid w:val="004B26A6"/>
    <w:rsid w:val="004B27D0"/>
    <w:rsid w:val="004B27D7"/>
    <w:rsid w:val="004B27ED"/>
    <w:rsid w:val="004B2A4B"/>
    <w:rsid w:val="004B2A93"/>
    <w:rsid w:val="004B2BA1"/>
    <w:rsid w:val="004B2D3E"/>
    <w:rsid w:val="004B2EB7"/>
    <w:rsid w:val="004B307D"/>
    <w:rsid w:val="004B3082"/>
    <w:rsid w:val="004B366E"/>
    <w:rsid w:val="004B3670"/>
    <w:rsid w:val="004B37D3"/>
    <w:rsid w:val="004B387C"/>
    <w:rsid w:val="004B388B"/>
    <w:rsid w:val="004B3905"/>
    <w:rsid w:val="004B393C"/>
    <w:rsid w:val="004B3B03"/>
    <w:rsid w:val="004B3D45"/>
    <w:rsid w:val="004B3F00"/>
    <w:rsid w:val="004B4078"/>
    <w:rsid w:val="004B4366"/>
    <w:rsid w:val="004B440D"/>
    <w:rsid w:val="004B449D"/>
    <w:rsid w:val="004B4518"/>
    <w:rsid w:val="004B4608"/>
    <w:rsid w:val="004B4985"/>
    <w:rsid w:val="004B49F9"/>
    <w:rsid w:val="004B4A49"/>
    <w:rsid w:val="004B4F38"/>
    <w:rsid w:val="004B4FBE"/>
    <w:rsid w:val="004B4FFC"/>
    <w:rsid w:val="004B5252"/>
    <w:rsid w:val="004B5297"/>
    <w:rsid w:val="004B533E"/>
    <w:rsid w:val="004B551D"/>
    <w:rsid w:val="004B57A7"/>
    <w:rsid w:val="004B5AC5"/>
    <w:rsid w:val="004B5F45"/>
    <w:rsid w:val="004B5F8F"/>
    <w:rsid w:val="004B6029"/>
    <w:rsid w:val="004B66E1"/>
    <w:rsid w:val="004B6706"/>
    <w:rsid w:val="004B6855"/>
    <w:rsid w:val="004B6903"/>
    <w:rsid w:val="004B69D0"/>
    <w:rsid w:val="004B6BD7"/>
    <w:rsid w:val="004B6C35"/>
    <w:rsid w:val="004B6D02"/>
    <w:rsid w:val="004B6DA1"/>
    <w:rsid w:val="004B6E77"/>
    <w:rsid w:val="004B6EB1"/>
    <w:rsid w:val="004B6F2F"/>
    <w:rsid w:val="004B7019"/>
    <w:rsid w:val="004B7033"/>
    <w:rsid w:val="004B7261"/>
    <w:rsid w:val="004B72E6"/>
    <w:rsid w:val="004B7388"/>
    <w:rsid w:val="004B7571"/>
    <w:rsid w:val="004B76C1"/>
    <w:rsid w:val="004B7C43"/>
    <w:rsid w:val="004B7DF8"/>
    <w:rsid w:val="004C008B"/>
    <w:rsid w:val="004C00D1"/>
    <w:rsid w:val="004C0354"/>
    <w:rsid w:val="004C03B6"/>
    <w:rsid w:val="004C048F"/>
    <w:rsid w:val="004C056B"/>
    <w:rsid w:val="004C0639"/>
    <w:rsid w:val="004C069F"/>
    <w:rsid w:val="004C0A31"/>
    <w:rsid w:val="004C0A93"/>
    <w:rsid w:val="004C0D8D"/>
    <w:rsid w:val="004C0DB1"/>
    <w:rsid w:val="004C0DCB"/>
    <w:rsid w:val="004C1175"/>
    <w:rsid w:val="004C1593"/>
    <w:rsid w:val="004C1778"/>
    <w:rsid w:val="004C182A"/>
    <w:rsid w:val="004C1B02"/>
    <w:rsid w:val="004C1FD0"/>
    <w:rsid w:val="004C2159"/>
    <w:rsid w:val="004C21F8"/>
    <w:rsid w:val="004C22F1"/>
    <w:rsid w:val="004C2423"/>
    <w:rsid w:val="004C256C"/>
    <w:rsid w:val="004C26D6"/>
    <w:rsid w:val="004C27C7"/>
    <w:rsid w:val="004C2836"/>
    <w:rsid w:val="004C28B1"/>
    <w:rsid w:val="004C2B49"/>
    <w:rsid w:val="004C2EE4"/>
    <w:rsid w:val="004C311D"/>
    <w:rsid w:val="004C3430"/>
    <w:rsid w:val="004C36F5"/>
    <w:rsid w:val="004C3B75"/>
    <w:rsid w:val="004C3C94"/>
    <w:rsid w:val="004C3D6C"/>
    <w:rsid w:val="004C3FFF"/>
    <w:rsid w:val="004C40C1"/>
    <w:rsid w:val="004C46FC"/>
    <w:rsid w:val="004C4883"/>
    <w:rsid w:val="004C4896"/>
    <w:rsid w:val="004C48AC"/>
    <w:rsid w:val="004C48CA"/>
    <w:rsid w:val="004C4969"/>
    <w:rsid w:val="004C4E08"/>
    <w:rsid w:val="004C4EF7"/>
    <w:rsid w:val="004C50A4"/>
    <w:rsid w:val="004C538E"/>
    <w:rsid w:val="004C53A6"/>
    <w:rsid w:val="004C56D5"/>
    <w:rsid w:val="004C5AE0"/>
    <w:rsid w:val="004C5DED"/>
    <w:rsid w:val="004C6090"/>
    <w:rsid w:val="004C6303"/>
    <w:rsid w:val="004C633D"/>
    <w:rsid w:val="004C6646"/>
    <w:rsid w:val="004C686D"/>
    <w:rsid w:val="004C69CA"/>
    <w:rsid w:val="004C7039"/>
    <w:rsid w:val="004C70CE"/>
    <w:rsid w:val="004C783D"/>
    <w:rsid w:val="004C794D"/>
    <w:rsid w:val="004C7A49"/>
    <w:rsid w:val="004C7ADC"/>
    <w:rsid w:val="004C7D47"/>
    <w:rsid w:val="004D0452"/>
    <w:rsid w:val="004D0569"/>
    <w:rsid w:val="004D06B8"/>
    <w:rsid w:val="004D0857"/>
    <w:rsid w:val="004D094E"/>
    <w:rsid w:val="004D09AA"/>
    <w:rsid w:val="004D09D7"/>
    <w:rsid w:val="004D0A55"/>
    <w:rsid w:val="004D0B85"/>
    <w:rsid w:val="004D0C61"/>
    <w:rsid w:val="004D0D97"/>
    <w:rsid w:val="004D0EDE"/>
    <w:rsid w:val="004D101B"/>
    <w:rsid w:val="004D12A6"/>
    <w:rsid w:val="004D140D"/>
    <w:rsid w:val="004D1601"/>
    <w:rsid w:val="004D1680"/>
    <w:rsid w:val="004D17D3"/>
    <w:rsid w:val="004D1845"/>
    <w:rsid w:val="004D18A8"/>
    <w:rsid w:val="004D1A43"/>
    <w:rsid w:val="004D1A90"/>
    <w:rsid w:val="004D1DD5"/>
    <w:rsid w:val="004D1ECB"/>
    <w:rsid w:val="004D1F65"/>
    <w:rsid w:val="004D1F99"/>
    <w:rsid w:val="004D2279"/>
    <w:rsid w:val="004D23FE"/>
    <w:rsid w:val="004D28B8"/>
    <w:rsid w:val="004D2930"/>
    <w:rsid w:val="004D2EF2"/>
    <w:rsid w:val="004D2F19"/>
    <w:rsid w:val="004D31D3"/>
    <w:rsid w:val="004D3278"/>
    <w:rsid w:val="004D337A"/>
    <w:rsid w:val="004D375F"/>
    <w:rsid w:val="004D3912"/>
    <w:rsid w:val="004D3AB8"/>
    <w:rsid w:val="004D3B58"/>
    <w:rsid w:val="004D3C03"/>
    <w:rsid w:val="004D3D4C"/>
    <w:rsid w:val="004D414A"/>
    <w:rsid w:val="004D41D4"/>
    <w:rsid w:val="004D4247"/>
    <w:rsid w:val="004D474F"/>
    <w:rsid w:val="004D47FA"/>
    <w:rsid w:val="004D48D8"/>
    <w:rsid w:val="004D4CD0"/>
    <w:rsid w:val="004D4EE9"/>
    <w:rsid w:val="004D4F86"/>
    <w:rsid w:val="004D4FFD"/>
    <w:rsid w:val="004D591C"/>
    <w:rsid w:val="004D5B40"/>
    <w:rsid w:val="004D5C2A"/>
    <w:rsid w:val="004D5C53"/>
    <w:rsid w:val="004D5C80"/>
    <w:rsid w:val="004D5E7B"/>
    <w:rsid w:val="004D5ECC"/>
    <w:rsid w:val="004D5F77"/>
    <w:rsid w:val="004D6474"/>
    <w:rsid w:val="004D6551"/>
    <w:rsid w:val="004D6582"/>
    <w:rsid w:val="004D667C"/>
    <w:rsid w:val="004D6FBD"/>
    <w:rsid w:val="004D705E"/>
    <w:rsid w:val="004D718E"/>
    <w:rsid w:val="004D7286"/>
    <w:rsid w:val="004D747E"/>
    <w:rsid w:val="004D754F"/>
    <w:rsid w:val="004D78AC"/>
    <w:rsid w:val="004D7909"/>
    <w:rsid w:val="004D7974"/>
    <w:rsid w:val="004D7C99"/>
    <w:rsid w:val="004D7D82"/>
    <w:rsid w:val="004D7FA7"/>
    <w:rsid w:val="004E00C6"/>
    <w:rsid w:val="004E075A"/>
    <w:rsid w:val="004E0911"/>
    <w:rsid w:val="004E0A16"/>
    <w:rsid w:val="004E1024"/>
    <w:rsid w:val="004E1077"/>
    <w:rsid w:val="004E10F9"/>
    <w:rsid w:val="004E1167"/>
    <w:rsid w:val="004E13DA"/>
    <w:rsid w:val="004E1648"/>
    <w:rsid w:val="004E18B0"/>
    <w:rsid w:val="004E1990"/>
    <w:rsid w:val="004E1DE2"/>
    <w:rsid w:val="004E1FA6"/>
    <w:rsid w:val="004E2194"/>
    <w:rsid w:val="004E2288"/>
    <w:rsid w:val="004E23B8"/>
    <w:rsid w:val="004E28C3"/>
    <w:rsid w:val="004E29BD"/>
    <w:rsid w:val="004E2A5B"/>
    <w:rsid w:val="004E2D4E"/>
    <w:rsid w:val="004E3076"/>
    <w:rsid w:val="004E326A"/>
    <w:rsid w:val="004E33BD"/>
    <w:rsid w:val="004E33C8"/>
    <w:rsid w:val="004E345A"/>
    <w:rsid w:val="004E3790"/>
    <w:rsid w:val="004E3BB7"/>
    <w:rsid w:val="004E3E47"/>
    <w:rsid w:val="004E3F32"/>
    <w:rsid w:val="004E418E"/>
    <w:rsid w:val="004E429E"/>
    <w:rsid w:val="004E4372"/>
    <w:rsid w:val="004E4630"/>
    <w:rsid w:val="004E48F8"/>
    <w:rsid w:val="004E4BF6"/>
    <w:rsid w:val="004E4CA1"/>
    <w:rsid w:val="004E4D83"/>
    <w:rsid w:val="004E5025"/>
    <w:rsid w:val="004E5095"/>
    <w:rsid w:val="004E51D0"/>
    <w:rsid w:val="004E5222"/>
    <w:rsid w:val="004E53B7"/>
    <w:rsid w:val="004E5880"/>
    <w:rsid w:val="004E5976"/>
    <w:rsid w:val="004E5BEC"/>
    <w:rsid w:val="004E5D90"/>
    <w:rsid w:val="004E67BD"/>
    <w:rsid w:val="004E6CB3"/>
    <w:rsid w:val="004E6D3E"/>
    <w:rsid w:val="004E6FB8"/>
    <w:rsid w:val="004E71D3"/>
    <w:rsid w:val="004E770B"/>
    <w:rsid w:val="004E7716"/>
    <w:rsid w:val="004E7834"/>
    <w:rsid w:val="004E788F"/>
    <w:rsid w:val="004E789C"/>
    <w:rsid w:val="004E7A26"/>
    <w:rsid w:val="004E7A7E"/>
    <w:rsid w:val="004E7B04"/>
    <w:rsid w:val="004E7B3D"/>
    <w:rsid w:val="004E7D6E"/>
    <w:rsid w:val="004E7E24"/>
    <w:rsid w:val="004E7EA2"/>
    <w:rsid w:val="004E7FB0"/>
    <w:rsid w:val="004F0107"/>
    <w:rsid w:val="004F02C2"/>
    <w:rsid w:val="004F02FF"/>
    <w:rsid w:val="004F0489"/>
    <w:rsid w:val="004F050C"/>
    <w:rsid w:val="004F06B0"/>
    <w:rsid w:val="004F0C15"/>
    <w:rsid w:val="004F0D55"/>
    <w:rsid w:val="004F0E39"/>
    <w:rsid w:val="004F0F2C"/>
    <w:rsid w:val="004F104E"/>
    <w:rsid w:val="004F1127"/>
    <w:rsid w:val="004F12CE"/>
    <w:rsid w:val="004F12EB"/>
    <w:rsid w:val="004F1353"/>
    <w:rsid w:val="004F1423"/>
    <w:rsid w:val="004F1A53"/>
    <w:rsid w:val="004F1C4D"/>
    <w:rsid w:val="004F1F18"/>
    <w:rsid w:val="004F21F3"/>
    <w:rsid w:val="004F2577"/>
    <w:rsid w:val="004F257C"/>
    <w:rsid w:val="004F25FC"/>
    <w:rsid w:val="004F29E8"/>
    <w:rsid w:val="004F2B26"/>
    <w:rsid w:val="004F2B7C"/>
    <w:rsid w:val="004F2EF5"/>
    <w:rsid w:val="004F2FC3"/>
    <w:rsid w:val="004F2FE8"/>
    <w:rsid w:val="004F346F"/>
    <w:rsid w:val="004F3549"/>
    <w:rsid w:val="004F37DE"/>
    <w:rsid w:val="004F3899"/>
    <w:rsid w:val="004F396D"/>
    <w:rsid w:val="004F3A92"/>
    <w:rsid w:val="004F3B32"/>
    <w:rsid w:val="004F3BAD"/>
    <w:rsid w:val="004F3DE2"/>
    <w:rsid w:val="004F3E43"/>
    <w:rsid w:val="004F407B"/>
    <w:rsid w:val="004F4551"/>
    <w:rsid w:val="004F49F9"/>
    <w:rsid w:val="004F4B03"/>
    <w:rsid w:val="004F4C11"/>
    <w:rsid w:val="004F4D8E"/>
    <w:rsid w:val="004F4EEB"/>
    <w:rsid w:val="004F506C"/>
    <w:rsid w:val="004F506F"/>
    <w:rsid w:val="004F516E"/>
    <w:rsid w:val="004F53A7"/>
    <w:rsid w:val="004F54AE"/>
    <w:rsid w:val="004F556E"/>
    <w:rsid w:val="004F597F"/>
    <w:rsid w:val="004F5BEF"/>
    <w:rsid w:val="004F5E56"/>
    <w:rsid w:val="004F5FBD"/>
    <w:rsid w:val="004F634C"/>
    <w:rsid w:val="004F68F8"/>
    <w:rsid w:val="004F6B6D"/>
    <w:rsid w:val="004F7217"/>
    <w:rsid w:val="004F7713"/>
    <w:rsid w:val="004F790D"/>
    <w:rsid w:val="004F7915"/>
    <w:rsid w:val="004F7A70"/>
    <w:rsid w:val="00500244"/>
    <w:rsid w:val="00500315"/>
    <w:rsid w:val="00500577"/>
    <w:rsid w:val="005007BF"/>
    <w:rsid w:val="00500A7B"/>
    <w:rsid w:val="00500B51"/>
    <w:rsid w:val="00500E2A"/>
    <w:rsid w:val="00500FD8"/>
    <w:rsid w:val="0050123E"/>
    <w:rsid w:val="00502273"/>
    <w:rsid w:val="00502657"/>
    <w:rsid w:val="00502713"/>
    <w:rsid w:val="00502742"/>
    <w:rsid w:val="005027AF"/>
    <w:rsid w:val="00502B2C"/>
    <w:rsid w:val="00502B76"/>
    <w:rsid w:val="00502C47"/>
    <w:rsid w:val="00502C94"/>
    <w:rsid w:val="00502CC2"/>
    <w:rsid w:val="00502DDE"/>
    <w:rsid w:val="00502E30"/>
    <w:rsid w:val="00502E6E"/>
    <w:rsid w:val="00502F8C"/>
    <w:rsid w:val="00503088"/>
    <w:rsid w:val="005031B7"/>
    <w:rsid w:val="0050324A"/>
    <w:rsid w:val="005033AB"/>
    <w:rsid w:val="00503415"/>
    <w:rsid w:val="005037D4"/>
    <w:rsid w:val="005038ED"/>
    <w:rsid w:val="00503A7F"/>
    <w:rsid w:val="0050421C"/>
    <w:rsid w:val="005042B5"/>
    <w:rsid w:val="005043D4"/>
    <w:rsid w:val="00504628"/>
    <w:rsid w:val="005048A2"/>
    <w:rsid w:val="0050492D"/>
    <w:rsid w:val="00504BAA"/>
    <w:rsid w:val="00504CED"/>
    <w:rsid w:val="00504E39"/>
    <w:rsid w:val="00504EB1"/>
    <w:rsid w:val="005050C8"/>
    <w:rsid w:val="00505245"/>
    <w:rsid w:val="0050529B"/>
    <w:rsid w:val="005052AA"/>
    <w:rsid w:val="00505697"/>
    <w:rsid w:val="0050569E"/>
    <w:rsid w:val="00505805"/>
    <w:rsid w:val="00505856"/>
    <w:rsid w:val="00505F52"/>
    <w:rsid w:val="00506028"/>
    <w:rsid w:val="00506569"/>
    <w:rsid w:val="00506A70"/>
    <w:rsid w:val="00506D41"/>
    <w:rsid w:val="00506E60"/>
    <w:rsid w:val="00507205"/>
    <w:rsid w:val="005072E8"/>
    <w:rsid w:val="0050739E"/>
    <w:rsid w:val="00507447"/>
    <w:rsid w:val="00507511"/>
    <w:rsid w:val="0050767D"/>
    <w:rsid w:val="005076AB"/>
    <w:rsid w:val="0050779E"/>
    <w:rsid w:val="00507B70"/>
    <w:rsid w:val="00507C49"/>
    <w:rsid w:val="00507C56"/>
    <w:rsid w:val="00507F77"/>
    <w:rsid w:val="0051012A"/>
    <w:rsid w:val="005103A5"/>
    <w:rsid w:val="00510836"/>
    <w:rsid w:val="0051085D"/>
    <w:rsid w:val="00511344"/>
    <w:rsid w:val="005117D0"/>
    <w:rsid w:val="00511800"/>
    <w:rsid w:val="0051184C"/>
    <w:rsid w:val="00511B77"/>
    <w:rsid w:val="00511E64"/>
    <w:rsid w:val="00511EAE"/>
    <w:rsid w:val="00512012"/>
    <w:rsid w:val="005123EE"/>
    <w:rsid w:val="00512481"/>
    <w:rsid w:val="0051267D"/>
    <w:rsid w:val="005127D4"/>
    <w:rsid w:val="00512A1F"/>
    <w:rsid w:val="00512E05"/>
    <w:rsid w:val="00512E0E"/>
    <w:rsid w:val="00512E53"/>
    <w:rsid w:val="00513001"/>
    <w:rsid w:val="005130C4"/>
    <w:rsid w:val="005135C8"/>
    <w:rsid w:val="00513603"/>
    <w:rsid w:val="00513A07"/>
    <w:rsid w:val="00513B89"/>
    <w:rsid w:val="00513C37"/>
    <w:rsid w:val="00513D1E"/>
    <w:rsid w:val="00513F98"/>
    <w:rsid w:val="00514230"/>
    <w:rsid w:val="005143BC"/>
    <w:rsid w:val="005144B9"/>
    <w:rsid w:val="00514DE4"/>
    <w:rsid w:val="00514E62"/>
    <w:rsid w:val="0051529D"/>
    <w:rsid w:val="00515520"/>
    <w:rsid w:val="00515668"/>
    <w:rsid w:val="00515706"/>
    <w:rsid w:val="00515827"/>
    <w:rsid w:val="00515AA9"/>
    <w:rsid w:val="00515B50"/>
    <w:rsid w:val="00515C66"/>
    <w:rsid w:val="00515C8F"/>
    <w:rsid w:val="00515CFA"/>
    <w:rsid w:val="00515DD7"/>
    <w:rsid w:val="00515E79"/>
    <w:rsid w:val="00515FDC"/>
    <w:rsid w:val="00515FEC"/>
    <w:rsid w:val="00516035"/>
    <w:rsid w:val="00516063"/>
    <w:rsid w:val="00516170"/>
    <w:rsid w:val="0051626C"/>
    <w:rsid w:val="00516414"/>
    <w:rsid w:val="00516417"/>
    <w:rsid w:val="0051682F"/>
    <w:rsid w:val="00516B48"/>
    <w:rsid w:val="00516E47"/>
    <w:rsid w:val="00516EA9"/>
    <w:rsid w:val="005170DC"/>
    <w:rsid w:val="005171B0"/>
    <w:rsid w:val="00517396"/>
    <w:rsid w:val="00517630"/>
    <w:rsid w:val="0051794C"/>
    <w:rsid w:val="00517C96"/>
    <w:rsid w:val="00517DBE"/>
    <w:rsid w:val="00520131"/>
    <w:rsid w:val="00520197"/>
    <w:rsid w:val="0052024A"/>
    <w:rsid w:val="00520270"/>
    <w:rsid w:val="005202A2"/>
    <w:rsid w:val="00520401"/>
    <w:rsid w:val="005205D1"/>
    <w:rsid w:val="005207A9"/>
    <w:rsid w:val="0052096B"/>
    <w:rsid w:val="005209B7"/>
    <w:rsid w:val="00520A71"/>
    <w:rsid w:val="00520CB7"/>
    <w:rsid w:val="00520CCF"/>
    <w:rsid w:val="00520E5A"/>
    <w:rsid w:val="00520F71"/>
    <w:rsid w:val="0052104D"/>
    <w:rsid w:val="005212C6"/>
    <w:rsid w:val="005216C9"/>
    <w:rsid w:val="005216E6"/>
    <w:rsid w:val="0052184F"/>
    <w:rsid w:val="005218AF"/>
    <w:rsid w:val="00521BD6"/>
    <w:rsid w:val="00521C77"/>
    <w:rsid w:val="0052223B"/>
    <w:rsid w:val="0052244F"/>
    <w:rsid w:val="00522570"/>
    <w:rsid w:val="005226C4"/>
    <w:rsid w:val="00522705"/>
    <w:rsid w:val="00522B64"/>
    <w:rsid w:val="00522B84"/>
    <w:rsid w:val="00522C69"/>
    <w:rsid w:val="00523190"/>
    <w:rsid w:val="00523378"/>
    <w:rsid w:val="00523740"/>
    <w:rsid w:val="00523897"/>
    <w:rsid w:val="005239B7"/>
    <w:rsid w:val="005242B8"/>
    <w:rsid w:val="005242DC"/>
    <w:rsid w:val="005244D1"/>
    <w:rsid w:val="0052455A"/>
    <w:rsid w:val="00524639"/>
    <w:rsid w:val="0052477B"/>
    <w:rsid w:val="005249DE"/>
    <w:rsid w:val="00524A62"/>
    <w:rsid w:val="00524AD6"/>
    <w:rsid w:val="00524DC4"/>
    <w:rsid w:val="00524F0E"/>
    <w:rsid w:val="00524FAF"/>
    <w:rsid w:val="00524FC5"/>
    <w:rsid w:val="005250F0"/>
    <w:rsid w:val="005253A9"/>
    <w:rsid w:val="005253FA"/>
    <w:rsid w:val="00525498"/>
    <w:rsid w:val="005257CE"/>
    <w:rsid w:val="0052593A"/>
    <w:rsid w:val="005259CA"/>
    <w:rsid w:val="00525B02"/>
    <w:rsid w:val="005266FD"/>
    <w:rsid w:val="0052693E"/>
    <w:rsid w:val="00526A54"/>
    <w:rsid w:val="00526A88"/>
    <w:rsid w:val="00526C80"/>
    <w:rsid w:val="00526CC1"/>
    <w:rsid w:val="00526D2A"/>
    <w:rsid w:val="00526FC7"/>
    <w:rsid w:val="00526FCE"/>
    <w:rsid w:val="00527078"/>
    <w:rsid w:val="00527478"/>
    <w:rsid w:val="005276FD"/>
    <w:rsid w:val="00527C93"/>
    <w:rsid w:val="00527E1D"/>
    <w:rsid w:val="00527EA6"/>
    <w:rsid w:val="0053015D"/>
    <w:rsid w:val="005301A3"/>
    <w:rsid w:val="00530A02"/>
    <w:rsid w:val="00530DAA"/>
    <w:rsid w:val="00530DCE"/>
    <w:rsid w:val="00530EB4"/>
    <w:rsid w:val="00531099"/>
    <w:rsid w:val="0053117B"/>
    <w:rsid w:val="00531531"/>
    <w:rsid w:val="00531542"/>
    <w:rsid w:val="00531626"/>
    <w:rsid w:val="0053189E"/>
    <w:rsid w:val="00531B4B"/>
    <w:rsid w:val="00531DF8"/>
    <w:rsid w:val="00531F36"/>
    <w:rsid w:val="00531FF9"/>
    <w:rsid w:val="005321B2"/>
    <w:rsid w:val="00532622"/>
    <w:rsid w:val="005328B2"/>
    <w:rsid w:val="005328D9"/>
    <w:rsid w:val="005329B5"/>
    <w:rsid w:val="00532B1B"/>
    <w:rsid w:val="00532BF3"/>
    <w:rsid w:val="00532D1F"/>
    <w:rsid w:val="00532D29"/>
    <w:rsid w:val="00532FE4"/>
    <w:rsid w:val="00533661"/>
    <w:rsid w:val="005336E5"/>
    <w:rsid w:val="005338A8"/>
    <w:rsid w:val="00533901"/>
    <w:rsid w:val="00533984"/>
    <w:rsid w:val="00533B2E"/>
    <w:rsid w:val="00533C5B"/>
    <w:rsid w:val="00533CB3"/>
    <w:rsid w:val="00533F44"/>
    <w:rsid w:val="005341B2"/>
    <w:rsid w:val="00534222"/>
    <w:rsid w:val="005345D9"/>
    <w:rsid w:val="0053470C"/>
    <w:rsid w:val="0053470D"/>
    <w:rsid w:val="0053495A"/>
    <w:rsid w:val="00534B7C"/>
    <w:rsid w:val="00534C3A"/>
    <w:rsid w:val="00534EEE"/>
    <w:rsid w:val="00535213"/>
    <w:rsid w:val="00535416"/>
    <w:rsid w:val="00535B8B"/>
    <w:rsid w:val="00536159"/>
    <w:rsid w:val="0053619F"/>
    <w:rsid w:val="00536554"/>
    <w:rsid w:val="005365D6"/>
    <w:rsid w:val="005366E7"/>
    <w:rsid w:val="00536747"/>
    <w:rsid w:val="0053680B"/>
    <w:rsid w:val="00536A8B"/>
    <w:rsid w:val="00536C0F"/>
    <w:rsid w:val="00536C6D"/>
    <w:rsid w:val="00536CB7"/>
    <w:rsid w:val="00536CCC"/>
    <w:rsid w:val="00536DBB"/>
    <w:rsid w:val="00536E94"/>
    <w:rsid w:val="005374F7"/>
    <w:rsid w:val="00537716"/>
    <w:rsid w:val="005377AE"/>
    <w:rsid w:val="00537A92"/>
    <w:rsid w:val="00537CFF"/>
    <w:rsid w:val="00537F57"/>
    <w:rsid w:val="00537F98"/>
    <w:rsid w:val="005401BA"/>
    <w:rsid w:val="0054059F"/>
    <w:rsid w:val="00540669"/>
    <w:rsid w:val="005406DD"/>
    <w:rsid w:val="00540BEC"/>
    <w:rsid w:val="00540D0F"/>
    <w:rsid w:val="00540E4B"/>
    <w:rsid w:val="00540F6E"/>
    <w:rsid w:val="005412CD"/>
    <w:rsid w:val="00541382"/>
    <w:rsid w:val="0054147B"/>
    <w:rsid w:val="00541662"/>
    <w:rsid w:val="00541667"/>
    <w:rsid w:val="00541E8D"/>
    <w:rsid w:val="005421BD"/>
    <w:rsid w:val="005422CA"/>
    <w:rsid w:val="00542340"/>
    <w:rsid w:val="005429CF"/>
    <w:rsid w:val="00542D16"/>
    <w:rsid w:val="00542E62"/>
    <w:rsid w:val="0054315F"/>
    <w:rsid w:val="005433A0"/>
    <w:rsid w:val="0054341A"/>
    <w:rsid w:val="00543488"/>
    <w:rsid w:val="005436DB"/>
    <w:rsid w:val="005437A8"/>
    <w:rsid w:val="005439AE"/>
    <w:rsid w:val="00543A42"/>
    <w:rsid w:val="00543AE6"/>
    <w:rsid w:val="00543FCC"/>
    <w:rsid w:val="005443B2"/>
    <w:rsid w:val="00544530"/>
    <w:rsid w:val="00544680"/>
    <w:rsid w:val="005447D8"/>
    <w:rsid w:val="00544847"/>
    <w:rsid w:val="005448EC"/>
    <w:rsid w:val="00544A20"/>
    <w:rsid w:val="00544B97"/>
    <w:rsid w:val="00544D81"/>
    <w:rsid w:val="005450B1"/>
    <w:rsid w:val="00545572"/>
    <w:rsid w:val="00545860"/>
    <w:rsid w:val="00545A56"/>
    <w:rsid w:val="00545AAE"/>
    <w:rsid w:val="00545CD2"/>
    <w:rsid w:val="00545D95"/>
    <w:rsid w:val="00545DDC"/>
    <w:rsid w:val="00545EE4"/>
    <w:rsid w:val="00546079"/>
    <w:rsid w:val="005461C7"/>
    <w:rsid w:val="0054627B"/>
    <w:rsid w:val="0054627C"/>
    <w:rsid w:val="005463F6"/>
    <w:rsid w:val="00546496"/>
    <w:rsid w:val="00546866"/>
    <w:rsid w:val="00546883"/>
    <w:rsid w:val="00546A5D"/>
    <w:rsid w:val="00546BAC"/>
    <w:rsid w:val="00546BC5"/>
    <w:rsid w:val="00546D0D"/>
    <w:rsid w:val="00546DD7"/>
    <w:rsid w:val="00546E3C"/>
    <w:rsid w:val="00546E9A"/>
    <w:rsid w:val="00546EAE"/>
    <w:rsid w:val="00546F7E"/>
    <w:rsid w:val="00546F91"/>
    <w:rsid w:val="005472F7"/>
    <w:rsid w:val="005476D8"/>
    <w:rsid w:val="005476F2"/>
    <w:rsid w:val="00547874"/>
    <w:rsid w:val="005478C0"/>
    <w:rsid w:val="00547A06"/>
    <w:rsid w:val="00547BA6"/>
    <w:rsid w:val="00547C12"/>
    <w:rsid w:val="00547D5E"/>
    <w:rsid w:val="00547E48"/>
    <w:rsid w:val="00547FA3"/>
    <w:rsid w:val="0055009B"/>
    <w:rsid w:val="005503C9"/>
    <w:rsid w:val="00550677"/>
    <w:rsid w:val="005506B9"/>
    <w:rsid w:val="00550B39"/>
    <w:rsid w:val="00550EAA"/>
    <w:rsid w:val="00550EE0"/>
    <w:rsid w:val="005510F3"/>
    <w:rsid w:val="00551206"/>
    <w:rsid w:val="0055161F"/>
    <w:rsid w:val="00551756"/>
    <w:rsid w:val="005519C6"/>
    <w:rsid w:val="005519D9"/>
    <w:rsid w:val="00551B45"/>
    <w:rsid w:val="00551B48"/>
    <w:rsid w:val="00551FEE"/>
    <w:rsid w:val="0055207C"/>
    <w:rsid w:val="0055221C"/>
    <w:rsid w:val="0055222C"/>
    <w:rsid w:val="005526B5"/>
    <w:rsid w:val="00552CB3"/>
    <w:rsid w:val="00552F92"/>
    <w:rsid w:val="00553022"/>
    <w:rsid w:val="0055335A"/>
    <w:rsid w:val="0055338A"/>
    <w:rsid w:val="00553963"/>
    <w:rsid w:val="00553C52"/>
    <w:rsid w:val="00553F3C"/>
    <w:rsid w:val="00554332"/>
    <w:rsid w:val="005543AE"/>
    <w:rsid w:val="0055490B"/>
    <w:rsid w:val="00554D78"/>
    <w:rsid w:val="00554E38"/>
    <w:rsid w:val="00554EAE"/>
    <w:rsid w:val="00554EE2"/>
    <w:rsid w:val="005554DD"/>
    <w:rsid w:val="00555516"/>
    <w:rsid w:val="005556C0"/>
    <w:rsid w:val="0055584F"/>
    <w:rsid w:val="00555867"/>
    <w:rsid w:val="00555873"/>
    <w:rsid w:val="005558A2"/>
    <w:rsid w:val="00555C98"/>
    <w:rsid w:val="00555CF9"/>
    <w:rsid w:val="00555D45"/>
    <w:rsid w:val="00555D54"/>
    <w:rsid w:val="00555E06"/>
    <w:rsid w:val="00555E6C"/>
    <w:rsid w:val="00555EE2"/>
    <w:rsid w:val="00556131"/>
    <w:rsid w:val="005562DC"/>
    <w:rsid w:val="005563EC"/>
    <w:rsid w:val="005566BC"/>
    <w:rsid w:val="00556760"/>
    <w:rsid w:val="00556AC8"/>
    <w:rsid w:val="00556CAC"/>
    <w:rsid w:val="00556EF5"/>
    <w:rsid w:val="00556F70"/>
    <w:rsid w:val="005571C2"/>
    <w:rsid w:val="00557391"/>
    <w:rsid w:val="00557687"/>
    <w:rsid w:val="00557E1C"/>
    <w:rsid w:val="00557E54"/>
    <w:rsid w:val="005605A4"/>
    <w:rsid w:val="005608CE"/>
    <w:rsid w:val="00560A3A"/>
    <w:rsid w:val="00560A4B"/>
    <w:rsid w:val="00560A91"/>
    <w:rsid w:val="00560A96"/>
    <w:rsid w:val="00560BE3"/>
    <w:rsid w:val="0056114D"/>
    <w:rsid w:val="005611D7"/>
    <w:rsid w:val="0056165D"/>
    <w:rsid w:val="00561AB7"/>
    <w:rsid w:val="00561AD8"/>
    <w:rsid w:val="00561D06"/>
    <w:rsid w:val="00561D9F"/>
    <w:rsid w:val="005620AA"/>
    <w:rsid w:val="00562244"/>
    <w:rsid w:val="005622BA"/>
    <w:rsid w:val="0056255A"/>
    <w:rsid w:val="005625C0"/>
    <w:rsid w:val="005627D5"/>
    <w:rsid w:val="00562888"/>
    <w:rsid w:val="00562F60"/>
    <w:rsid w:val="00563115"/>
    <w:rsid w:val="005632B3"/>
    <w:rsid w:val="005635BA"/>
    <w:rsid w:val="0056372D"/>
    <w:rsid w:val="0056380E"/>
    <w:rsid w:val="0056397B"/>
    <w:rsid w:val="00563987"/>
    <w:rsid w:val="00563B50"/>
    <w:rsid w:val="00563EF8"/>
    <w:rsid w:val="0056430B"/>
    <w:rsid w:val="00564330"/>
    <w:rsid w:val="00564CA8"/>
    <w:rsid w:val="00564D98"/>
    <w:rsid w:val="00564DB9"/>
    <w:rsid w:val="00564E74"/>
    <w:rsid w:val="00564EEC"/>
    <w:rsid w:val="005651DC"/>
    <w:rsid w:val="00565299"/>
    <w:rsid w:val="0056562C"/>
    <w:rsid w:val="005658E5"/>
    <w:rsid w:val="00565A31"/>
    <w:rsid w:val="00565BDB"/>
    <w:rsid w:val="00565BE4"/>
    <w:rsid w:val="00565C70"/>
    <w:rsid w:val="00565C8A"/>
    <w:rsid w:val="00566289"/>
    <w:rsid w:val="00566388"/>
    <w:rsid w:val="00566718"/>
    <w:rsid w:val="00566788"/>
    <w:rsid w:val="00566836"/>
    <w:rsid w:val="005668B5"/>
    <w:rsid w:val="0056697A"/>
    <w:rsid w:val="00566A3F"/>
    <w:rsid w:val="00566AA5"/>
    <w:rsid w:val="00566B53"/>
    <w:rsid w:val="00566B83"/>
    <w:rsid w:val="00566C4C"/>
    <w:rsid w:val="00566D8A"/>
    <w:rsid w:val="00566DDE"/>
    <w:rsid w:val="00566E94"/>
    <w:rsid w:val="0056702A"/>
    <w:rsid w:val="00567371"/>
    <w:rsid w:val="00567467"/>
    <w:rsid w:val="0056754B"/>
    <w:rsid w:val="0056759E"/>
    <w:rsid w:val="005675AA"/>
    <w:rsid w:val="00567639"/>
    <w:rsid w:val="00567B2A"/>
    <w:rsid w:val="00567DAC"/>
    <w:rsid w:val="005700C3"/>
    <w:rsid w:val="005700F5"/>
    <w:rsid w:val="0057016B"/>
    <w:rsid w:val="0057026E"/>
    <w:rsid w:val="005702AA"/>
    <w:rsid w:val="005702BE"/>
    <w:rsid w:val="00570362"/>
    <w:rsid w:val="0057053D"/>
    <w:rsid w:val="00570A13"/>
    <w:rsid w:val="00570CB8"/>
    <w:rsid w:val="00570CDD"/>
    <w:rsid w:val="00570E19"/>
    <w:rsid w:val="005714B3"/>
    <w:rsid w:val="00571A1F"/>
    <w:rsid w:val="00571C7D"/>
    <w:rsid w:val="00571EDC"/>
    <w:rsid w:val="00571F09"/>
    <w:rsid w:val="00571F22"/>
    <w:rsid w:val="005722F1"/>
    <w:rsid w:val="00572400"/>
    <w:rsid w:val="00572794"/>
    <w:rsid w:val="005727DB"/>
    <w:rsid w:val="0057291B"/>
    <w:rsid w:val="00572996"/>
    <w:rsid w:val="00572997"/>
    <w:rsid w:val="00572A0C"/>
    <w:rsid w:val="00572C04"/>
    <w:rsid w:val="00572DDC"/>
    <w:rsid w:val="00572EBB"/>
    <w:rsid w:val="00572F2D"/>
    <w:rsid w:val="00573367"/>
    <w:rsid w:val="0057336C"/>
    <w:rsid w:val="0057336F"/>
    <w:rsid w:val="005738FE"/>
    <w:rsid w:val="00573C74"/>
    <w:rsid w:val="00573D0A"/>
    <w:rsid w:val="00573F58"/>
    <w:rsid w:val="005740AD"/>
    <w:rsid w:val="00574218"/>
    <w:rsid w:val="0057448D"/>
    <w:rsid w:val="005745BC"/>
    <w:rsid w:val="00574613"/>
    <w:rsid w:val="005747B1"/>
    <w:rsid w:val="00574C83"/>
    <w:rsid w:val="00574DBD"/>
    <w:rsid w:val="0057500B"/>
    <w:rsid w:val="0057508C"/>
    <w:rsid w:val="00575102"/>
    <w:rsid w:val="00575361"/>
    <w:rsid w:val="005754AF"/>
    <w:rsid w:val="005756A1"/>
    <w:rsid w:val="00575B40"/>
    <w:rsid w:val="00575BFA"/>
    <w:rsid w:val="00575F24"/>
    <w:rsid w:val="00576039"/>
    <w:rsid w:val="00576185"/>
    <w:rsid w:val="00576470"/>
    <w:rsid w:val="00576CC8"/>
    <w:rsid w:val="00577347"/>
    <w:rsid w:val="0057748C"/>
    <w:rsid w:val="00577499"/>
    <w:rsid w:val="005775CC"/>
    <w:rsid w:val="00577709"/>
    <w:rsid w:val="005779A3"/>
    <w:rsid w:val="00577B48"/>
    <w:rsid w:val="00577B50"/>
    <w:rsid w:val="00577D15"/>
    <w:rsid w:val="00577E8C"/>
    <w:rsid w:val="00577F32"/>
    <w:rsid w:val="0058010B"/>
    <w:rsid w:val="0058022E"/>
    <w:rsid w:val="005805C3"/>
    <w:rsid w:val="005806F6"/>
    <w:rsid w:val="00580741"/>
    <w:rsid w:val="00580810"/>
    <w:rsid w:val="0058088E"/>
    <w:rsid w:val="00580CF4"/>
    <w:rsid w:val="00580D3E"/>
    <w:rsid w:val="005813B2"/>
    <w:rsid w:val="005818C8"/>
    <w:rsid w:val="005818E6"/>
    <w:rsid w:val="00581A04"/>
    <w:rsid w:val="00581A0D"/>
    <w:rsid w:val="00581B00"/>
    <w:rsid w:val="00581B3D"/>
    <w:rsid w:val="00581B91"/>
    <w:rsid w:val="00581CF0"/>
    <w:rsid w:val="00581EC5"/>
    <w:rsid w:val="00582080"/>
    <w:rsid w:val="005821A1"/>
    <w:rsid w:val="00582563"/>
    <w:rsid w:val="00582613"/>
    <w:rsid w:val="00582687"/>
    <w:rsid w:val="00582948"/>
    <w:rsid w:val="00582A1F"/>
    <w:rsid w:val="00582FEF"/>
    <w:rsid w:val="00583395"/>
    <w:rsid w:val="0058351B"/>
    <w:rsid w:val="00583533"/>
    <w:rsid w:val="005836C8"/>
    <w:rsid w:val="00583BE3"/>
    <w:rsid w:val="00583C8C"/>
    <w:rsid w:val="00583E0E"/>
    <w:rsid w:val="00583FCA"/>
    <w:rsid w:val="0058404A"/>
    <w:rsid w:val="00584271"/>
    <w:rsid w:val="005843D1"/>
    <w:rsid w:val="005843E9"/>
    <w:rsid w:val="00584456"/>
    <w:rsid w:val="0058491D"/>
    <w:rsid w:val="005849E3"/>
    <w:rsid w:val="00584A7C"/>
    <w:rsid w:val="00584B20"/>
    <w:rsid w:val="00584E9E"/>
    <w:rsid w:val="005850DA"/>
    <w:rsid w:val="005851FF"/>
    <w:rsid w:val="00585296"/>
    <w:rsid w:val="00585393"/>
    <w:rsid w:val="005853BA"/>
    <w:rsid w:val="0058560C"/>
    <w:rsid w:val="005859AE"/>
    <w:rsid w:val="00585A08"/>
    <w:rsid w:val="00585E7A"/>
    <w:rsid w:val="00585F29"/>
    <w:rsid w:val="00585FD5"/>
    <w:rsid w:val="005861EB"/>
    <w:rsid w:val="0058621F"/>
    <w:rsid w:val="00586362"/>
    <w:rsid w:val="00586433"/>
    <w:rsid w:val="00586451"/>
    <w:rsid w:val="0058652E"/>
    <w:rsid w:val="005866E6"/>
    <w:rsid w:val="00586791"/>
    <w:rsid w:val="00586BAE"/>
    <w:rsid w:val="00586C3E"/>
    <w:rsid w:val="00586DBA"/>
    <w:rsid w:val="00586E3F"/>
    <w:rsid w:val="00586F44"/>
    <w:rsid w:val="00587045"/>
    <w:rsid w:val="00587168"/>
    <w:rsid w:val="005873F0"/>
    <w:rsid w:val="0058783F"/>
    <w:rsid w:val="005879EC"/>
    <w:rsid w:val="00587CEA"/>
    <w:rsid w:val="00587D05"/>
    <w:rsid w:val="005902D4"/>
    <w:rsid w:val="00590350"/>
    <w:rsid w:val="005903A9"/>
    <w:rsid w:val="00590484"/>
    <w:rsid w:val="005904A7"/>
    <w:rsid w:val="00590592"/>
    <w:rsid w:val="00590B68"/>
    <w:rsid w:val="00590F65"/>
    <w:rsid w:val="00591007"/>
    <w:rsid w:val="0059136D"/>
    <w:rsid w:val="0059176B"/>
    <w:rsid w:val="005917EC"/>
    <w:rsid w:val="0059189C"/>
    <w:rsid w:val="005919CA"/>
    <w:rsid w:val="00591B09"/>
    <w:rsid w:val="00591B48"/>
    <w:rsid w:val="00591BC4"/>
    <w:rsid w:val="00591BDD"/>
    <w:rsid w:val="00591D74"/>
    <w:rsid w:val="00591E11"/>
    <w:rsid w:val="005924CE"/>
    <w:rsid w:val="0059253C"/>
    <w:rsid w:val="00592932"/>
    <w:rsid w:val="00592A25"/>
    <w:rsid w:val="00592B3E"/>
    <w:rsid w:val="00592DF2"/>
    <w:rsid w:val="00592E78"/>
    <w:rsid w:val="00593311"/>
    <w:rsid w:val="00593856"/>
    <w:rsid w:val="00593BBC"/>
    <w:rsid w:val="00593DDE"/>
    <w:rsid w:val="00594060"/>
    <w:rsid w:val="005940DA"/>
    <w:rsid w:val="00594374"/>
    <w:rsid w:val="00594A71"/>
    <w:rsid w:val="00594B94"/>
    <w:rsid w:val="00594C97"/>
    <w:rsid w:val="00594D78"/>
    <w:rsid w:val="00594F47"/>
    <w:rsid w:val="00594FC9"/>
    <w:rsid w:val="00594FED"/>
    <w:rsid w:val="00595104"/>
    <w:rsid w:val="005954E5"/>
    <w:rsid w:val="005954ED"/>
    <w:rsid w:val="00595690"/>
    <w:rsid w:val="005956E9"/>
    <w:rsid w:val="0059581F"/>
    <w:rsid w:val="00595A71"/>
    <w:rsid w:val="00595BDD"/>
    <w:rsid w:val="00595E1A"/>
    <w:rsid w:val="00595E4C"/>
    <w:rsid w:val="00595E91"/>
    <w:rsid w:val="00595EE4"/>
    <w:rsid w:val="0059602A"/>
    <w:rsid w:val="00596043"/>
    <w:rsid w:val="00596220"/>
    <w:rsid w:val="005966F2"/>
    <w:rsid w:val="005967A4"/>
    <w:rsid w:val="005967EA"/>
    <w:rsid w:val="005968EA"/>
    <w:rsid w:val="00596AAB"/>
    <w:rsid w:val="00596BEA"/>
    <w:rsid w:val="00596C26"/>
    <w:rsid w:val="00596C39"/>
    <w:rsid w:val="00596F49"/>
    <w:rsid w:val="005970C7"/>
    <w:rsid w:val="005970D1"/>
    <w:rsid w:val="00597100"/>
    <w:rsid w:val="00597276"/>
    <w:rsid w:val="0059729A"/>
    <w:rsid w:val="00597387"/>
    <w:rsid w:val="00597435"/>
    <w:rsid w:val="005977EF"/>
    <w:rsid w:val="0059782D"/>
    <w:rsid w:val="005979D0"/>
    <w:rsid w:val="00597A89"/>
    <w:rsid w:val="00597B64"/>
    <w:rsid w:val="00597D61"/>
    <w:rsid w:val="00597EA1"/>
    <w:rsid w:val="00597EA4"/>
    <w:rsid w:val="00597FE5"/>
    <w:rsid w:val="005A020F"/>
    <w:rsid w:val="005A033F"/>
    <w:rsid w:val="005A05E8"/>
    <w:rsid w:val="005A0960"/>
    <w:rsid w:val="005A0972"/>
    <w:rsid w:val="005A09B4"/>
    <w:rsid w:val="005A0B4F"/>
    <w:rsid w:val="005A0CBC"/>
    <w:rsid w:val="005A0ECF"/>
    <w:rsid w:val="005A11FC"/>
    <w:rsid w:val="005A15AB"/>
    <w:rsid w:val="005A1615"/>
    <w:rsid w:val="005A197E"/>
    <w:rsid w:val="005A1F48"/>
    <w:rsid w:val="005A208C"/>
    <w:rsid w:val="005A2249"/>
    <w:rsid w:val="005A22D5"/>
    <w:rsid w:val="005A240C"/>
    <w:rsid w:val="005A24A8"/>
    <w:rsid w:val="005A269D"/>
    <w:rsid w:val="005A2809"/>
    <w:rsid w:val="005A2FD7"/>
    <w:rsid w:val="005A305A"/>
    <w:rsid w:val="005A30DE"/>
    <w:rsid w:val="005A3194"/>
    <w:rsid w:val="005A3A5D"/>
    <w:rsid w:val="005A3F7E"/>
    <w:rsid w:val="005A4029"/>
    <w:rsid w:val="005A4033"/>
    <w:rsid w:val="005A4264"/>
    <w:rsid w:val="005A49E3"/>
    <w:rsid w:val="005A4A86"/>
    <w:rsid w:val="005A4BA8"/>
    <w:rsid w:val="005A50AC"/>
    <w:rsid w:val="005A52DA"/>
    <w:rsid w:val="005A549E"/>
    <w:rsid w:val="005A54F8"/>
    <w:rsid w:val="005A564B"/>
    <w:rsid w:val="005A5A34"/>
    <w:rsid w:val="005A5E50"/>
    <w:rsid w:val="005A6043"/>
    <w:rsid w:val="005A624E"/>
    <w:rsid w:val="005A64AF"/>
    <w:rsid w:val="005A6510"/>
    <w:rsid w:val="005A6531"/>
    <w:rsid w:val="005A6C29"/>
    <w:rsid w:val="005A70C5"/>
    <w:rsid w:val="005A7223"/>
    <w:rsid w:val="005A76D8"/>
    <w:rsid w:val="005A76FB"/>
    <w:rsid w:val="005A7804"/>
    <w:rsid w:val="005A7912"/>
    <w:rsid w:val="005A79A1"/>
    <w:rsid w:val="005A7A7A"/>
    <w:rsid w:val="005A7D27"/>
    <w:rsid w:val="005A7E84"/>
    <w:rsid w:val="005A7F98"/>
    <w:rsid w:val="005A7FBE"/>
    <w:rsid w:val="005B0060"/>
    <w:rsid w:val="005B0143"/>
    <w:rsid w:val="005B0153"/>
    <w:rsid w:val="005B0182"/>
    <w:rsid w:val="005B0397"/>
    <w:rsid w:val="005B04EB"/>
    <w:rsid w:val="005B05E8"/>
    <w:rsid w:val="005B05ED"/>
    <w:rsid w:val="005B0610"/>
    <w:rsid w:val="005B0789"/>
    <w:rsid w:val="005B0AFB"/>
    <w:rsid w:val="005B0B06"/>
    <w:rsid w:val="005B0F40"/>
    <w:rsid w:val="005B0F66"/>
    <w:rsid w:val="005B0F78"/>
    <w:rsid w:val="005B126D"/>
    <w:rsid w:val="005B17DD"/>
    <w:rsid w:val="005B1817"/>
    <w:rsid w:val="005B1908"/>
    <w:rsid w:val="005B1F37"/>
    <w:rsid w:val="005B2008"/>
    <w:rsid w:val="005B213D"/>
    <w:rsid w:val="005B22F4"/>
    <w:rsid w:val="005B274E"/>
    <w:rsid w:val="005B2894"/>
    <w:rsid w:val="005B2A01"/>
    <w:rsid w:val="005B2B39"/>
    <w:rsid w:val="005B2BCD"/>
    <w:rsid w:val="005B2C50"/>
    <w:rsid w:val="005B2E04"/>
    <w:rsid w:val="005B2FFC"/>
    <w:rsid w:val="005B30F9"/>
    <w:rsid w:val="005B31FA"/>
    <w:rsid w:val="005B3758"/>
    <w:rsid w:val="005B37B9"/>
    <w:rsid w:val="005B395F"/>
    <w:rsid w:val="005B3B18"/>
    <w:rsid w:val="005B3E37"/>
    <w:rsid w:val="005B4049"/>
    <w:rsid w:val="005B40FF"/>
    <w:rsid w:val="005B4386"/>
    <w:rsid w:val="005B47FD"/>
    <w:rsid w:val="005B49A4"/>
    <w:rsid w:val="005B4A02"/>
    <w:rsid w:val="005B4AFC"/>
    <w:rsid w:val="005B4DFF"/>
    <w:rsid w:val="005B4F1A"/>
    <w:rsid w:val="005B4F42"/>
    <w:rsid w:val="005B527C"/>
    <w:rsid w:val="005B5391"/>
    <w:rsid w:val="005B55AE"/>
    <w:rsid w:val="005B55CF"/>
    <w:rsid w:val="005B5605"/>
    <w:rsid w:val="005B5802"/>
    <w:rsid w:val="005B59B2"/>
    <w:rsid w:val="005B59E0"/>
    <w:rsid w:val="005B5C07"/>
    <w:rsid w:val="005B5E89"/>
    <w:rsid w:val="005B61FD"/>
    <w:rsid w:val="005B63E6"/>
    <w:rsid w:val="005B6454"/>
    <w:rsid w:val="005B6472"/>
    <w:rsid w:val="005B6482"/>
    <w:rsid w:val="005B64FE"/>
    <w:rsid w:val="005B6862"/>
    <w:rsid w:val="005B6863"/>
    <w:rsid w:val="005B6952"/>
    <w:rsid w:val="005B6A83"/>
    <w:rsid w:val="005B701C"/>
    <w:rsid w:val="005B747C"/>
    <w:rsid w:val="005B76D5"/>
    <w:rsid w:val="005B775A"/>
    <w:rsid w:val="005B77C4"/>
    <w:rsid w:val="005B77EA"/>
    <w:rsid w:val="005B7B11"/>
    <w:rsid w:val="005B7C43"/>
    <w:rsid w:val="005B7C55"/>
    <w:rsid w:val="005B7CEA"/>
    <w:rsid w:val="005B7D93"/>
    <w:rsid w:val="005B7F2F"/>
    <w:rsid w:val="005B7FE6"/>
    <w:rsid w:val="005C003B"/>
    <w:rsid w:val="005C0168"/>
    <w:rsid w:val="005C0190"/>
    <w:rsid w:val="005C0430"/>
    <w:rsid w:val="005C046D"/>
    <w:rsid w:val="005C04BB"/>
    <w:rsid w:val="005C08B0"/>
    <w:rsid w:val="005C0937"/>
    <w:rsid w:val="005C09CF"/>
    <w:rsid w:val="005C0A11"/>
    <w:rsid w:val="005C0DF0"/>
    <w:rsid w:val="005C197C"/>
    <w:rsid w:val="005C19DD"/>
    <w:rsid w:val="005C1A3D"/>
    <w:rsid w:val="005C1B4E"/>
    <w:rsid w:val="005C1F49"/>
    <w:rsid w:val="005C2174"/>
    <w:rsid w:val="005C2773"/>
    <w:rsid w:val="005C2B30"/>
    <w:rsid w:val="005C2B91"/>
    <w:rsid w:val="005C2BCA"/>
    <w:rsid w:val="005C2CE7"/>
    <w:rsid w:val="005C2CF6"/>
    <w:rsid w:val="005C2DED"/>
    <w:rsid w:val="005C2E99"/>
    <w:rsid w:val="005C2EA2"/>
    <w:rsid w:val="005C30DF"/>
    <w:rsid w:val="005C3230"/>
    <w:rsid w:val="005C36E2"/>
    <w:rsid w:val="005C37BE"/>
    <w:rsid w:val="005C37C0"/>
    <w:rsid w:val="005C3858"/>
    <w:rsid w:val="005C3FFE"/>
    <w:rsid w:val="005C429A"/>
    <w:rsid w:val="005C4305"/>
    <w:rsid w:val="005C441C"/>
    <w:rsid w:val="005C4584"/>
    <w:rsid w:val="005C45AE"/>
    <w:rsid w:val="005C467E"/>
    <w:rsid w:val="005C4785"/>
    <w:rsid w:val="005C47CE"/>
    <w:rsid w:val="005C47E6"/>
    <w:rsid w:val="005C4D93"/>
    <w:rsid w:val="005C4DAD"/>
    <w:rsid w:val="005C4F5E"/>
    <w:rsid w:val="005C5223"/>
    <w:rsid w:val="005C5238"/>
    <w:rsid w:val="005C554E"/>
    <w:rsid w:val="005C55C1"/>
    <w:rsid w:val="005C5652"/>
    <w:rsid w:val="005C5758"/>
    <w:rsid w:val="005C59EC"/>
    <w:rsid w:val="005C59FE"/>
    <w:rsid w:val="005C5B24"/>
    <w:rsid w:val="005C5B92"/>
    <w:rsid w:val="005C5BB9"/>
    <w:rsid w:val="005C5C1D"/>
    <w:rsid w:val="005C5D20"/>
    <w:rsid w:val="005C5DAC"/>
    <w:rsid w:val="005C62D6"/>
    <w:rsid w:val="005C63FE"/>
    <w:rsid w:val="005C64CE"/>
    <w:rsid w:val="005C66F6"/>
    <w:rsid w:val="005C6D53"/>
    <w:rsid w:val="005C6E26"/>
    <w:rsid w:val="005C6E36"/>
    <w:rsid w:val="005C6FA3"/>
    <w:rsid w:val="005C6FB7"/>
    <w:rsid w:val="005C72A2"/>
    <w:rsid w:val="005C72CF"/>
    <w:rsid w:val="005C7312"/>
    <w:rsid w:val="005C76D8"/>
    <w:rsid w:val="005C782C"/>
    <w:rsid w:val="005C7A18"/>
    <w:rsid w:val="005C7CA2"/>
    <w:rsid w:val="005C7D63"/>
    <w:rsid w:val="005D0159"/>
    <w:rsid w:val="005D057D"/>
    <w:rsid w:val="005D05DD"/>
    <w:rsid w:val="005D08A5"/>
    <w:rsid w:val="005D0C4F"/>
    <w:rsid w:val="005D11CA"/>
    <w:rsid w:val="005D1295"/>
    <w:rsid w:val="005D12B0"/>
    <w:rsid w:val="005D1358"/>
    <w:rsid w:val="005D1451"/>
    <w:rsid w:val="005D1539"/>
    <w:rsid w:val="005D161C"/>
    <w:rsid w:val="005D164D"/>
    <w:rsid w:val="005D1757"/>
    <w:rsid w:val="005D17C2"/>
    <w:rsid w:val="005D17CE"/>
    <w:rsid w:val="005D17F5"/>
    <w:rsid w:val="005D1AD9"/>
    <w:rsid w:val="005D2399"/>
    <w:rsid w:val="005D25B2"/>
    <w:rsid w:val="005D2714"/>
    <w:rsid w:val="005D27F2"/>
    <w:rsid w:val="005D2C24"/>
    <w:rsid w:val="005D2C4F"/>
    <w:rsid w:val="005D30EA"/>
    <w:rsid w:val="005D35B2"/>
    <w:rsid w:val="005D3805"/>
    <w:rsid w:val="005D38EF"/>
    <w:rsid w:val="005D3920"/>
    <w:rsid w:val="005D3BEA"/>
    <w:rsid w:val="005D4413"/>
    <w:rsid w:val="005D44BC"/>
    <w:rsid w:val="005D4743"/>
    <w:rsid w:val="005D47A9"/>
    <w:rsid w:val="005D490A"/>
    <w:rsid w:val="005D4A9A"/>
    <w:rsid w:val="005D4D79"/>
    <w:rsid w:val="005D4DC5"/>
    <w:rsid w:val="005D4DFA"/>
    <w:rsid w:val="005D4E0E"/>
    <w:rsid w:val="005D4F09"/>
    <w:rsid w:val="005D53EA"/>
    <w:rsid w:val="005D545D"/>
    <w:rsid w:val="005D5467"/>
    <w:rsid w:val="005D5552"/>
    <w:rsid w:val="005D56BE"/>
    <w:rsid w:val="005D56E6"/>
    <w:rsid w:val="005D596A"/>
    <w:rsid w:val="005D5A5E"/>
    <w:rsid w:val="005D5A7C"/>
    <w:rsid w:val="005D5AF9"/>
    <w:rsid w:val="005D5C5E"/>
    <w:rsid w:val="005D5D5B"/>
    <w:rsid w:val="005D5F61"/>
    <w:rsid w:val="005D5FE0"/>
    <w:rsid w:val="005D6033"/>
    <w:rsid w:val="005D60A9"/>
    <w:rsid w:val="005D60C3"/>
    <w:rsid w:val="005D612A"/>
    <w:rsid w:val="005D6395"/>
    <w:rsid w:val="005D63C3"/>
    <w:rsid w:val="005D6979"/>
    <w:rsid w:val="005D6B01"/>
    <w:rsid w:val="005D6B56"/>
    <w:rsid w:val="005D6E6F"/>
    <w:rsid w:val="005D709F"/>
    <w:rsid w:val="005D7199"/>
    <w:rsid w:val="005D7265"/>
    <w:rsid w:val="005D73C2"/>
    <w:rsid w:val="005D7565"/>
    <w:rsid w:val="005D77E1"/>
    <w:rsid w:val="005D7A35"/>
    <w:rsid w:val="005D7D0D"/>
    <w:rsid w:val="005D7F9C"/>
    <w:rsid w:val="005E01CF"/>
    <w:rsid w:val="005E0311"/>
    <w:rsid w:val="005E032C"/>
    <w:rsid w:val="005E0508"/>
    <w:rsid w:val="005E0583"/>
    <w:rsid w:val="005E05BF"/>
    <w:rsid w:val="005E062C"/>
    <w:rsid w:val="005E0644"/>
    <w:rsid w:val="005E0A6C"/>
    <w:rsid w:val="005E0C4F"/>
    <w:rsid w:val="005E0E37"/>
    <w:rsid w:val="005E0E5D"/>
    <w:rsid w:val="005E103A"/>
    <w:rsid w:val="005E1171"/>
    <w:rsid w:val="005E1179"/>
    <w:rsid w:val="005E1413"/>
    <w:rsid w:val="005E152A"/>
    <w:rsid w:val="005E170C"/>
    <w:rsid w:val="005E1760"/>
    <w:rsid w:val="005E1793"/>
    <w:rsid w:val="005E1DFB"/>
    <w:rsid w:val="005E1EE1"/>
    <w:rsid w:val="005E206B"/>
    <w:rsid w:val="005E213E"/>
    <w:rsid w:val="005E21F7"/>
    <w:rsid w:val="005E2246"/>
    <w:rsid w:val="005E243D"/>
    <w:rsid w:val="005E2770"/>
    <w:rsid w:val="005E2820"/>
    <w:rsid w:val="005E28CB"/>
    <w:rsid w:val="005E2B53"/>
    <w:rsid w:val="005E2BEE"/>
    <w:rsid w:val="005E2C29"/>
    <w:rsid w:val="005E2C7D"/>
    <w:rsid w:val="005E2CF8"/>
    <w:rsid w:val="005E2F4F"/>
    <w:rsid w:val="005E3159"/>
    <w:rsid w:val="005E3561"/>
    <w:rsid w:val="005E35DA"/>
    <w:rsid w:val="005E39E2"/>
    <w:rsid w:val="005E3AA5"/>
    <w:rsid w:val="005E3C4A"/>
    <w:rsid w:val="005E3CD2"/>
    <w:rsid w:val="005E415E"/>
    <w:rsid w:val="005E42AC"/>
    <w:rsid w:val="005E49AB"/>
    <w:rsid w:val="005E4B62"/>
    <w:rsid w:val="005E5095"/>
    <w:rsid w:val="005E511F"/>
    <w:rsid w:val="005E51C1"/>
    <w:rsid w:val="005E52DF"/>
    <w:rsid w:val="005E5344"/>
    <w:rsid w:val="005E5361"/>
    <w:rsid w:val="005E5419"/>
    <w:rsid w:val="005E596F"/>
    <w:rsid w:val="005E5C7A"/>
    <w:rsid w:val="005E5E68"/>
    <w:rsid w:val="005E5F4D"/>
    <w:rsid w:val="005E6173"/>
    <w:rsid w:val="005E6176"/>
    <w:rsid w:val="005E6324"/>
    <w:rsid w:val="005E64A6"/>
    <w:rsid w:val="005E64C8"/>
    <w:rsid w:val="005E67ED"/>
    <w:rsid w:val="005E6D98"/>
    <w:rsid w:val="005E6EAF"/>
    <w:rsid w:val="005E7125"/>
    <w:rsid w:val="005E730E"/>
    <w:rsid w:val="005E7323"/>
    <w:rsid w:val="005E7D06"/>
    <w:rsid w:val="005F00C7"/>
    <w:rsid w:val="005F0208"/>
    <w:rsid w:val="005F06F4"/>
    <w:rsid w:val="005F0755"/>
    <w:rsid w:val="005F07FF"/>
    <w:rsid w:val="005F0877"/>
    <w:rsid w:val="005F094C"/>
    <w:rsid w:val="005F0986"/>
    <w:rsid w:val="005F0B27"/>
    <w:rsid w:val="005F0B42"/>
    <w:rsid w:val="005F0ED5"/>
    <w:rsid w:val="005F0FC7"/>
    <w:rsid w:val="005F1025"/>
    <w:rsid w:val="005F122E"/>
    <w:rsid w:val="005F17FC"/>
    <w:rsid w:val="005F1868"/>
    <w:rsid w:val="005F188C"/>
    <w:rsid w:val="005F1A57"/>
    <w:rsid w:val="005F1AFA"/>
    <w:rsid w:val="005F1BE8"/>
    <w:rsid w:val="005F1BFC"/>
    <w:rsid w:val="005F1DAB"/>
    <w:rsid w:val="005F24AB"/>
    <w:rsid w:val="005F2604"/>
    <w:rsid w:val="005F2AC6"/>
    <w:rsid w:val="005F2B68"/>
    <w:rsid w:val="005F2F4D"/>
    <w:rsid w:val="005F2F7D"/>
    <w:rsid w:val="005F317D"/>
    <w:rsid w:val="005F3423"/>
    <w:rsid w:val="005F355B"/>
    <w:rsid w:val="005F357B"/>
    <w:rsid w:val="005F361A"/>
    <w:rsid w:val="005F3727"/>
    <w:rsid w:val="005F3772"/>
    <w:rsid w:val="005F3BD1"/>
    <w:rsid w:val="005F3F25"/>
    <w:rsid w:val="005F400C"/>
    <w:rsid w:val="005F4061"/>
    <w:rsid w:val="005F4339"/>
    <w:rsid w:val="005F43E1"/>
    <w:rsid w:val="005F440F"/>
    <w:rsid w:val="005F4B3B"/>
    <w:rsid w:val="005F4D43"/>
    <w:rsid w:val="005F4E1C"/>
    <w:rsid w:val="005F537E"/>
    <w:rsid w:val="005F537F"/>
    <w:rsid w:val="005F5491"/>
    <w:rsid w:val="005F55AD"/>
    <w:rsid w:val="005F5641"/>
    <w:rsid w:val="005F5A7C"/>
    <w:rsid w:val="005F5B9A"/>
    <w:rsid w:val="005F5C9D"/>
    <w:rsid w:val="005F5E24"/>
    <w:rsid w:val="005F5E94"/>
    <w:rsid w:val="005F5ED4"/>
    <w:rsid w:val="005F5F4D"/>
    <w:rsid w:val="005F65F4"/>
    <w:rsid w:val="005F66B8"/>
    <w:rsid w:val="005F6715"/>
    <w:rsid w:val="005F6941"/>
    <w:rsid w:val="005F6C07"/>
    <w:rsid w:val="005F6D20"/>
    <w:rsid w:val="005F6FFC"/>
    <w:rsid w:val="005F7081"/>
    <w:rsid w:val="005F7218"/>
    <w:rsid w:val="005F7411"/>
    <w:rsid w:val="005F751A"/>
    <w:rsid w:val="005F75AA"/>
    <w:rsid w:val="005F75E0"/>
    <w:rsid w:val="005F7848"/>
    <w:rsid w:val="005F7891"/>
    <w:rsid w:val="005F7A74"/>
    <w:rsid w:val="005F7C20"/>
    <w:rsid w:val="005F7F02"/>
    <w:rsid w:val="005F7F0D"/>
    <w:rsid w:val="005F7FF0"/>
    <w:rsid w:val="006002D7"/>
    <w:rsid w:val="00600444"/>
    <w:rsid w:val="006004CE"/>
    <w:rsid w:val="006004EE"/>
    <w:rsid w:val="00600C90"/>
    <w:rsid w:val="0060126B"/>
    <w:rsid w:val="006012B1"/>
    <w:rsid w:val="00601349"/>
    <w:rsid w:val="0060146A"/>
    <w:rsid w:val="006015A7"/>
    <w:rsid w:val="00601658"/>
    <w:rsid w:val="006019C0"/>
    <w:rsid w:val="00601A28"/>
    <w:rsid w:val="00601A77"/>
    <w:rsid w:val="00601B5D"/>
    <w:rsid w:val="00601C07"/>
    <w:rsid w:val="00601CC0"/>
    <w:rsid w:val="00601F0D"/>
    <w:rsid w:val="00601FCF"/>
    <w:rsid w:val="0060217A"/>
    <w:rsid w:val="00602238"/>
    <w:rsid w:val="006026A6"/>
    <w:rsid w:val="0060288E"/>
    <w:rsid w:val="00602AC8"/>
    <w:rsid w:val="00602EAD"/>
    <w:rsid w:val="00602F90"/>
    <w:rsid w:val="00603699"/>
    <w:rsid w:val="00603CF8"/>
    <w:rsid w:val="00603D38"/>
    <w:rsid w:val="00603EFD"/>
    <w:rsid w:val="00603F03"/>
    <w:rsid w:val="00603F51"/>
    <w:rsid w:val="0060409F"/>
    <w:rsid w:val="0060416B"/>
    <w:rsid w:val="0060416D"/>
    <w:rsid w:val="00604202"/>
    <w:rsid w:val="0060437E"/>
    <w:rsid w:val="00604424"/>
    <w:rsid w:val="00604450"/>
    <w:rsid w:val="00604596"/>
    <w:rsid w:val="006047AB"/>
    <w:rsid w:val="006048A6"/>
    <w:rsid w:val="00604C7D"/>
    <w:rsid w:val="00604CE2"/>
    <w:rsid w:val="00604FBE"/>
    <w:rsid w:val="00605548"/>
    <w:rsid w:val="0060554E"/>
    <w:rsid w:val="00605562"/>
    <w:rsid w:val="00605604"/>
    <w:rsid w:val="00605A2F"/>
    <w:rsid w:val="00606095"/>
    <w:rsid w:val="006060C7"/>
    <w:rsid w:val="00606164"/>
    <w:rsid w:val="0060623D"/>
    <w:rsid w:val="006063B6"/>
    <w:rsid w:val="006063D2"/>
    <w:rsid w:val="00606A85"/>
    <w:rsid w:val="00606D10"/>
    <w:rsid w:val="00606D81"/>
    <w:rsid w:val="00606E75"/>
    <w:rsid w:val="00606E78"/>
    <w:rsid w:val="00606EA7"/>
    <w:rsid w:val="0060710A"/>
    <w:rsid w:val="00607232"/>
    <w:rsid w:val="006076A1"/>
    <w:rsid w:val="00607740"/>
    <w:rsid w:val="00607ADB"/>
    <w:rsid w:val="00607ADF"/>
    <w:rsid w:val="00607D8F"/>
    <w:rsid w:val="00607E8D"/>
    <w:rsid w:val="006102B2"/>
    <w:rsid w:val="00610303"/>
    <w:rsid w:val="006107B4"/>
    <w:rsid w:val="00610884"/>
    <w:rsid w:val="00610A18"/>
    <w:rsid w:val="00610AC1"/>
    <w:rsid w:val="00610B1D"/>
    <w:rsid w:val="00610DBB"/>
    <w:rsid w:val="00610E62"/>
    <w:rsid w:val="00611156"/>
    <w:rsid w:val="006112F7"/>
    <w:rsid w:val="006114F4"/>
    <w:rsid w:val="006114FA"/>
    <w:rsid w:val="0061159F"/>
    <w:rsid w:val="00611810"/>
    <w:rsid w:val="00611947"/>
    <w:rsid w:val="006119EE"/>
    <w:rsid w:val="00611F9E"/>
    <w:rsid w:val="00612183"/>
    <w:rsid w:val="006122C1"/>
    <w:rsid w:val="006122F2"/>
    <w:rsid w:val="00612322"/>
    <w:rsid w:val="00612497"/>
    <w:rsid w:val="00612605"/>
    <w:rsid w:val="00612807"/>
    <w:rsid w:val="006129E3"/>
    <w:rsid w:val="00612DA1"/>
    <w:rsid w:val="00612E67"/>
    <w:rsid w:val="00612F5D"/>
    <w:rsid w:val="00612FB8"/>
    <w:rsid w:val="006130CA"/>
    <w:rsid w:val="006131CD"/>
    <w:rsid w:val="0061321A"/>
    <w:rsid w:val="0061324A"/>
    <w:rsid w:val="00613654"/>
    <w:rsid w:val="00613C53"/>
    <w:rsid w:val="00613F74"/>
    <w:rsid w:val="00613FC8"/>
    <w:rsid w:val="006141D5"/>
    <w:rsid w:val="0061475B"/>
    <w:rsid w:val="00614909"/>
    <w:rsid w:val="00614980"/>
    <w:rsid w:val="006149F3"/>
    <w:rsid w:val="00614AE9"/>
    <w:rsid w:val="00614B67"/>
    <w:rsid w:val="00614F62"/>
    <w:rsid w:val="00615039"/>
    <w:rsid w:val="006152A9"/>
    <w:rsid w:val="00615347"/>
    <w:rsid w:val="006154DD"/>
    <w:rsid w:val="0061574C"/>
    <w:rsid w:val="0061574F"/>
    <w:rsid w:val="0061592C"/>
    <w:rsid w:val="00615BDF"/>
    <w:rsid w:val="00615CFC"/>
    <w:rsid w:val="00615D1C"/>
    <w:rsid w:val="00615D89"/>
    <w:rsid w:val="00615FC1"/>
    <w:rsid w:val="006161F8"/>
    <w:rsid w:val="006163DE"/>
    <w:rsid w:val="006169AA"/>
    <w:rsid w:val="00616A50"/>
    <w:rsid w:val="00616D42"/>
    <w:rsid w:val="0061709E"/>
    <w:rsid w:val="0061712D"/>
    <w:rsid w:val="00617613"/>
    <w:rsid w:val="0061771F"/>
    <w:rsid w:val="006179FA"/>
    <w:rsid w:val="00617C1A"/>
    <w:rsid w:val="00617F3F"/>
    <w:rsid w:val="00620406"/>
    <w:rsid w:val="00620443"/>
    <w:rsid w:val="00620583"/>
    <w:rsid w:val="0062059D"/>
    <w:rsid w:val="0062069F"/>
    <w:rsid w:val="00620BB3"/>
    <w:rsid w:val="00620BEF"/>
    <w:rsid w:val="00620D2E"/>
    <w:rsid w:val="00620E8E"/>
    <w:rsid w:val="00621078"/>
    <w:rsid w:val="0062119A"/>
    <w:rsid w:val="00621274"/>
    <w:rsid w:val="006216EB"/>
    <w:rsid w:val="0062174A"/>
    <w:rsid w:val="006218E2"/>
    <w:rsid w:val="00621D5E"/>
    <w:rsid w:val="00621EEA"/>
    <w:rsid w:val="00621FA5"/>
    <w:rsid w:val="0062205C"/>
    <w:rsid w:val="00622075"/>
    <w:rsid w:val="00622492"/>
    <w:rsid w:val="006224CC"/>
    <w:rsid w:val="006227C1"/>
    <w:rsid w:val="00622B19"/>
    <w:rsid w:val="00622C25"/>
    <w:rsid w:val="006234F0"/>
    <w:rsid w:val="00623601"/>
    <w:rsid w:val="006236A4"/>
    <w:rsid w:val="006236B4"/>
    <w:rsid w:val="006237E2"/>
    <w:rsid w:val="00623C4B"/>
    <w:rsid w:val="00624454"/>
    <w:rsid w:val="00624AB2"/>
    <w:rsid w:val="00624ACC"/>
    <w:rsid w:val="00624BBA"/>
    <w:rsid w:val="00624C60"/>
    <w:rsid w:val="00624D46"/>
    <w:rsid w:val="00624DC0"/>
    <w:rsid w:val="006255DA"/>
    <w:rsid w:val="00625642"/>
    <w:rsid w:val="00625659"/>
    <w:rsid w:val="0062568C"/>
    <w:rsid w:val="00625885"/>
    <w:rsid w:val="00625A96"/>
    <w:rsid w:val="00625ADA"/>
    <w:rsid w:val="00625D4A"/>
    <w:rsid w:val="0062611E"/>
    <w:rsid w:val="0062651B"/>
    <w:rsid w:val="006266D1"/>
    <w:rsid w:val="006269D5"/>
    <w:rsid w:val="00626B8F"/>
    <w:rsid w:val="00626CC3"/>
    <w:rsid w:val="00626CE0"/>
    <w:rsid w:val="00627015"/>
    <w:rsid w:val="00627031"/>
    <w:rsid w:val="006270DA"/>
    <w:rsid w:val="006271F7"/>
    <w:rsid w:val="006273C8"/>
    <w:rsid w:val="0062754D"/>
    <w:rsid w:val="006277D1"/>
    <w:rsid w:val="00627999"/>
    <w:rsid w:val="00627A82"/>
    <w:rsid w:val="00627ADD"/>
    <w:rsid w:val="00627DD1"/>
    <w:rsid w:val="00627FC0"/>
    <w:rsid w:val="0063005A"/>
    <w:rsid w:val="0063012D"/>
    <w:rsid w:val="006301A1"/>
    <w:rsid w:val="006301BE"/>
    <w:rsid w:val="006301CA"/>
    <w:rsid w:val="006303D5"/>
    <w:rsid w:val="00630426"/>
    <w:rsid w:val="006304D4"/>
    <w:rsid w:val="00630840"/>
    <w:rsid w:val="00630868"/>
    <w:rsid w:val="0063096A"/>
    <w:rsid w:val="00630AA4"/>
    <w:rsid w:val="00630BAC"/>
    <w:rsid w:val="00630D99"/>
    <w:rsid w:val="00630E00"/>
    <w:rsid w:val="00630E90"/>
    <w:rsid w:val="0063101E"/>
    <w:rsid w:val="0063116B"/>
    <w:rsid w:val="0063128C"/>
    <w:rsid w:val="00631385"/>
    <w:rsid w:val="00631695"/>
    <w:rsid w:val="0063169D"/>
    <w:rsid w:val="0063171D"/>
    <w:rsid w:val="00631999"/>
    <w:rsid w:val="00631EA0"/>
    <w:rsid w:val="00631F75"/>
    <w:rsid w:val="00631FF6"/>
    <w:rsid w:val="006323D5"/>
    <w:rsid w:val="006323E3"/>
    <w:rsid w:val="00632459"/>
    <w:rsid w:val="00632AFD"/>
    <w:rsid w:val="00632DAE"/>
    <w:rsid w:val="00632F67"/>
    <w:rsid w:val="00633316"/>
    <w:rsid w:val="0063346C"/>
    <w:rsid w:val="00633590"/>
    <w:rsid w:val="006336A3"/>
    <w:rsid w:val="006337ED"/>
    <w:rsid w:val="00633893"/>
    <w:rsid w:val="00633956"/>
    <w:rsid w:val="00633C07"/>
    <w:rsid w:val="00633F20"/>
    <w:rsid w:val="0063441E"/>
    <w:rsid w:val="0063442F"/>
    <w:rsid w:val="0063448F"/>
    <w:rsid w:val="006345AE"/>
    <w:rsid w:val="006345BE"/>
    <w:rsid w:val="00634679"/>
    <w:rsid w:val="00634689"/>
    <w:rsid w:val="00634775"/>
    <w:rsid w:val="006349A6"/>
    <w:rsid w:val="00634AC6"/>
    <w:rsid w:val="00634BFE"/>
    <w:rsid w:val="00634C68"/>
    <w:rsid w:val="00634CD6"/>
    <w:rsid w:val="00634D24"/>
    <w:rsid w:val="006356E4"/>
    <w:rsid w:val="006357B3"/>
    <w:rsid w:val="00635830"/>
    <w:rsid w:val="00635C54"/>
    <w:rsid w:val="00635CA7"/>
    <w:rsid w:val="00635D4B"/>
    <w:rsid w:val="0063605A"/>
    <w:rsid w:val="00636084"/>
    <w:rsid w:val="006360BD"/>
    <w:rsid w:val="0063611B"/>
    <w:rsid w:val="0063617C"/>
    <w:rsid w:val="006361C2"/>
    <w:rsid w:val="006362FE"/>
    <w:rsid w:val="00636752"/>
    <w:rsid w:val="00636763"/>
    <w:rsid w:val="006367B9"/>
    <w:rsid w:val="006368DB"/>
    <w:rsid w:val="00636906"/>
    <w:rsid w:val="00636A69"/>
    <w:rsid w:val="00636B6C"/>
    <w:rsid w:val="00636C9C"/>
    <w:rsid w:val="00636F0A"/>
    <w:rsid w:val="00637349"/>
    <w:rsid w:val="006373F8"/>
    <w:rsid w:val="00637862"/>
    <w:rsid w:val="00637938"/>
    <w:rsid w:val="00637B29"/>
    <w:rsid w:val="00637DAD"/>
    <w:rsid w:val="00637DF5"/>
    <w:rsid w:val="00640174"/>
    <w:rsid w:val="006402CC"/>
    <w:rsid w:val="0064030C"/>
    <w:rsid w:val="00640545"/>
    <w:rsid w:val="006407D9"/>
    <w:rsid w:val="00640859"/>
    <w:rsid w:val="00640A5E"/>
    <w:rsid w:val="00640D1E"/>
    <w:rsid w:val="00640F8B"/>
    <w:rsid w:val="006414E3"/>
    <w:rsid w:val="0064153F"/>
    <w:rsid w:val="00641570"/>
    <w:rsid w:val="006415DE"/>
    <w:rsid w:val="006415F1"/>
    <w:rsid w:val="0064166A"/>
    <w:rsid w:val="0064199B"/>
    <w:rsid w:val="006419EE"/>
    <w:rsid w:val="00641A82"/>
    <w:rsid w:val="00641AB3"/>
    <w:rsid w:val="00641AF7"/>
    <w:rsid w:val="00641BD4"/>
    <w:rsid w:val="00641C4A"/>
    <w:rsid w:val="00641C82"/>
    <w:rsid w:val="00641D25"/>
    <w:rsid w:val="00642076"/>
    <w:rsid w:val="006421EA"/>
    <w:rsid w:val="006426D1"/>
    <w:rsid w:val="0064278B"/>
    <w:rsid w:val="0064293A"/>
    <w:rsid w:val="00642984"/>
    <w:rsid w:val="00642A4C"/>
    <w:rsid w:val="00642AA1"/>
    <w:rsid w:val="00642E08"/>
    <w:rsid w:val="006432C1"/>
    <w:rsid w:val="0064383C"/>
    <w:rsid w:val="006438BC"/>
    <w:rsid w:val="00643BA9"/>
    <w:rsid w:val="00643C7C"/>
    <w:rsid w:val="00643D29"/>
    <w:rsid w:val="00643E37"/>
    <w:rsid w:val="0064403B"/>
    <w:rsid w:val="00644256"/>
    <w:rsid w:val="00644369"/>
    <w:rsid w:val="00644667"/>
    <w:rsid w:val="0064489B"/>
    <w:rsid w:val="00644A59"/>
    <w:rsid w:val="00644FAC"/>
    <w:rsid w:val="00644FD1"/>
    <w:rsid w:val="00644FF6"/>
    <w:rsid w:val="0064518F"/>
    <w:rsid w:val="006451E2"/>
    <w:rsid w:val="006452E8"/>
    <w:rsid w:val="00645685"/>
    <w:rsid w:val="006457FB"/>
    <w:rsid w:val="00645859"/>
    <w:rsid w:val="0064598F"/>
    <w:rsid w:val="00645C17"/>
    <w:rsid w:val="00645D06"/>
    <w:rsid w:val="0064645F"/>
    <w:rsid w:val="00646712"/>
    <w:rsid w:val="00646A89"/>
    <w:rsid w:val="00646B18"/>
    <w:rsid w:val="00646B57"/>
    <w:rsid w:val="00646B5B"/>
    <w:rsid w:val="00646EE1"/>
    <w:rsid w:val="00646F28"/>
    <w:rsid w:val="006473B3"/>
    <w:rsid w:val="00647591"/>
    <w:rsid w:val="006475BF"/>
    <w:rsid w:val="00647668"/>
    <w:rsid w:val="00647941"/>
    <w:rsid w:val="00647A4A"/>
    <w:rsid w:val="00647FAE"/>
    <w:rsid w:val="0065000D"/>
    <w:rsid w:val="006501F5"/>
    <w:rsid w:val="006508D4"/>
    <w:rsid w:val="0065092B"/>
    <w:rsid w:val="0065092C"/>
    <w:rsid w:val="00650BFB"/>
    <w:rsid w:val="00650D62"/>
    <w:rsid w:val="00650E5E"/>
    <w:rsid w:val="00650E95"/>
    <w:rsid w:val="00650EC8"/>
    <w:rsid w:val="00650F37"/>
    <w:rsid w:val="00650F8A"/>
    <w:rsid w:val="0065104C"/>
    <w:rsid w:val="00651108"/>
    <w:rsid w:val="0065119E"/>
    <w:rsid w:val="00651371"/>
    <w:rsid w:val="006516A2"/>
    <w:rsid w:val="006516FD"/>
    <w:rsid w:val="00651795"/>
    <w:rsid w:val="006517E0"/>
    <w:rsid w:val="00651A12"/>
    <w:rsid w:val="00651A81"/>
    <w:rsid w:val="00651A89"/>
    <w:rsid w:val="0065281B"/>
    <w:rsid w:val="006528A6"/>
    <w:rsid w:val="00652986"/>
    <w:rsid w:val="00652B88"/>
    <w:rsid w:val="00652D53"/>
    <w:rsid w:val="00652F2C"/>
    <w:rsid w:val="006531EA"/>
    <w:rsid w:val="006533C1"/>
    <w:rsid w:val="0065348D"/>
    <w:rsid w:val="006535C2"/>
    <w:rsid w:val="006538FC"/>
    <w:rsid w:val="00653947"/>
    <w:rsid w:val="00653995"/>
    <w:rsid w:val="00653E75"/>
    <w:rsid w:val="00654054"/>
    <w:rsid w:val="0065412A"/>
    <w:rsid w:val="00654141"/>
    <w:rsid w:val="0065471E"/>
    <w:rsid w:val="006547E3"/>
    <w:rsid w:val="006548DB"/>
    <w:rsid w:val="00654A89"/>
    <w:rsid w:val="00654AF4"/>
    <w:rsid w:val="00654C53"/>
    <w:rsid w:val="00654EF9"/>
    <w:rsid w:val="006550A3"/>
    <w:rsid w:val="00655845"/>
    <w:rsid w:val="00655B73"/>
    <w:rsid w:val="00655F3D"/>
    <w:rsid w:val="00655FA2"/>
    <w:rsid w:val="00656038"/>
    <w:rsid w:val="006560B0"/>
    <w:rsid w:val="00656167"/>
    <w:rsid w:val="006563FD"/>
    <w:rsid w:val="00656434"/>
    <w:rsid w:val="00656521"/>
    <w:rsid w:val="0065679D"/>
    <w:rsid w:val="00656817"/>
    <w:rsid w:val="00656909"/>
    <w:rsid w:val="00656987"/>
    <w:rsid w:val="00656D64"/>
    <w:rsid w:val="00656DB5"/>
    <w:rsid w:val="00656F43"/>
    <w:rsid w:val="00656FF4"/>
    <w:rsid w:val="006572DD"/>
    <w:rsid w:val="006572EF"/>
    <w:rsid w:val="006574B3"/>
    <w:rsid w:val="00657505"/>
    <w:rsid w:val="00657579"/>
    <w:rsid w:val="0065768F"/>
    <w:rsid w:val="00657856"/>
    <w:rsid w:val="00657925"/>
    <w:rsid w:val="00657927"/>
    <w:rsid w:val="00657B74"/>
    <w:rsid w:val="00660064"/>
    <w:rsid w:val="00660069"/>
    <w:rsid w:val="006601A1"/>
    <w:rsid w:val="0066024F"/>
    <w:rsid w:val="006602A4"/>
    <w:rsid w:val="00660362"/>
    <w:rsid w:val="00660447"/>
    <w:rsid w:val="0066055A"/>
    <w:rsid w:val="0066058B"/>
    <w:rsid w:val="006605D3"/>
    <w:rsid w:val="00660830"/>
    <w:rsid w:val="006608BF"/>
    <w:rsid w:val="00660AD3"/>
    <w:rsid w:val="00660BD1"/>
    <w:rsid w:val="00660DA3"/>
    <w:rsid w:val="00660F13"/>
    <w:rsid w:val="0066104F"/>
    <w:rsid w:val="00661953"/>
    <w:rsid w:val="00661A1E"/>
    <w:rsid w:val="00661C69"/>
    <w:rsid w:val="00661DA3"/>
    <w:rsid w:val="00661DE0"/>
    <w:rsid w:val="00661E45"/>
    <w:rsid w:val="00661EAA"/>
    <w:rsid w:val="00661F4D"/>
    <w:rsid w:val="00661F5F"/>
    <w:rsid w:val="00662005"/>
    <w:rsid w:val="006621C4"/>
    <w:rsid w:val="006621E9"/>
    <w:rsid w:val="00662473"/>
    <w:rsid w:val="006627C6"/>
    <w:rsid w:val="00662840"/>
    <w:rsid w:val="00662979"/>
    <w:rsid w:val="00662A00"/>
    <w:rsid w:val="00662CF6"/>
    <w:rsid w:val="00662D71"/>
    <w:rsid w:val="00663297"/>
    <w:rsid w:val="0066333F"/>
    <w:rsid w:val="00663702"/>
    <w:rsid w:val="00663890"/>
    <w:rsid w:val="00663A77"/>
    <w:rsid w:val="00663AD4"/>
    <w:rsid w:val="00663B08"/>
    <w:rsid w:val="00663BAE"/>
    <w:rsid w:val="006645EF"/>
    <w:rsid w:val="0066461B"/>
    <w:rsid w:val="00664DB0"/>
    <w:rsid w:val="00665318"/>
    <w:rsid w:val="006654CF"/>
    <w:rsid w:val="006654DF"/>
    <w:rsid w:val="00665594"/>
    <w:rsid w:val="00665606"/>
    <w:rsid w:val="006656AE"/>
    <w:rsid w:val="00665909"/>
    <w:rsid w:val="00665A73"/>
    <w:rsid w:val="00665C58"/>
    <w:rsid w:val="00665E00"/>
    <w:rsid w:val="00665E20"/>
    <w:rsid w:val="0066610D"/>
    <w:rsid w:val="00666232"/>
    <w:rsid w:val="00666311"/>
    <w:rsid w:val="0066645C"/>
    <w:rsid w:val="00666469"/>
    <w:rsid w:val="006664A4"/>
    <w:rsid w:val="006666FC"/>
    <w:rsid w:val="006667FF"/>
    <w:rsid w:val="00666891"/>
    <w:rsid w:val="00666B75"/>
    <w:rsid w:val="006671D6"/>
    <w:rsid w:val="00667327"/>
    <w:rsid w:val="00667362"/>
    <w:rsid w:val="0066743F"/>
    <w:rsid w:val="0066744B"/>
    <w:rsid w:val="006674BE"/>
    <w:rsid w:val="006677A8"/>
    <w:rsid w:val="00667985"/>
    <w:rsid w:val="00667C96"/>
    <w:rsid w:val="00667D68"/>
    <w:rsid w:val="00667E2D"/>
    <w:rsid w:val="0067001F"/>
    <w:rsid w:val="006702A0"/>
    <w:rsid w:val="00670424"/>
    <w:rsid w:val="006704EC"/>
    <w:rsid w:val="0067057B"/>
    <w:rsid w:val="00670617"/>
    <w:rsid w:val="00670649"/>
    <w:rsid w:val="006706FA"/>
    <w:rsid w:val="006708A2"/>
    <w:rsid w:val="00670947"/>
    <w:rsid w:val="00670A4B"/>
    <w:rsid w:val="00670ACE"/>
    <w:rsid w:val="00670D8F"/>
    <w:rsid w:val="00670DFE"/>
    <w:rsid w:val="00671016"/>
    <w:rsid w:val="0067132D"/>
    <w:rsid w:val="006714D0"/>
    <w:rsid w:val="006719BC"/>
    <w:rsid w:val="00671A49"/>
    <w:rsid w:val="00671CAE"/>
    <w:rsid w:val="006721AC"/>
    <w:rsid w:val="006721AD"/>
    <w:rsid w:val="00672303"/>
    <w:rsid w:val="006724C8"/>
    <w:rsid w:val="006725D4"/>
    <w:rsid w:val="00672698"/>
    <w:rsid w:val="006726C9"/>
    <w:rsid w:val="00672D43"/>
    <w:rsid w:val="00672E52"/>
    <w:rsid w:val="00672E57"/>
    <w:rsid w:val="00673103"/>
    <w:rsid w:val="00673261"/>
    <w:rsid w:val="006733D7"/>
    <w:rsid w:val="00673410"/>
    <w:rsid w:val="0067343E"/>
    <w:rsid w:val="0067353A"/>
    <w:rsid w:val="006735D7"/>
    <w:rsid w:val="0067363C"/>
    <w:rsid w:val="00673882"/>
    <w:rsid w:val="006739EE"/>
    <w:rsid w:val="00673B00"/>
    <w:rsid w:val="00673DBF"/>
    <w:rsid w:val="00673FC2"/>
    <w:rsid w:val="006743BA"/>
    <w:rsid w:val="006743D8"/>
    <w:rsid w:val="00674405"/>
    <w:rsid w:val="00674432"/>
    <w:rsid w:val="006745BB"/>
    <w:rsid w:val="00674637"/>
    <w:rsid w:val="00674886"/>
    <w:rsid w:val="00674935"/>
    <w:rsid w:val="00674C2B"/>
    <w:rsid w:val="006753F5"/>
    <w:rsid w:val="006755B8"/>
    <w:rsid w:val="00675736"/>
    <w:rsid w:val="00675AF1"/>
    <w:rsid w:val="00675C5C"/>
    <w:rsid w:val="00675DB7"/>
    <w:rsid w:val="00675ED1"/>
    <w:rsid w:val="00676226"/>
    <w:rsid w:val="00676242"/>
    <w:rsid w:val="00676392"/>
    <w:rsid w:val="00676747"/>
    <w:rsid w:val="006769C6"/>
    <w:rsid w:val="006769D2"/>
    <w:rsid w:val="00676AE6"/>
    <w:rsid w:val="00677591"/>
    <w:rsid w:val="006775FC"/>
    <w:rsid w:val="00677A68"/>
    <w:rsid w:val="00677BC7"/>
    <w:rsid w:val="00677CF0"/>
    <w:rsid w:val="00677F4C"/>
    <w:rsid w:val="0068006E"/>
    <w:rsid w:val="00680501"/>
    <w:rsid w:val="006805C8"/>
    <w:rsid w:val="0068071C"/>
    <w:rsid w:val="006809C5"/>
    <w:rsid w:val="00680F48"/>
    <w:rsid w:val="006811A5"/>
    <w:rsid w:val="00681536"/>
    <w:rsid w:val="006815C5"/>
    <w:rsid w:val="00681624"/>
    <w:rsid w:val="006819CC"/>
    <w:rsid w:val="00681D0B"/>
    <w:rsid w:val="00681F58"/>
    <w:rsid w:val="00682704"/>
    <w:rsid w:val="00682780"/>
    <w:rsid w:val="0068281E"/>
    <w:rsid w:val="006828C1"/>
    <w:rsid w:val="00682A5F"/>
    <w:rsid w:val="00682CCB"/>
    <w:rsid w:val="00682D19"/>
    <w:rsid w:val="006832B8"/>
    <w:rsid w:val="006832DE"/>
    <w:rsid w:val="006833E8"/>
    <w:rsid w:val="00683592"/>
    <w:rsid w:val="006838A4"/>
    <w:rsid w:val="00683C34"/>
    <w:rsid w:val="00683D26"/>
    <w:rsid w:val="00683D93"/>
    <w:rsid w:val="00683DEA"/>
    <w:rsid w:val="00683E29"/>
    <w:rsid w:val="00683E30"/>
    <w:rsid w:val="0068410F"/>
    <w:rsid w:val="00684273"/>
    <w:rsid w:val="006842D1"/>
    <w:rsid w:val="006842DE"/>
    <w:rsid w:val="00684326"/>
    <w:rsid w:val="00684467"/>
    <w:rsid w:val="006847FA"/>
    <w:rsid w:val="00684819"/>
    <w:rsid w:val="0068491D"/>
    <w:rsid w:val="00684B78"/>
    <w:rsid w:val="00684BE9"/>
    <w:rsid w:val="00684D13"/>
    <w:rsid w:val="00684DC3"/>
    <w:rsid w:val="00684EDD"/>
    <w:rsid w:val="00684EE8"/>
    <w:rsid w:val="00684F95"/>
    <w:rsid w:val="00685050"/>
    <w:rsid w:val="00685083"/>
    <w:rsid w:val="00685092"/>
    <w:rsid w:val="00685282"/>
    <w:rsid w:val="006853EC"/>
    <w:rsid w:val="006854D6"/>
    <w:rsid w:val="0068559C"/>
    <w:rsid w:val="006855E8"/>
    <w:rsid w:val="0068583B"/>
    <w:rsid w:val="00685863"/>
    <w:rsid w:val="00685B75"/>
    <w:rsid w:val="00685C9C"/>
    <w:rsid w:val="00685D14"/>
    <w:rsid w:val="00685D41"/>
    <w:rsid w:val="00686156"/>
    <w:rsid w:val="006864E5"/>
    <w:rsid w:val="006865B8"/>
    <w:rsid w:val="0068684C"/>
    <w:rsid w:val="006868FF"/>
    <w:rsid w:val="00686950"/>
    <w:rsid w:val="006869C5"/>
    <w:rsid w:val="00686AE1"/>
    <w:rsid w:val="00686BA7"/>
    <w:rsid w:val="00686C35"/>
    <w:rsid w:val="00687153"/>
    <w:rsid w:val="0068719C"/>
    <w:rsid w:val="006872E4"/>
    <w:rsid w:val="00687346"/>
    <w:rsid w:val="00687358"/>
    <w:rsid w:val="006874BE"/>
    <w:rsid w:val="006875BE"/>
    <w:rsid w:val="00687912"/>
    <w:rsid w:val="006879E4"/>
    <w:rsid w:val="00687C37"/>
    <w:rsid w:val="00690058"/>
    <w:rsid w:val="006900CE"/>
    <w:rsid w:val="006900F6"/>
    <w:rsid w:val="00690167"/>
    <w:rsid w:val="0069046A"/>
    <w:rsid w:val="006907FD"/>
    <w:rsid w:val="00690880"/>
    <w:rsid w:val="00690A41"/>
    <w:rsid w:val="00690D8D"/>
    <w:rsid w:val="006912CC"/>
    <w:rsid w:val="00691434"/>
    <w:rsid w:val="0069159B"/>
    <w:rsid w:val="006915AD"/>
    <w:rsid w:val="006915CC"/>
    <w:rsid w:val="006915E4"/>
    <w:rsid w:val="00691B74"/>
    <w:rsid w:val="006924A4"/>
    <w:rsid w:val="006927A7"/>
    <w:rsid w:val="006927F5"/>
    <w:rsid w:val="00692B86"/>
    <w:rsid w:val="00692D15"/>
    <w:rsid w:val="00692D22"/>
    <w:rsid w:val="00692D3B"/>
    <w:rsid w:val="006930CB"/>
    <w:rsid w:val="00693508"/>
    <w:rsid w:val="006935DF"/>
    <w:rsid w:val="006936A6"/>
    <w:rsid w:val="00693748"/>
    <w:rsid w:val="0069379A"/>
    <w:rsid w:val="00693845"/>
    <w:rsid w:val="00693C94"/>
    <w:rsid w:val="00693D75"/>
    <w:rsid w:val="00693D86"/>
    <w:rsid w:val="00693F1C"/>
    <w:rsid w:val="00693F58"/>
    <w:rsid w:val="00693FD9"/>
    <w:rsid w:val="00694113"/>
    <w:rsid w:val="006941FC"/>
    <w:rsid w:val="00694251"/>
    <w:rsid w:val="00694714"/>
    <w:rsid w:val="00694735"/>
    <w:rsid w:val="006947E8"/>
    <w:rsid w:val="006947F0"/>
    <w:rsid w:val="006948F5"/>
    <w:rsid w:val="00694A21"/>
    <w:rsid w:val="00694ACE"/>
    <w:rsid w:val="00694ED2"/>
    <w:rsid w:val="0069506B"/>
    <w:rsid w:val="0069525F"/>
    <w:rsid w:val="006952AE"/>
    <w:rsid w:val="006954F8"/>
    <w:rsid w:val="0069568A"/>
    <w:rsid w:val="0069582B"/>
    <w:rsid w:val="006958C9"/>
    <w:rsid w:val="00695AAA"/>
    <w:rsid w:val="00695BCE"/>
    <w:rsid w:val="00695C21"/>
    <w:rsid w:val="00695C85"/>
    <w:rsid w:val="00696699"/>
    <w:rsid w:val="00696868"/>
    <w:rsid w:val="00696940"/>
    <w:rsid w:val="00696B6A"/>
    <w:rsid w:val="00696CDC"/>
    <w:rsid w:val="006971B5"/>
    <w:rsid w:val="0069740F"/>
    <w:rsid w:val="006976CB"/>
    <w:rsid w:val="006976F7"/>
    <w:rsid w:val="00697722"/>
    <w:rsid w:val="00697B20"/>
    <w:rsid w:val="00697C21"/>
    <w:rsid w:val="00697DF8"/>
    <w:rsid w:val="00697E77"/>
    <w:rsid w:val="00697F86"/>
    <w:rsid w:val="006A00D5"/>
    <w:rsid w:val="006A0157"/>
    <w:rsid w:val="006A025C"/>
    <w:rsid w:val="006A0835"/>
    <w:rsid w:val="006A09B0"/>
    <w:rsid w:val="006A0A55"/>
    <w:rsid w:val="006A0C26"/>
    <w:rsid w:val="006A0F5B"/>
    <w:rsid w:val="006A1060"/>
    <w:rsid w:val="006A10C2"/>
    <w:rsid w:val="006A1249"/>
    <w:rsid w:val="006A157F"/>
    <w:rsid w:val="006A15AB"/>
    <w:rsid w:val="006A18B8"/>
    <w:rsid w:val="006A1BE8"/>
    <w:rsid w:val="006A1CCB"/>
    <w:rsid w:val="006A1F6C"/>
    <w:rsid w:val="006A21FC"/>
    <w:rsid w:val="006A22FE"/>
    <w:rsid w:val="006A237C"/>
    <w:rsid w:val="006A23E9"/>
    <w:rsid w:val="006A2494"/>
    <w:rsid w:val="006A2A63"/>
    <w:rsid w:val="006A2DBE"/>
    <w:rsid w:val="006A31D5"/>
    <w:rsid w:val="006A3233"/>
    <w:rsid w:val="006A331F"/>
    <w:rsid w:val="006A33DF"/>
    <w:rsid w:val="006A35AF"/>
    <w:rsid w:val="006A35B7"/>
    <w:rsid w:val="006A3AA5"/>
    <w:rsid w:val="006A3CE3"/>
    <w:rsid w:val="006A3D7C"/>
    <w:rsid w:val="006A4393"/>
    <w:rsid w:val="006A4436"/>
    <w:rsid w:val="006A4779"/>
    <w:rsid w:val="006A4986"/>
    <w:rsid w:val="006A4A0A"/>
    <w:rsid w:val="006A4C47"/>
    <w:rsid w:val="006A4CA5"/>
    <w:rsid w:val="006A4DF2"/>
    <w:rsid w:val="006A4FBD"/>
    <w:rsid w:val="006A5007"/>
    <w:rsid w:val="006A5038"/>
    <w:rsid w:val="006A5193"/>
    <w:rsid w:val="006A52D7"/>
    <w:rsid w:val="006A55FE"/>
    <w:rsid w:val="006A568E"/>
    <w:rsid w:val="006A56CE"/>
    <w:rsid w:val="006A573C"/>
    <w:rsid w:val="006A5886"/>
    <w:rsid w:val="006A5C96"/>
    <w:rsid w:val="006A5FE7"/>
    <w:rsid w:val="006A60DD"/>
    <w:rsid w:val="006A60E9"/>
    <w:rsid w:val="006A63DB"/>
    <w:rsid w:val="006A6544"/>
    <w:rsid w:val="006A65C0"/>
    <w:rsid w:val="006A6760"/>
    <w:rsid w:val="006A6BFB"/>
    <w:rsid w:val="006A6CBA"/>
    <w:rsid w:val="006A6CE3"/>
    <w:rsid w:val="006A6F45"/>
    <w:rsid w:val="006A6F85"/>
    <w:rsid w:val="006A7217"/>
    <w:rsid w:val="006A729E"/>
    <w:rsid w:val="006A74E5"/>
    <w:rsid w:val="006A764D"/>
    <w:rsid w:val="006A78E0"/>
    <w:rsid w:val="006A7961"/>
    <w:rsid w:val="006A7B1B"/>
    <w:rsid w:val="006A7BCD"/>
    <w:rsid w:val="006B0406"/>
    <w:rsid w:val="006B04DD"/>
    <w:rsid w:val="006B059F"/>
    <w:rsid w:val="006B0635"/>
    <w:rsid w:val="006B067A"/>
    <w:rsid w:val="006B082D"/>
    <w:rsid w:val="006B0886"/>
    <w:rsid w:val="006B0AB1"/>
    <w:rsid w:val="006B0CDB"/>
    <w:rsid w:val="006B0CFF"/>
    <w:rsid w:val="006B14FE"/>
    <w:rsid w:val="006B1576"/>
    <w:rsid w:val="006B162F"/>
    <w:rsid w:val="006B16B0"/>
    <w:rsid w:val="006B16EB"/>
    <w:rsid w:val="006B199C"/>
    <w:rsid w:val="006B19AA"/>
    <w:rsid w:val="006B1BAD"/>
    <w:rsid w:val="006B1DB3"/>
    <w:rsid w:val="006B1E88"/>
    <w:rsid w:val="006B1F3F"/>
    <w:rsid w:val="006B1FDB"/>
    <w:rsid w:val="006B2177"/>
    <w:rsid w:val="006B237B"/>
    <w:rsid w:val="006B264E"/>
    <w:rsid w:val="006B2857"/>
    <w:rsid w:val="006B3096"/>
    <w:rsid w:val="006B30A5"/>
    <w:rsid w:val="006B30CB"/>
    <w:rsid w:val="006B31D2"/>
    <w:rsid w:val="006B334E"/>
    <w:rsid w:val="006B3376"/>
    <w:rsid w:val="006B3398"/>
    <w:rsid w:val="006B3544"/>
    <w:rsid w:val="006B35DC"/>
    <w:rsid w:val="006B3851"/>
    <w:rsid w:val="006B387D"/>
    <w:rsid w:val="006B3A52"/>
    <w:rsid w:val="006B3B25"/>
    <w:rsid w:val="006B3B5C"/>
    <w:rsid w:val="006B3EAB"/>
    <w:rsid w:val="006B43BE"/>
    <w:rsid w:val="006B4528"/>
    <w:rsid w:val="006B487E"/>
    <w:rsid w:val="006B4896"/>
    <w:rsid w:val="006B4A77"/>
    <w:rsid w:val="006B4BD5"/>
    <w:rsid w:val="006B51AE"/>
    <w:rsid w:val="006B51F3"/>
    <w:rsid w:val="006B527C"/>
    <w:rsid w:val="006B52BA"/>
    <w:rsid w:val="006B5372"/>
    <w:rsid w:val="006B54A3"/>
    <w:rsid w:val="006B5667"/>
    <w:rsid w:val="006B569B"/>
    <w:rsid w:val="006B5B2C"/>
    <w:rsid w:val="006B5BDB"/>
    <w:rsid w:val="006B5D19"/>
    <w:rsid w:val="006B5D59"/>
    <w:rsid w:val="006B5E00"/>
    <w:rsid w:val="006B6556"/>
    <w:rsid w:val="006B685E"/>
    <w:rsid w:val="006B6983"/>
    <w:rsid w:val="006B699A"/>
    <w:rsid w:val="006B6C54"/>
    <w:rsid w:val="006B6E7B"/>
    <w:rsid w:val="006B6EF3"/>
    <w:rsid w:val="006B7655"/>
    <w:rsid w:val="006B7673"/>
    <w:rsid w:val="006B79CC"/>
    <w:rsid w:val="006B7A87"/>
    <w:rsid w:val="006B7AB1"/>
    <w:rsid w:val="006B7B8E"/>
    <w:rsid w:val="006C0070"/>
    <w:rsid w:val="006C00AA"/>
    <w:rsid w:val="006C03AF"/>
    <w:rsid w:val="006C0BF0"/>
    <w:rsid w:val="006C0D88"/>
    <w:rsid w:val="006C1031"/>
    <w:rsid w:val="006C10C5"/>
    <w:rsid w:val="006C133D"/>
    <w:rsid w:val="006C18B9"/>
    <w:rsid w:val="006C1988"/>
    <w:rsid w:val="006C1C61"/>
    <w:rsid w:val="006C1FB8"/>
    <w:rsid w:val="006C2022"/>
    <w:rsid w:val="006C25A7"/>
    <w:rsid w:val="006C2822"/>
    <w:rsid w:val="006C2967"/>
    <w:rsid w:val="006C29A9"/>
    <w:rsid w:val="006C2A92"/>
    <w:rsid w:val="006C3209"/>
    <w:rsid w:val="006C349B"/>
    <w:rsid w:val="006C35A2"/>
    <w:rsid w:val="006C35D1"/>
    <w:rsid w:val="006C374A"/>
    <w:rsid w:val="006C3773"/>
    <w:rsid w:val="006C37B9"/>
    <w:rsid w:val="006C3A3F"/>
    <w:rsid w:val="006C3B08"/>
    <w:rsid w:val="006C3B66"/>
    <w:rsid w:val="006C3E80"/>
    <w:rsid w:val="006C4017"/>
    <w:rsid w:val="006C4323"/>
    <w:rsid w:val="006C4677"/>
    <w:rsid w:val="006C4761"/>
    <w:rsid w:val="006C4925"/>
    <w:rsid w:val="006C49A0"/>
    <w:rsid w:val="006C4B49"/>
    <w:rsid w:val="006C4FA2"/>
    <w:rsid w:val="006C5032"/>
    <w:rsid w:val="006C50D1"/>
    <w:rsid w:val="006C52B3"/>
    <w:rsid w:val="006C52F4"/>
    <w:rsid w:val="006C5E9E"/>
    <w:rsid w:val="006C5EEA"/>
    <w:rsid w:val="006C60B9"/>
    <w:rsid w:val="006C622D"/>
    <w:rsid w:val="006C64CD"/>
    <w:rsid w:val="006C65A4"/>
    <w:rsid w:val="006C661B"/>
    <w:rsid w:val="006C664C"/>
    <w:rsid w:val="006C688D"/>
    <w:rsid w:val="006C6A5F"/>
    <w:rsid w:val="006C6A72"/>
    <w:rsid w:val="006C6ACF"/>
    <w:rsid w:val="006C6B26"/>
    <w:rsid w:val="006C6F7F"/>
    <w:rsid w:val="006C7077"/>
    <w:rsid w:val="006C72F1"/>
    <w:rsid w:val="006C7546"/>
    <w:rsid w:val="006C7873"/>
    <w:rsid w:val="006C7A89"/>
    <w:rsid w:val="006C7AC9"/>
    <w:rsid w:val="006C7D49"/>
    <w:rsid w:val="006C7EF2"/>
    <w:rsid w:val="006C7F08"/>
    <w:rsid w:val="006C7F81"/>
    <w:rsid w:val="006C7FD5"/>
    <w:rsid w:val="006D001A"/>
    <w:rsid w:val="006D0092"/>
    <w:rsid w:val="006D0103"/>
    <w:rsid w:val="006D024B"/>
    <w:rsid w:val="006D0395"/>
    <w:rsid w:val="006D0840"/>
    <w:rsid w:val="006D0930"/>
    <w:rsid w:val="006D0BFE"/>
    <w:rsid w:val="006D0CB9"/>
    <w:rsid w:val="006D0D8B"/>
    <w:rsid w:val="006D0DB5"/>
    <w:rsid w:val="006D1085"/>
    <w:rsid w:val="006D10F0"/>
    <w:rsid w:val="006D10FF"/>
    <w:rsid w:val="006D11C0"/>
    <w:rsid w:val="006D13A0"/>
    <w:rsid w:val="006D1520"/>
    <w:rsid w:val="006D1751"/>
    <w:rsid w:val="006D1B17"/>
    <w:rsid w:val="006D1B63"/>
    <w:rsid w:val="006D1F26"/>
    <w:rsid w:val="006D1F4A"/>
    <w:rsid w:val="006D2172"/>
    <w:rsid w:val="006D21CB"/>
    <w:rsid w:val="006D2519"/>
    <w:rsid w:val="006D2AF7"/>
    <w:rsid w:val="006D2BB7"/>
    <w:rsid w:val="006D2DA7"/>
    <w:rsid w:val="006D311F"/>
    <w:rsid w:val="006D31D4"/>
    <w:rsid w:val="006D3290"/>
    <w:rsid w:val="006D3534"/>
    <w:rsid w:val="006D37B2"/>
    <w:rsid w:val="006D37BE"/>
    <w:rsid w:val="006D3990"/>
    <w:rsid w:val="006D399A"/>
    <w:rsid w:val="006D3A82"/>
    <w:rsid w:val="006D3B0A"/>
    <w:rsid w:val="006D3D5B"/>
    <w:rsid w:val="006D3F89"/>
    <w:rsid w:val="006D412B"/>
    <w:rsid w:val="006D4522"/>
    <w:rsid w:val="006D4724"/>
    <w:rsid w:val="006D480D"/>
    <w:rsid w:val="006D4C60"/>
    <w:rsid w:val="006D4CA5"/>
    <w:rsid w:val="006D4D2F"/>
    <w:rsid w:val="006D4E4F"/>
    <w:rsid w:val="006D5246"/>
    <w:rsid w:val="006D525A"/>
    <w:rsid w:val="006D532C"/>
    <w:rsid w:val="006D5581"/>
    <w:rsid w:val="006D565E"/>
    <w:rsid w:val="006D5AAC"/>
    <w:rsid w:val="006D5DDB"/>
    <w:rsid w:val="006D6078"/>
    <w:rsid w:val="006D6257"/>
    <w:rsid w:val="006D628A"/>
    <w:rsid w:val="006D66A9"/>
    <w:rsid w:val="006D66FF"/>
    <w:rsid w:val="006D674D"/>
    <w:rsid w:val="006D69AF"/>
    <w:rsid w:val="006D6A8A"/>
    <w:rsid w:val="006D6BBF"/>
    <w:rsid w:val="006D6C2A"/>
    <w:rsid w:val="006D6C72"/>
    <w:rsid w:val="006D6ED0"/>
    <w:rsid w:val="006D6F86"/>
    <w:rsid w:val="006D6FC3"/>
    <w:rsid w:val="006D7040"/>
    <w:rsid w:val="006D70B3"/>
    <w:rsid w:val="006D71E7"/>
    <w:rsid w:val="006D7623"/>
    <w:rsid w:val="006D771B"/>
    <w:rsid w:val="006D7896"/>
    <w:rsid w:val="006D79F4"/>
    <w:rsid w:val="006D7B08"/>
    <w:rsid w:val="006D7B54"/>
    <w:rsid w:val="006D7D51"/>
    <w:rsid w:val="006D7D66"/>
    <w:rsid w:val="006D7F2A"/>
    <w:rsid w:val="006D7F58"/>
    <w:rsid w:val="006E0003"/>
    <w:rsid w:val="006E01B0"/>
    <w:rsid w:val="006E0357"/>
    <w:rsid w:val="006E0534"/>
    <w:rsid w:val="006E059A"/>
    <w:rsid w:val="006E069A"/>
    <w:rsid w:val="006E0873"/>
    <w:rsid w:val="006E0ABB"/>
    <w:rsid w:val="006E0AC6"/>
    <w:rsid w:val="006E0BE5"/>
    <w:rsid w:val="006E0D42"/>
    <w:rsid w:val="006E0E6F"/>
    <w:rsid w:val="006E0EE4"/>
    <w:rsid w:val="006E0F63"/>
    <w:rsid w:val="006E0F7D"/>
    <w:rsid w:val="006E10B0"/>
    <w:rsid w:val="006E116F"/>
    <w:rsid w:val="006E1662"/>
    <w:rsid w:val="006E16A6"/>
    <w:rsid w:val="006E1A10"/>
    <w:rsid w:val="006E1BDC"/>
    <w:rsid w:val="006E1D57"/>
    <w:rsid w:val="006E202E"/>
    <w:rsid w:val="006E22E2"/>
    <w:rsid w:val="006E236B"/>
    <w:rsid w:val="006E239C"/>
    <w:rsid w:val="006E25C3"/>
    <w:rsid w:val="006E2672"/>
    <w:rsid w:val="006E2B29"/>
    <w:rsid w:val="006E2B34"/>
    <w:rsid w:val="006E2CFD"/>
    <w:rsid w:val="006E2F0D"/>
    <w:rsid w:val="006E3079"/>
    <w:rsid w:val="006E33C8"/>
    <w:rsid w:val="006E33ED"/>
    <w:rsid w:val="006E3407"/>
    <w:rsid w:val="006E3485"/>
    <w:rsid w:val="006E3B58"/>
    <w:rsid w:val="006E3D31"/>
    <w:rsid w:val="006E3D70"/>
    <w:rsid w:val="006E3E8E"/>
    <w:rsid w:val="006E3ED1"/>
    <w:rsid w:val="006E4074"/>
    <w:rsid w:val="006E40A0"/>
    <w:rsid w:val="006E427D"/>
    <w:rsid w:val="006E4569"/>
    <w:rsid w:val="006E4657"/>
    <w:rsid w:val="006E47FE"/>
    <w:rsid w:val="006E483D"/>
    <w:rsid w:val="006E4866"/>
    <w:rsid w:val="006E48A0"/>
    <w:rsid w:val="006E4E9E"/>
    <w:rsid w:val="006E51D0"/>
    <w:rsid w:val="006E5454"/>
    <w:rsid w:val="006E54A5"/>
    <w:rsid w:val="006E54B8"/>
    <w:rsid w:val="006E5553"/>
    <w:rsid w:val="006E5670"/>
    <w:rsid w:val="006E5701"/>
    <w:rsid w:val="006E57C2"/>
    <w:rsid w:val="006E5841"/>
    <w:rsid w:val="006E5907"/>
    <w:rsid w:val="006E592C"/>
    <w:rsid w:val="006E5A80"/>
    <w:rsid w:val="006E5AA9"/>
    <w:rsid w:val="006E5C1D"/>
    <w:rsid w:val="006E5D0F"/>
    <w:rsid w:val="006E5E94"/>
    <w:rsid w:val="006E5ED4"/>
    <w:rsid w:val="006E5F7B"/>
    <w:rsid w:val="006E5F82"/>
    <w:rsid w:val="006E63FB"/>
    <w:rsid w:val="006E67D8"/>
    <w:rsid w:val="006E68C0"/>
    <w:rsid w:val="006E6B8E"/>
    <w:rsid w:val="006E6BED"/>
    <w:rsid w:val="006E6E7A"/>
    <w:rsid w:val="006E6F1E"/>
    <w:rsid w:val="006E6FFD"/>
    <w:rsid w:val="006E728B"/>
    <w:rsid w:val="006E73CF"/>
    <w:rsid w:val="006E746E"/>
    <w:rsid w:val="006E76A2"/>
    <w:rsid w:val="006E79FD"/>
    <w:rsid w:val="006E7A22"/>
    <w:rsid w:val="006E7A24"/>
    <w:rsid w:val="006E7A47"/>
    <w:rsid w:val="006E7A6F"/>
    <w:rsid w:val="006E7AC9"/>
    <w:rsid w:val="006E7B6A"/>
    <w:rsid w:val="006E7C26"/>
    <w:rsid w:val="006E7DB7"/>
    <w:rsid w:val="006E7F20"/>
    <w:rsid w:val="006E7F70"/>
    <w:rsid w:val="006F002F"/>
    <w:rsid w:val="006F006F"/>
    <w:rsid w:val="006F0358"/>
    <w:rsid w:val="006F0665"/>
    <w:rsid w:val="006F06DC"/>
    <w:rsid w:val="006F0892"/>
    <w:rsid w:val="006F0A11"/>
    <w:rsid w:val="006F0CE6"/>
    <w:rsid w:val="006F0DA9"/>
    <w:rsid w:val="006F0E45"/>
    <w:rsid w:val="006F1093"/>
    <w:rsid w:val="006F1243"/>
    <w:rsid w:val="006F12C0"/>
    <w:rsid w:val="006F130C"/>
    <w:rsid w:val="006F1366"/>
    <w:rsid w:val="006F13EE"/>
    <w:rsid w:val="006F1442"/>
    <w:rsid w:val="006F195C"/>
    <w:rsid w:val="006F1970"/>
    <w:rsid w:val="006F1AF1"/>
    <w:rsid w:val="006F1BC3"/>
    <w:rsid w:val="006F22BE"/>
    <w:rsid w:val="006F29AD"/>
    <w:rsid w:val="006F29F8"/>
    <w:rsid w:val="006F2B4D"/>
    <w:rsid w:val="006F2D41"/>
    <w:rsid w:val="006F2D4E"/>
    <w:rsid w:val="006F2E45"/>
    <w:rsid w:val="006F2EB9"/>
    <w:rsid w:val="006F2F9B"/>
    <w:rsid w:val="006F3382"/>
    <w:rsid w:val="006F3817"/>
    <w:rsid w:val="006F3B6F"/>
    <w:rsid w:val="006F3DA8"/>
    <w:rsid w:val="006F3E96"/>
    <w:rsid w:val="006F4049"/>
    <w:rsid w:val="006F4269"/>
    <w:rsid w:val="006F459F"/>
    <w:rsid w:val="006F4616"/>
    <w:rsid w:val="006F463C"/>
    <w:rsid w:val="006F4A49"/>
    <w:rsid w:val="006F4D08"/>
    <w:rsid w:val="006F4E93"/>
    <w:rsid w:val="006F54EB"/>
    <w:rsid w:val="006F59EC"/>
    <w:rsid w:val="006F5B7C"/>
    <w:rsid w:val="006F5C1C"/>
    <w:rsid w:val="006F5E17"/>
    <w:rsid w:val="006F612D"/>
    <w:rsid w:val="006F62DC"/>
    <w:rsid w:val="006F6443"/>
    <w:rsid w:val="006F655A"/>
    <w:rsid w:val="006F6AEC"/>
    <w:rsid w:val="006F6B4F"/>
    <w:rsid w:val="006F6CC1"/>
    <w:rsid w:val="006F6CC5"/>
    <w:rsid w:val="006F6E16"/>
    <w:rsid w:val="006F6F5D"/>
    <w:rsid w:val="006F71B2"/>
    <w:rsid w:val="006F71B9"/>
    <w:rsid w:val="006F73AA"/>
    <w:rsid w:val="006F741D"/>
    <w:rsid w:val="006F768D"/>
    <w:rsid w:val="006F7807"/>
    <w:rsid w:val="006F789F"/>
    <w:rsid w:val="006F7A50"/>
    <w:rsid w:val="006F7D80"/>
    <w:rsid w:val="00700005"/>
    <w:rsid w:val="007000FA"/>
    <w:rsid w:val="0070017C"/>
    <w:rsid w:val="007003D1"/>
    <w:rsid w:val="007004AF"/>
    <w:rsid w:val="00700857"/>
    <w:rsid w:val="00700AB5"/>
    <w:rsid w:val="00700C52"/>
    <w:rsid w:val="0070102C"/>
    <w:rsid w:val="0070106D"/>
    <w:rsid w:val="007013C1"/>
    <w:rsid w:val="0070145F"/>
    <w:rsid w:val="00701775"/>
    <w:rsid w:val="007017CD"/>
    <w:rsid w:val="00701A5F"/>
    <w:rsid w:val="00701BAC"/>
    <w:rsid w:val="00701CEC"/>
    <w:rsid w:val="00701CF6"/>
    <w:rsid w:val="00701D6D"/>
    <w:rsid w:val="00701DC7"/>
    <w:rsid w:val="00701E40"/>
    <w:rsid w:val="00701FC3"/>
    <w:rsid w:val="00702122"/>
    <w:rsid w:val="0070218D"/>
    <w:rsid w:val="00702249"/>
    <w:rsid w:val="0070231E"/>
    <w:rsid w:val="00702684"/>
    <w:rsid w:val="00702809"/>
    <w:rsid w:val="00702B0E"/>
    <w:rsid w:val="00702D5F"/>
    <w:rsid w:val="00703065"/>
    <w:rsid w:val="007030FA"/>
    <w:rsid w:val="007031E6"/>
    <w:rsid w:val="00703569"/>
    <w:rsid w:val="00703573"/>
    <w:rsid w:val="007037FC"/>
    <w:rsid w:val="00703A6A"/>
    <w:rsid w:val="00703AA5"/>
    <w:rsid w:val="00703B1E"/>
    <w:rsid w:val="00703C87"/>
    <w:rsid w:val="00703EC2"/>
    <w:rsid w:val="0070412F"/>
    <w:rsid w:val="00704205"/>
    <w:rsid w:val="00704281"/>
    <w:rsid w:val="007042BF"/>
    <w:rsid w:val="00704333"/>
    <w:rsid w:val="0070441D"/>
    <w:rsid w:val="00704B0E"/>
    <w:rsid w:val="00704C63"/>
    <w:rsid w:val="00704E47"/>
    <w:rsid w:val="0070502E"/>
    <w:rsid w:val="00705040"/>
    <w:rsid w:val="00705164"/>
    <w:rsid w:val="00705183"/>
    <w:rsid w:val="00705495"/>
    <w:rsid w:val="0070549B"/>
    <w:rsid w:val="00705642"/>
    <w:rsid w:val="007056A2"/>
    <w:rsid w:val="0070586E"/>
    <w:rsid w:val="0070591E"/>
    <w:rsid w:val="00705A6A"/>
    <w:rsid w:val="00705C1B"/>
    <w:rsid w:val="00705DA2"/>
    <w:rsid w:val="00705F5A"/>
    <w:rsid w:val="00706116"/>
    <w:rsid w:val="007066A6"/>
    <w:rsid w:val="007069E1"/>
    <w:rsid w:val="00706A8D"/>
    <w:rsid w:val="00706BC5"/>
    <w:rsid w:val="00706CA1"/>
    <w:rsid w:val="007070FF"/>
    <w:rsid w:val="007074DC"/>
    <w:rsid w:val="0070755B"/>
    <w:rsid w:val="00707697"/>
    <w:rsid w:val="0070787A"/>
    <w:rsid w:val="00707DA6"/>
    <w:rsid w:val="00710231"/>
    <w:rsid w:val="0071031A"/>
    <w:rsid w:val="00710356"/>
    <w:rsid w:val="00710376"/>
    <w:rsid w:val="00710413"/>
    <w:rsid w:val="00710561"/>
    <w:rsid w:val="00710578"/>
    <w:rsid w:val="00710A20"/>
    <w:rsid w:val="00710D9C"/>
    <w:rsid w:val="00710DC7"/>
    <w:rsid w:val="00710E4D"/>
    <w:rsid w:val="00710E9D"/>
    <w:rsid w:val="00710F6B"/>
    <w:rsid w:val="00710F87"/>
    <w:rsid w:val="007110CD"/>
    <w:rsid w:val="0071167E"/>
    <w:rsid w:val="007117B8"/>
    <w:rsid w:val="0071192C"/>
    <w:rsid w:val="00711ACF"/>
    <w:rsid w:val="00711BC7"/>
    <w:rsid w:val="00711D7B"/>
    <w:rsid w:val="00711DC4"/>
    <w:rsid w:val="00711DDA"/>
    <w:rsid w:val="00711FBA"/>
    <w:rsid w:val="00712060"/>
    <w:rsid w:val="007120C6"/>
    <w:rsid w:val="0071218E"/>
    <w:rsid w:val="007121AC"/>
    <w:rsid w:val="0071220E"/>
    <w:rsid w:val="007124C3"/>
    <w:rsid w:val="00712687"/>
    <w:rsid w:val="00712780"/>
    <w:rsid w:val="00712CCC"/>
    <w:rsid w:val="00712F1A"/>
    <w:rsid w:val="00713207"/>
    <w:rsid w:val="007133CC"/>
    <w:rsid w:val="00713875"/>
    <w:rsid w:val="007142B0"/>
    <w:rsid w:val="0071454A"/>
    <w:rsid w:val="007145D2"/>
    <w:rsid w:val="00714700"/>
    <w:rsid w:val="007147EA"/>
    <w:rsid w:val="007148B7"/>
    <w:rsid w:val="00714A31"/>
    <w:rsid w:val="00714CA1"/>
    <w:rsid w:val="00714F5D"/>
    <w:rsid w:val="007150FE"/>
    <w:rsid w:val="0071512E"/>
    <w:rsid w:val="007154B7"/>
    <w:rsid w:val="00715545"/>
    <w:rsid w:val="007156DE"/>
    <w:rsid w:val="0071570F"/>
    <w:rsid w:val="00715717"/>
    <w:rsid w:val="00715E15"/>
    <w:rsid w:val="00715F3C"/>
    <w:rsid w:val="00716147"/>
    <w:rsid w:val="00716458"/>
    <w:rsid w:val="0071653B"/>
    <w:rsid w:val="0071697A"/>
    <w:rsid w:val="00716B07"/>
    <w:rsid w:val="00716C0E"/>
    <w:rsid w:val="00716C93"/>
    <w:rsid w:val="00716C98"/>
    <w:rsid w:val="00716E92"/>
    <w:rsid w:val="00716F17"/>
    <w:rsid w:val="00717011"/>
    <w:rsid w:val="00717140"/>
    <w:rsid w:val="00717185"/>
    <w:rsid w:val="00717333"/>
    <w:rsid w:val="00717358"/>
    <w:rsid w:val="007174DA"/>
    <w:rsid w:val="00717592"/>
    <w:rsid w:val="007175C9"/>
    <w:rsid w:val="007175EB"/>
    <w:rsid w:val="0071779B"/>
    <w:rsid w:val="0071780F"/>
    <w:rsid w:val="00717869"/>
    <w:rsid w:val="00717B9C"/>
    <w:rsid w:val="00717C86"/>
    <w:rsid w:val="00717C99"/>
    <w:rsid w:val="00717CA4"/>
    <w:rsid w:val="00717D36"/>
    <w:rsid w:val="007201D6"/>
    <w:rsid w:val="00720249"/>
    <w:rsid w:val="007202CD"/>
    <w:rsid w:val="00720428"/>
    <w:rsid w:val="007204A4"/>
    <w:rsid w:val="00720530"/>
    <w:rsid w:val="00720599"/>
    <w:rsid w:val="007208F9"/>
    <w:rsid w:val="00720968"/>
    <w:rsid w:val="00720A81"/>
    <w:rsid w:val="00720C69"/>
    <w:rsid w:val="00720C90"/>
    <w:rsid w:val="00721003"/>
    <w:rsid w:val="007211E1"/>
    <w:rsid w:val="00721356"/>
    <w:rsid w:val="007218D0"/>
    <w:rsid w:val="00721EFE"/>
    <w:rsid w:val="00721F5E"/>
    <w:rsid w:val="007225EF"/>
    <w:rsid w:val="0072281E"/>
    <w:rsid w:val="00722943"/>
    <w:rsid w:val="007229B5"/>
    <w:rsid w:val="00722C76"/>
    <w:rsid w:val="00722D34"/>
    <w:rsid w:val="00722DB4"/>
    <w:rsid w:val="00723140"/>
    <w:rsid w:val="007231CF"/>
    <w:rsid w:val="00723339"/>
    <w:rsid w:val="00723391"/>
    <w:rsid w:val="007234E3"/>
    <w:rsid w:val="007237D9"/>
    <w:rsid w:val="0072381E"/>
    <w:rsid w:val="00723AD9"/>
    <w:rsid w:val="00723BF0"/>
    <w:rsid w:val="00723C56"/>
    <w:rsid w:val="00723CD2"/>
    <w:rsid w:val="007244AC"/>
    <w:rsid w:val="00724570"/>
    <w:rsid w:val="0072469C"/>
    <w:rsid w:val="007248EE"/>
    <w:rsid w:val="0072492E"/>
    <w:rsid w:val="00724AD8"/>
    <w:rsid w:val="00724AF1"/>
    <w:rsid w:val="00724C2E"/>
    <w:rsid w:val="00724D44"/>
    <w:rsid w:val="00724DB7"/>
    <w:rsid w:val="00724E70"/>
    <w:rsid w:val="00724F20"/>
    <w:rsid w:val="007251AC"/>
    <w:rsid w:val="007256A4"/>
    <w:rsid w:val="0072574B"/>
    <w:rsid w:val="00725797"/>
    <w:rsid w:val="007259CE"/>
    <w:rsid w:val="00725D00"/>
    <w:rsid w:val="00725F97"/>
    <w:rsid w:val="00726038"/>
    <w:rsid w:val="00726044"/>
    <w:rsid w:val="007260DC"/>
    <w:rsid w:val="0072621B"/>
    <w:rsid w:val="00726361"/>
    <w:rsid w:val="00726419"/>
    <w:rsid w:val="00726599"/>
    <w:rsid w:val="00726655"/>
    <w:rsid w:val="00726F44"/>
    <w:rsid w:val="00726F74"/>
    <w:rsid w:val="007270BE"/>
    <w:rsid w:val="007270FB"/>
    <w:rsid w:val="007278DB"/>
    <w:rsid w:val="00727BA7"/>
    <w:rsid w:val="00727CC1"/>
    <w:rsid w:val="00727D5E"/>
    <w:rsid w:val="00727D70"/>
    <w:rsid w:val="00727D8B"/>
    <w:rsid w:val="00727EB4"/>
    <w:rsid w:val="00727F80"/>
    <w:rsid w:val="00730019"/>
    <w:rsid w:val="00730184"/>
    <w:rsid w:val="00730649"/>
    <w:rsid w:val="00730789"/>
    <w:rsid w:val="007308D6"/>
    <w:rsid w:val="00730A83"/>
    <w:rsid w:val="007311AA"/>
    <w:rsid w:val="00731615"/>
    <w:rsid w:val="00731743"/>
    <w:rsid w:val="007319EE"/>
    <w:rsid w:val="00731AE7"/>
    <w:rsid w:val="00731DA4"/>
    <w:rsid w:val="007321D6"/>
    <w:rsid w:val="00732508"/>
    <w:rsid w:val="00732714"/>
    <w:rsid w:val="007327DD"/>
    <w:rsid w:val="007328C1"/>
    <w:rsid w:val="00732932"/>
    <w:rsid w:val="007329CD"/>
    <w:rsid w:val="00732B91"/>
    <w:rsid w:val="0073325E"/>
    <w:rsid w:val="0073331E"/>
    <w:rsid w:val="00733614"/>
    <w:rsid w:val="00733726"/>
    <w:rsid w:val="00733748"/>
    <w:rsid w:val="00733774"/>
    <w:rsid w:val="007337F5"/>
    <w:rsid w:val="00733A03"/>
    <w:rsid w:val="00733CE6"/>
    <w:rsid w:val="00733D51"/>
    <w:rsid w:val="00733D89"/>
    <w:rsid w:val="0073402B"/>
    <w:rsid w:val="0073409A"/>
    <w:rsid w:val="0073430D"/>
    <w:rsid w:val="007344D4"/>
    <w:rsid w:val="00734661"/>
    <w:rsid w:val="0073467B"/>
    <w:rsid w:val="007346A8"/>
    <w:rsid w:val="00734821"/>
    <w:rsid w:val="00734A31"/>
    <w:rsid w:val="00734B55"/>
    <w:rsid w:val="00734DE1"/>
    <w:rsid w:val="00734F5C"/>
    <w:rsid w:val="0073513E"/>
    <w:rsid w:val="00735444"/>
    <w:rsid w:val="007355BA"/>
    <w:rsid w:val="007355EC"/>
    <w:rsid w:val="00735704"/>
    <w:rsid w:val="007357B2"/>
    <w:rsid w:val="007358C7"/>
    <w:rsid w:val="007358CE"/>
    <w:rsid w:val="00735A09"/>
    <w:rsid w:val="00735B24"/>
    <w:rsid w:val="00735D5B"/>
    <w:rsid w:val="00735E02"/>
    <w:rsid w:val="00735F27"/>
    <w:rsid w:val="007360A4"/>
    <w:rsid w:val="007361A3"/>
    <w:rsid w:val="0073657D"/>
    <w:rsid w:val="00736764"/>
    <w:rsid w:val="0073687E"/>
    <w:rsid w:val="00736C2F"/>
    <w:rsid w:val="00736D63"/>
    <w:rsid w:val="007370F0"/>
    <w:rsid w:val="007374E8"/>
    <w:rsid w:val="00737978"/>
    <w:rsid w:val="00737A75"/>
    <w:rsid w:val="00737C79"/>
    <w:rsid w:val="00737D52"/>
    <w:rsid w:val="00737D73"/>
    <w:rsid w:val="00737E67"/>
    <w:rsid w:val="0074003E"/>
    <w:rsid w:val="00740234"/>
    <w:rsid w:val="00740247"/>
    <w:rsid w:val="007405DA"/>
    <w:rsid w:val="00740668"/>
    <w:rsid w:val="00740672"/>
    <w:rsid w:val="007406CA"/>
    <w:rsid w:val="00740A35"/>
    <w:rsid w:val="00740A70"/>
    <w:rsid w:val="00740B1F"/>
    <w:rsid w:val="00740C6A"/>
    <w:rsid w:val="00740E0B"/>
    <w:rsid w:val="007411F4"/>
    <w:rsid w:val="007412A9"/>
    <w:rsid w:val="00741361"/>
    <w:rsid w:val="007415CE"/>
    <w:rsid w:val="007416AD"/>
    <w:rsid w:val="00741859"/>
    <w:rsid w:val="00741A23"/>
    <w:rsid w:val="00741A4F"/>
    <w:rsid w:val="00741A67"/>
    <w:rsid w:val="00741C4F"/>
    <w:rsid w:val="00741C94"/>
    <w:rsid w:val="00741CD4"/>
    <w:rsid w:val="00741DFC"/>
    <w:rsid w:val="00742119"/>
    <w:rsid w:val="00742171"/>
    <w:rsid w:val="007421E9"/>
    <w:rsid w:val="00742399"/>
    <w:rsid w:val="0074249C"/>
    <w:rsid w:val="007426BB"/>
    <w:rsid w:val="007426CE"/>
    <w:rsid w:val="00742A6C"/>
    <w:rsid w:val="00742A80"/>
    <w:rsid w:val="00742B09"/>
    <w:rsid w:val="00742B18"/>
    <w:rsid w:val="00742D66"/>
    <w:rsid w:val="00742EF8"/>
    <w:rsid w:val="00742F1F"/>
    <w:rsid w:val="0074301B"/>
    <w:rsid w:val="0074310B"/>
    <w:rsid w:val="00743415"/>
    <w:rsid w:val="00743672"/>
    <w:rsid w:val="0074368D"/>
    <w:rsid w:val="00743860"/>
    <w:rsid w:val="007439FC"/>
    <w:rsid w:val="00743C75"/>
    <w:rsid w:val="00743C8C"/>
    <w:rsid w:val="00743D85"/>
    <w:rsid w:val="00743DB7"/>
    <w:rsid w:val="00743F18"/>
    <w:rsid w:val="00743FD8"/>
    <w:rsid w:val="00744235"/>
    <w:rsid w:val="007442C0"/>
    <w:rsid w:val="00744699"/>
    <w:rsid w:val="0074471F"/>
    <w:rsid w:val="00744799"/>
    <w:rsid w:val="007447EB"/>
    <w:rsid w:val="00744A89"/>
    <w:rsid w:val="00744D4D"/>
    <w:rsid w:val="00744DD4"/>
    <w:rsid w:val="00745603"/>
    <w:rsid w:val="00745626"/>
    <w:rsid w:val="00745775"/>
    <w:rsid w:val="00745950"/>
    <w:rsid w:val="00745BCE"/>
    <w:rsid w:val="00745F67"/>
    <w:rsid w:val="007464B5"/>
    <w:rsid w:val="007465DE"/>
    <w:rsid w:val="00746744"/>
    <w:rsid w:val="00746ECF"/>
    <w:rsid w:val="0074723E"/>
    <w:rsid w:val="007473F5"/>
    <w:rsid w:val="0074757F"/>
    <w:rsid w:val="007475F6"/>
    <w:rsid w:val="00747789"/>
    <w:rsid w:val="007477F5"/>
    <w:rsid w:val="00747935"/>
    <w:rsid w:val="00747B2E"/>
    <w:rsid w:val="00747DBE"/>
    <w:rsid w:val="007501D8"/>
    <w:rsid w:val="00750299"/>
    <w:rsid w:val="007502E0"/>
    <w:rsid w:val="00750388"/>
    <w:rsid w:val="007503BF"/>
    <w:rsid w:val="00750470"/>
    <w:rsid w:val="007504BD"/>
    <w:rsid w:val="007504F0"/>
    <w:rsid w:val="007506BB"/>
    <w:rsid w:val="00750844"/>
    <w:rsid w:val="00750892"/>
    <w:rsid w:val="00750A02"/>
    <w:rsid w:val="00750ED1"/>
    <w:rsid w:val="00750EE1"/>
    <w:rsid w:val="00751023"/>
    <w:rsid w:val="0075119D"/>
    <w:rsid w:val="007512D2"/>
    <w:rsid w:val="007515FB"/>
    <w:rsid w:val="007516D2"/>
    <w:rsid w:val="00751853"/>
    <w:rsid w:val="00751976"/>
    <w:rsid w:val="00751CBC"/>
    <w:rsid w:val="00752155"/>
    <w:rsid w:val="007524AF"/>
    <w:rsid w:val="00752555"/>
    <w:rsid w:val="00752D49"/>
    <w:rsid w:val="00752E12"/>
    <w:rsid w:val="00752E86"/>
    <w:rsid w:val="00753465"/>
    <w:rsid w:val="00753602"/>
    <w:rsid w:val="00753678"/>
    <w:rsid w:val="00753704"/>
    <w:rsid w:val="00753863"/>
    <w:rsid w:val="00753977"/>
    <w:rsid w:val="00753BE9"/>
    <w:rsid w:val="00753F6B"/>
    <w:rsid w:val="007542DA"/>
    <w:rsid w:val="00754340"/>
    <w:rsid w:val="007547CC"/>
    <w:rsid w:val="007547D2"/>
    <w:rsid w:val="00754960"/>
    <w:rsid w:val="00754B59"/>
    <w:rsid w:val="00754BC6"/>
    <w:rsid w:val="00754DB5"/>
    <w:rsid w:val="00754E32"/>
    <w:rsid w:val="007554CD"/>
    <w:rsid w:val="007554F2"/>
    <w:rsid w:val="0075573A"/>
    <w:rsid w:val="0075589B"/>
    <w:rsid w:val="00755E32"/>
    <w:rsid w:val="00755E7A"/>
    <w:rsid w:val="007561FF"/>
    <w:rsid w:val="007563C9"/>
    <w:rsid w:val="00756455"/>
    <w:rsid w:val="007565D6"/>
    <w:rsid w:val="007565D7"/>
    <w:rsid w:val="007568C3"/>
    <w:rsid w:val="007569EE"/>
    <w:rsid w:val="00756A85"/>
    <w:rsid w:val="00756D95"/>
    <w:rsid w:val="00756EA2"/>
    <w:rsid w:val="0075706A"/>
    <w:rsid w:val="007573A5"/>
    <w:rsid w:val="007577F2"/>
    <w:rsid w:val="007578A2"/>
    <w:rsid w:val="00757971"/>
    <w:rsid w:val="00757D67"/>
    <w:rsid w:val="00757F28"/>
    <w:rsid w:val="007600BF"/>
    <w:rsid w:val="00760104"/>
    <w:rsid w:val="007609DA"/>
    <w:rsid w:val="00760AA1"/>
    <w:rsid w:val="00760ADB"/>
    <w:rsid w:val="007610BA"/>
    <w:rsid w:val="007612AC"/>
    <w:rsid w:val="007612E8"/>
    <w:rsid w:val="00761328"/>
    <w:rsid w:val="007613CC"/>
    <w:rsid w:val="007615FE"/>
    <w:rsid w:val="00761742"/>
    <w:rsid w:val="00761A26"/>
    <w:rsid w:val="00761A78"/>
    <w:rsid w:val="00762108"/>
    <w:rsid w:val="00762400"/>
    <w:rsid w:val="0076278A"/>
    <w:rsid w:val="00762881"/>
    <w:rsid w:val="00762AE8"/>
    <w:rsid w:val="00762B27"/>
    <w:rsid w:val="00762BDC"/>
    <w:rsid w:val="00762DA3"/>
    <w:rsid w:val="00762E82"/>
    <w:rsid w:val="0076308E"/>
    <w:rsid w:val="0076346C"/>
    <w:rsid w:val="00763578"/>
    <w:rsid w:val="00763607"/>
    <w:rsid w:val="00763630"/>
    <w:rsid w:val="00763638"/>
    <w:rsid w:val="00763955"/>
    <w:rsid w:val="00763A5B"/>
    <w:rsid w:val="00763B97"/>
    <w:rsid w:val="007641EF"/>
    <w:rsid w:val="007643FA"/>
    <w:rsid w:val="007644D5"/>
    <w:rsid w:val="00764939"/>
    <w:rsid w:val="00764A4F"/>
    <w:rsid w:val="00764AAF"/>
    <w:rsid w:val="00764B40"/>
    <w:rsid w:val="00765079"/>
    <w:rsid w:val="00765289"/>
    <w:rsid w:val="00765339"/>
    <w:rsid w:val="007653A5"/>
    <w:rsid w:val="007658D9"/>
    <w:rsid w:val="00765FA9"/>
    <w:rsid w:val="0076623B"/>
    <w:rsid w:val="00766542"/>
    <w:rsid w:val="0076675B"/>
    <w:rsid w:val="007670BA"/>
    <w:rsid w:val="007671A1"/>
    <w:rsid w:val="007671C9"/>
    <w:rsid w:val="007671FF"/>
    <w:rsid w:val="007672BD"/>
    <w:rsid w:val="0076748E"/>
    <w:rsid w:val="00767656"/>
    <w:rsid w:val="0076766F"/>
    <w:rsid w:val="00767932"/>
    <w:rsid w:val="00767B74"/>
    <w:rsid w:val="00770023"/>
    <w:rsid w:val="00770044"/>
    <w:rsid w:val="007702D5"/>
    <w:rsid w:val="007702E0"/>
    <w:rsid w:val="007703AC"/>
    <w:rsid w:val="007705BC"/>
    <w:rsid w:val="007709DE"/>
    <w:rsid w:val="007709F3"/>
    <w:rsid w:val="00770BDD"/>
    <w:rsid w:val="00770E82"/>
    <w:rsid w:val="00770F1A"/>
    <w:rsid w:val="00770F80"/>
    <w:rsid w:val="0077110E"/>
    <w:rsid w:val="00771130"/>
    <w:rsid w:val="00771307"/>
    <w:rsid w:val="007714A4"/>
    <w:rsid w:val="00771852"/>
    <w:rsid w:val="0077190D"/>
    <w:rsid w:val="00771BC5"/>
    <w:rsid w:val="00771DDE"/>
    <w:rsid w:val="00771FAF"/>
    <w:rsid w:val="007720B8"/>
    <w:rsid w:val="007726EC"/>
    <w:rsid w:val="00772B11"/>
    <w:rsid w:val="00772C2C"/>
    <w:rsid w:val="00772FDE"/>
    <w:rsid w:val="007730AF"/>
    <w:rsid w:val="007730C8"/>
    <w:rsid w:val="00773216"/>
    <w:rsid w:val="0077341E"/>
    <w:rsid w:val="00773456"/>
    <w:rsid w:val="00773548"/>
    <w:rsid w:val="007735CC"/>
    <w:rsid w:val="00773762"/>
    <w:rsid w:val="00773840"/>
    <w:rsid w:val="00773C65"/>
    <w:rsid w:val="00773CF2"/>
    <w:rsid w:val="00773FE6"/>
    <w:rsid w:val="00774082"/>
    <w:rsid w:val="00774127"/>
    <w:rsid w:val="00774EB9"/>
    <w:rsid w:val="00774F0B"/>
    <w:rsid w:val="007751B0"/>
    <w:rsid w:val="007752BC"/>
    <w:rsid w:val="00775657"/>
    <w:rsid w:val="00775713"/>
    <w:rsid w:val="00775FC2"/>
    <w:rsid w:val="00776296"/>
    <w:rsid w:val="0077660D"/>
    <w:rsid w:val="00776B8B"/>
    <w:rsid w:val="00776BB8"/>
    <w:rsid w:val="00776C4B"/>
    <w:rsid w:val="00776D76"/>
    <w:rsid w:val="00776DF2"/>
    <w:rsid w:val="00776E3E"/>
    <w:rsid w:val="00776E41"/>
    <w:rsid w:val="00777351"/>
    <w:rsid w:val="0077755F"/>
    <w:rsid w:val="007775F8"/>
    <w:rsid w:val="00777644"/>
    <w:rsid w:val="007776F2"/>
    <w:rsid w:val="00777BBD"/>
    <w:rsid w:val="00777C89"/>
    <w:rsid w:val="00777CC9"/>
    <w:rsid w:val="00777F4A"/>
    <w:rsid w:val="0078072A"/>
    <w:rsid w:val="007807B8"/>
    <w:rsid w:val="00780940"/>
    <w:rsid w:val="00781272"/>
    <w:rsid w:val="007812FD"/>
    <w:rsid w:val="007815CE"/>
    <w:rsid w:val="00781A1D"/>
    <w:rsid w:val="00781A43"/>
    <w:rsid w:val="00781AD8"/>
    <w:rsid w:val="00781E33"/>
    <w:rsid w:val="00782304"/>
    <w:rsid w:val="007823CD"/>
    <w:rsid w:val="007824C8"/>
    <w:rsid w:val="0078253E"/>
    <w:rsid w:val="00782611"/>
    <w:rsid w:val="0078262E"/>
    <w:rsid w:val="0078264A"/>
    <w:rsid w:val="007826A0"/>
    <w:rsid w:val="00782979"/>
    <w:rsid w:val="00782A0D"/>
    <w:rsid w:val="00782AA0"/>
    <w:rsid w:val="00782C3F"/>
    <w:rsid w:val="00782C56"/>
    <w:rsid w:val="00782D39"/>
    <w:rsid w:val="00782D8A"/>
    <w:rsid w:val="0078306E"/>
    <w:rsid w:val="007832A5"/>
    <w:rsid w:val="0078332F"/>
    <w:rsid w:val="007835F7"/>
    <w:rsid w:val="00783B32"/>
    <w:rsid w:val="00783B9A"/>
    <w:rsid w:val="00783C5A"/>
    <w:rsid w:val="00783CB5"/>
    <w:rsid w:val="00783CFC"/>
    <w:rsid w:val="00783E89"/>
    <w:rsid w:val="00783F01"/>
    <w:rsid w:val="00783FE8"/>
    <w:rsid w:val="007840CE"/>
    <w:rsid w:val="00784287"/>
    <w:rsid w:val="007842C3"/>
    <w:rsid w:val="00784443"/>
    <w:rsid w:val="007846CA"/>
    <w:rsid w:val="0078487C"/>
    <w:rsid w:val="00784CE6"/>
    <w:rsid w:val="00784D18"/>
    <w:rsid w:val="00784DC3"/>
    <w:rsid w:val="00784E38"/>
    <w:rsid w:val="00784F01"/>
    <w:rsid w:val="00784F27"/>
    <w:rsid w:val="00785084"/>
    <w:rsid w:val="007851D4"/>
    <w:rsid w:val="00785227"/>
    <w:rsid w:val="00785240"/>
    <w:rsid w:val="00785366"/>
    <w:rsid w:val="007858A3"/>
    <w:rsid w:val="00785C43"/>
    <w:rsid w:val="00785CAD"/>
    <w:rsid w:val="00785DB2"/>
    <w:rsid w:val="00785E41"/>
    <w:rsid w:val="00785F13"/>
    <w:rsid w:val="00785F42"/>
    <w:rsid w:val="00785F4B"/>
    <w:rsid w:val="00786298"/>
    <w:rsid w:val="00786385"/>
    <w:rsid w:val="0078668F"/>
    <w:rsid w:val="007867E2"/>
    <w:rsid w:val="00786972"/>
    <w:rsid w:val="00786AED"/>
    <w:rsid w:val="00786C8A"/>
    <w:rsid w:val="00786E5A"/>
    <w:rsid w:val="0078708C"/>
    <w:rsid w:val="007871FC"/>
    <w:rsid w:val="0078733F"/>
    <w:rsid w:val="00787343"/>
    <w:rsid w:val="00787393"/>
    <w:rsid w:val="00787577"/>
    <w:rsid w:val="00787766"/>
    <w:rsid w:val="0078777D"/>
    <w:rsid w:val="007877E4"/>
    <w:rsid w:val="007878F2"/>
    <w:rsid w:val="0078797F"/>
    <w:rsid w:val="00787C9C"/>
    <w:rsid w:val="00787D09"/>
    <w:rsid w:val="00790023"/>
    <w:rsid w:val="007901B8"/>
    <w:rsid w:val="00790455"/>
    <w:rsid w:val="00790470"/>
    <w:rsid w:val="007906DE"/>
    <w:rsid w:val="007906EA"/>
    <w:rsid w:val="007908B6"/>
    <w:rsid w:val="00790A12"/>
    <w:rsid w:val="00790B10"/>
    <w:rsid w:val="00790F8F"/>
    <w:rsid w:val="0079125D"/>
    <w:rsid w:val="00791434"/>
    <w:rsid w:val="00791698"/>
    <w:rsid w:val="007919D2"/>
    <w:rsid w:val="00791A98"/>
    <w:rsid w:val="00791B9D"/>
    <w:rsid w:val="00791BE3"/>
    <w:rsid w:val="00791D89"/>
    <w:rsid w:val="00791DA7"/>
    <w:rsid w:val="00791DE1"/>
    <w:rsid w:val="0079215D"/>
    <w:rsid w:val="007926DA"/>
    <w:rsid w:val="00792B5F"/>
    <w:rsid w:val="00792CD2"/>
    <w:rsid w:val="00792CFD"/>
    <w:rsid w:val="00792DC7"/>
    <w:rsid w:val="00792FDE"/>
    <w:rsid w:val="00793246"/>
    <w:rsid w:val="007932F8"/>
    <w:rsid w:val="007933A8"/>
    <w:rsid w:val="007933C0"/>
    <w:rsid w:val="007934BF"/>
    <w:rsid w:val="007935E1"/>
    <w:rsid w:val="007938FF"/>
    <w:rsid w:val="00793D67"/>
    <w:rsid w:val="0079417B"/>
    <w:rsid w:val="007941E6"/>
    <w:rsid w:val="00794A2B"/>
    <w:rsid w:val="00794B33"/>
    <w:rsid w:val="00794C01"/>
    <w:rsid w:val="00794DF8"/>
    <w:rsid w:val="0079509F"/>
    <w:rsid w:val="0079510B"/>
    <w:rsid w:val="007952D3"/>
    <w:rsid w:val="0079560C"/>
    <w:rsid w:val="007956C9"/>
    <w:rsid w:val="007957E2"/>
    <w:rsid w:val="007957F4"/>
    <w:rsid w:val="007958DA"/>
    <w:rsid w:val="00795C8A"/>
    <w:rsid w:val="00796216"/>
    <w:rsid w:val="007963A9"/>
    <w:rsid w:val="007964DA"/>
    <w:rsid w:val="00796AF4"/>
    <w:rsid w:val="00796C72"/>
    <w:rsid w:val="00796D7A"/>
    <w:rsid w:val="0079714C"/>
    <w:rsid w:val="0079721D"/>
    <w:rsid w:val="00797516"/>
    <w:rsid w:val="00797531"/>
    <w:rsid w:val="00797615"/>
    <w:rsid w:val="007977B8"/>
    <w:rsid w:val="00797888"/>
    <w:rsid w:val="007979AB"/>
    <w:rsid w:val="00797B16"/>
    <w:rsid w:val="00797B4F"/>
    <w:rsid w:val="00797BF0"/>
    <w:rsid w:val="00797CFE"/>
    <w:rsid w:val="00797DAF"/>
    <w:rsid w:val="007A0052"/>
    <w:rsid w:val="007A033A"/>
    <w:rsid w:val="007A04D2"/>
    <w:rsid w:val="007A0514"/>
    <w:rsid w:val="007A055F"/>
    <w:rsid w:val="007A06EF"/>
    <w:rsid w:val="007A0709"/>
    <w:rsid w:val="007A0738"/>
    <w:rsid w:val="007A0827"/>
    <w:rsid w:val="007A0985"/>
    <w:rsid w:val="007A0987"/>
    <w:rsid w:val="007A0AE6"/>
    <w:rsid w:val="007A0B2E"/>
    <w:rsid w:val="007A0CF2"/>
    <w:rsid w:val="007A0D28"/>
    <w:rsid w:val="007A0D54"/>
    <w:rsid w:val="007A0FD7"/>
    <w:rsid w:val="007A12B0"/>
    <w:rsid w:val="007A1367"/>
    <w:rsid w:val="007A1453"/>
    <w:rsid w:val="007A147D"/>
    <w:rsid w:val="007A14F2"/>
    <w:rsid w:val="007A1544"/>
    <w:rsid w:val="007A1613"/>
    <w:rsid w:val="007A1951"/>
    <w:rsid w:val="007A1C96"/>
    <w:rsid w:val="007A1C9A"/>
    <w:rsid w:val="007A1E0E"/>
    <w:rsid w:val="007A1EF0"/>
    <w:rsid w:val="007A1F19"/>
    <w:rsid w:val="007A1F95"/>
    <w:rsid w:val="007A1FCB"/>
    <w:rsid w:val="007A2089"/>
    <w:rsid w:val="007A23E8"/>
    <w:rsid w:val="007A24EA"/>
    <w:rsid w:val="007A256E"/>
    <w:rsid w:val="007A2A11"/>
    <w:rsid w:val="007A2F1F"/>
    <w:rsid w:val="007A314A"/>
    <w:rsid w:val="007A3256"/>
    <w:rsid w:val="007A32AE"/>
    <w:rsid w:val="007A3304"/>
    <w:rsid w:val="007A355B"/>
    <w:rsid w:val="007A3600"/>
    <w:rsid w:val="007A3764"/>
    <w:rsid w:val="007A3856"/>
    <w:rsid w:val="007A3A0C"/>
    <w:rsid w:val="007A3B19"/>
    <w:rsid w:val="007A3BEA"/>
    <w:rsid w:val="007A3CCE"/>
    <w:rsid w:val="007A407E"/>
    <w:rsid w:val="007A40E1"/>
    <w:rsid w:val="007A4578"/>
    <w:rsid w:val="007A46C2"/>
    <w:rsid w:val="007A474C"/>
    <w:rsid w:val="007A479E"/>
    <w:rsid w:val="007A4836"/>
    <w:rsid w:val="007A491A"/>
    <w:rsid w:val="007A4932"/>
    <w:rsid w:val="007A4C80"/>
    <w:rsid w:val="007A4DA8"/>
    <w:rsid w:val="007A4FB7"/>
    <w:rsid w:val="007A5127"/>
    <w:rsid w:val="007A55A7"/>
    <w:rsid w:val="007A5616"/>
    <w:rsid w:val="007A5A38"/>
    <w:rsid w:val="007A5A8A"/>
    <w:rsid w:val="007A5C09"/>
    <w:rsid w:val="007A6090"/>
    <w:rsid w:val="007A6176"/>
    <w:rsid w:val="007A62D5"/>
    <w:rsid w:val="007A66A4"/>
    <w:rsid w:val="007A6801"/>
    <w:rsid w:val="007A6858"/>
    <w:rsid w:val="007A6A58"/>
    <w:rsid w:val="007A6D18"/>
    <w:rsid w:val="007A6DAF"/>
    <w:rsid w:val="007A71C7"/>
    <w:rsid w:val="007A722D"/>
    <w:rsid w:val="007A73EB"/>
    <w:rsid w:val="007A7638"/>
    <w:rsid w:val="007A7B0E"/>
    <w:rsid w:val="007A7CED"/>
    <w:rsid w:val="007A7E39"/>
    <w:rsid w:val="007A7FDE"/>
    <w:rsid w:val="007B02EB"/>
    <w:rsid w:val="007B02F7"/>
    <w:rsid w:val="007B0360"/>
    <w:rsid w:val="007B0450"/>
    <w:rsid w:val="007B08E8"/>
    <w:rsid w:val="007B0A46"/>
    <w:rsid w:val="007B0A8A"/>
    <w:rsid w:val="007B0C63"/>
    <w:rsid w:val="007B0C64"/>
    <w:rsid w:val="007B0E76"/>
    <w:rsid w:val="007B0F91"/>
    <w:rsid w:val="007B100F"/>
    <w:rsid w:val="007B163F"/>
    <w:rsid w:val="007B19AB"/>
    <w:rsid w:val="007B19C7"/>
    <w:rsid w:val="007B19EE"/>
    <w:rsid w:val="007B1B22"/>
    <w:rsid w:val="007B1E5A"/>
    <w:rsid w:val="007B1EC1"/>
    <w:rsid w:val="007B1F0F"/>
    <w:rsid w:val="007B202D"/>
    <w:rsid w:val="007B242C"/>
    <w:rsid w:val="007B2686"/>
    <w:rsid w:val="007B26AD"/>
    <w:rsid w:val="007B270F"/>
    <w:rsid w:val="007B27F4"/>
    <w:rsid w:val="007B28A5"/>
    <w:rsid w:val="007B2A16"/>
    <w:rsid w:val="007B2C9A"/>
    <w:rsid w:val="007B2E79"/>
    <w:rsid w:val="007B2F64"/>
    <w:rsid w:val="007B2FE7"/>
    <w:rsid w:val="007B2FEA"/>
    <w:rsid w:val="007B323C"/>
    <w:rsid w:val="007B3341"/>
    <w:rsid w:val="007B3375"/>
    <w:rsid w:val="007B3471"/>
    <w:rsid w:val="007B356A"/>
    <w:rsid w:val="007B3C4F"/>
    <w:rsid w:val="007B3FB4"/>
    <w:rsid w:val="007B4002"/>
    <w:rsid w:val="007B4156"/>
    <w:rsid w:val="007B454B"/>
    <w:rsid w:val="007B46CB"/>
    <w:rsid w:val="007B4799"/>
    <w:rsid w:val="007B4A3E"/>
    <w:rsid w:val="007B4A52"/>
    <w:rsid w:val="007B4ACF"/>
    <w:rsid w:val="007B4B42"/>
    <w:rsid w:val="007B4CE5"/>
    <w:rsid w:val="007B537D"/>
    <w:rsid w:val="007B53E4"/>
    <w:rsid w:val="007B540A"/>
    <w:rsid w:val="007B572A"/>
    <w:rsid w:val="007B580A"/>
    <w:rsid w:val="007B5970"/>
    <w:rsid w:val="007B5A19"/>
    <w:rsid w:val="007B5C23"/>
    <w:rsid w:val="007B5D7A"/>
    <w:rsid w:val="007B5DAC"/>
    <w:rsid w:val="007B601F"/>
    <w:rsid w:val="007B60F6"/>
    <w:rsid w:val="007B6225"/>
    <w:rsid w:val="007B62F4"/>
    <w:rsid w:val="007B63E8"/>
    <w:rsid w:val="007B6606"/>
    <w:rsid w:val="007B66D8"/>
    <w:rsid w:val="007B66E5"/>
    <w:rsid w:val="007B6C3D"/>
    <w:rsid w:val="007B70AA"/>
    <w:rsid w:val="007B7331"/>
    <w:rsid w:val="007B7529"/>
    <w:rsid w:val="007B7D3B"/>
    <w:rsid w:val="007B7F32"/>
    <w:rsid w:val="007C0187"/>
    <w:rsid w:val="007C0800"/>
    <w:rsid w:val="007C0857"/>
    <w:rsid w:val="007C0865"/>
    <w:rsid w:val="007C0956"/>
    <w:rsid w:val="007C0D50"/>
    <w:rsid w:val="007C0FF7"/>
    <w:rsid w:val="007C1011"/>
    <w:rsid w:val="007C1191"/>
    <w:rsid w:val="007C12BF"/>
    <w:rsid w:val="007C12D2"/>
    <w:rsid w:val="007C1865"/>
    <w:rsid w:val="007C1976"/>
    <w:rsid w:val="007C1AF5"/>
    <w:rsid w:val="007C1B63"/>
    <w:rsid w:val="007C24C4"/>
    <w:rsid w:val="007C2753"/>
    <w:rsid w:val="007C2968"/>
    <w:rsid w:val="007C2ABC"/>
    <w:rsid w:val="007C2CC9"/>
    <w:rsid w:val="007C2E2F"/>
    <w:rsid w:val="007C2FAB"/>
    <w:rsid w:val="007C333E"/>
    <w:rsid w:val="007C34D2"/>
    <w:rsid w:val="007C35EC"/>
    <w:rsid w:val="007C36E0"/>
    <w:rsid w:val="007C37BD"/>
    <w:rsid w:val="007C395C"/>
    <w:rsid w:val="007C3BEC"/>
    <w:rsid w:val="007C3E09"/>
    <w:rsid w:val="007C42FA"/>
    <w:rsid w:val="007C445B"/>
    <w:rsid w:val="007C4A70"/>
    <w:rsid w:val="007C4B05"/>
    <w:rsid w:val="007C4D20"/>
    <w:rsid w:val="007C5039"/>
    <w:rsid w:val="007C5113"/>
    <w:rsid w:val="007C5143"/>
    <w:rsid w:val="007C538B"/>
    <w:rsid w:val="007C57C1"/>
    <w:rsid w:val="007C5999"/>
    <w:rsid w:val="007C5AD5"/>
    <w:rsid w:val="007C5E26"/>
    <w:rsid w:val="007C5EAB"/>
    <w:rsid w:val="007C5FEB"/>
    <w:rsid w:val="007C607A"/>
    <w:rsid w:val="007C60C9"/>
    <w:rsid w:val="007C64F2"/>
    <w:rsid w:val="007C65F1"/>
    <w:rsid w:val="007C6853"/>
    <w:rsid w:val="007C6BA9"/>
    <w:rsid w:val="007C6F99"/>
    <w:rsid w:val="007C7038"/>
    <w:rsid w:val="007C730C"/>
    <w:rsid w:val="007C7415"/>
    <w:rsid w:val="007C7437"/>
    <w:rsid w:val="007C7B0B"/>
    <w:rsid w:val="007C7C57"/>
    <w:rsid w:val="007C7E1D"/>
    <w:rsid w:val="007D00DB"/>
    <w:rsid w:val="007D0407"/>
    <w:rsid w:val="007D0418"/>
    <w:rsid w:val="007D05FB"/>
    <w:rsid w:val="007D07F4"/>
    <w:rsid w:val="007D0CA5"/>
    <w:rsid w:val="007D0D78"/>
    <w:rsid w:val="007D0D9E"/>
    <w:rsid w:val="007D0ECD"/>
    <w:rsid w:val="007D0F3F"/>
    <w:rsid w:val="007D12D2"/>
    <w:rsid w:val="007D1B1E"/>
    <w:rsid w:val="007D1DF3"/>
    <w:rsid w:val="007D1E27"/>
    <w:rsid w:val="007D1E56"/>
    <w:rsid w:val="007D1E70"/>
    <w:rsid w:val="007D1F54"/>
    <w:rsid w:val="007D1F80"/>
    <w:rsid w:val="007D226A"/>
    <w:rsid w:val="007D22AB"/>
    <w:rsid w:val="007D241A"/>
    <w:rsid w:val="007D2571"/>
    <w:rsid w:val="007D2677"/>
    <w:rsid w:val="007D2901"/>
    <w:rsid w:val="007D2A08"/>
    <w:rsid w:val="007D2BC7"/>
    <w:rsid w:val="007D2BE9"/>
    <w:rsid w:val="007D3234"/>
    <w:rsid w:val="007D3515"/>
    <w:rsid w:val="007D3694"/>
    <w:rsid w:val="007D3753"/>
    <w:rsid w:val="007D389E"/>
    <w:rsid w:val="007D3A7B"/>
    <w:rsid w:val="007D3B3A"/>
    <w:rsid w:val="007D3E0B"/>
    <w:rsid w:val="007D3EF5"/>
    <w:rsid w:val="007D427C"/>
    <w:rsid w:val="007D42EC"/>
    <w:rsid w:val="007D43F4"/>
    <w:rsid w:val="007D4523"/>
    <w:rsid w:val="007D4708"/>
    <w:rsid w:val="007D4819"/>
    <w:rsid w:val="007D486A"/>
    <w:rsid w:val="007D4E76"/>
    <w:rsid w:val="007D5248"/>
    <w:rsid w:val="007D52E7"/>
    <w:rsid w:val="007D5764"/>
    <w:rsid w:val="007D57CB"/>
    <w:rsid w:val="007D583F"/>
    <w:rsid w:val="007D5BCE"/>
    <w:rsid w:val="007D5C23"/>
    <w:rsid w:val="007D5CC7"/>
    <w:rsid w:val="007D5D05"/>
    <w:rsid w:val="007D5E0A"/>
    <w:rsid w:val="007D5E6D"/>
    <w:rsid w:val="007D609B"/>
    <w:rsid w:val="007D62B4"/>
    <w:rsid w:val="007D6318"/>
    <w:rsid w:val="007D63C6"/>
    <w:rsid w:val="007D66D9"/>
    <w:rsid w:val="007D66F1"/>
    <w:rsid w:val="007D680E"/>
    <w:rsid w:val="007D6826"/>
    <w:rsid w:val="007D6969"/>
    <w:rsid w:val="007D6987"/>
    <w:rsid w:val="007D701B"/>
    <w:rsid w:val="007D7202"/>
    <w:rsid w:val="007D721E"/>
    <w:rsid w:val="007D7439"/>
    <w:rsid w:val="007D7587"/>
    <w:rsid w:val="007D7A3C"/>
    <w:rsid w:val="007D7AF7"/>
    <w:rsid w:val="007D7DB6"/>
    <w:rsid w:val="007D7E69"/>
    <w:rsid w:val="007D7E89"/>
    <w:rsid w:val="007D7F17"/>
    <w:rsid w:val="007E005A"/>
    <w:rsid w:val="007E03AD"/>
    <w:rsid w:val="007E0914"/>
    <w:rsid w:val="007E0B4D"/>
    <w:rsid w:val="007E0BBC"/>
    <w:rsid w:val="007E0C2C"/>
    <w:rsid w:val="007E0DCA"/>
    <w:rsid w:val="007E0DFB"/>
    <w:rsid w:val="007E0F82"/>
    <w:rsid w:val="007E1000"/>
    <w:rsid w:val="007E1469"/>
    <w:rsid w:val="007E14DF"/>
    <w:rsid w:val="007E16C9"/>
    <w:rsid w:val="007E17C3"/>
    <w:rsid w:val="007E1A65"/>
    <w:rsid w:val="007E1A95"/>
    <w:rsid w:val="007E1AE1"/>
    <w:rsid w:val="007E1AEC"/>
    <w:rsid w:val="007E1BAA"/>
    <w:rsid w:val="007E1DCB"/>
    <w:rsid w:val="007E1E06"/>
    <w:rsid w:val="007E1E66"/>
    <w:rsid w:val="007E22C8"/>
    <w:rsid w:val="007E246D"/>
    <w:rsid w:val="007E2568"/>
    <w:rsid w:val="007E25EA"/>
    <w:rsid w:val="007E262F"/>
    <w:rsid w:val="007E2811"/>
    <w:rsid w:val="007E29F1"/>
    <w:rsid w:val="007E2C59"/>
    <w:rsid w:val="007E2DF8"/>
    <w:rsid w:val="007E2E30"/>
    <w:rsid w:val="007E2E80"/>
    <w:rsid w:val="007E2EC4"/>
    <w:rsid w:val="007E31F0"/>
    <w:rsid w:val="007E3541"/>
    <w:rsid w:val="007E39A6"/>
    <w:rsid w:val="007E3ABD"/>
    <w:rsid w:val="007E3B70"/>
    <w:rsid w:val="007E3CFC"/>
    <w:rsid w:val="007E4225"/>
    <w:rsid w:val="007E4290"/>
    <w:rsid w:val="007E45F3"/>
    <w:rsid w:val="007E46C6"/>
    <w:rsid w:val="007E48A4"/>
    <w:rsid w:val="007E4F4F"/>
    <w:rsid w:val="007E5402"/>
    <w:rsid w:val="007E55A6"/>
    <w:rsid w:val="007E587D"/>
    <w:rsid w:val="007E59A9"/>
    <w:rsid w:val="007E5AAF"/>
    <w:rsid w:val="007E5CF7"/>
    <w:rsid w:val="007E5D0F"/>
    <w:rsid w:val="007E5EFC"/>
    <w:rsid w:val="007E5F33"/>
    <w:rsid w:val="007E5F36"/>
    <w:rsid w:val="007E61FF"/>
    <w:rsid w:val="007E62A4"/>
    <w:rsid w:val="007E6B45"/>
    <w:rsid w:val="007E6BF8"/>
    <w:rsid w:val="007E6C59"/>
    <w:rsid w:val="007E7129"/>
    <w:rsid w:val="007E715E"/>
    <w:rsid w:val="007E7189"/>
    <w:rsid w:val="007E7590"/>
    <w:rsid w:val="007E770E"/>
    <w:rsid w:val="007E7936"/>
    <w:rsid w:val="007E7C29"/>
    <w:rsid w:val="007E7C58"/>
    <w:rsid w:val="007E7C61"/>
    <w:rsid w:val="007E7F7F"/>
    <w:rsid w:val="007E7F96"/>
    <w:rsid w:val="007F001A"/>
    <w:rsid w:val="007F0091"/>
    <w:rsid w:val="007F0241"/>
    <w:rsid w:val="007F07F8"/>
    <w:rsid w:val="007F086F"/>
    <w:rsid w:val="007F08B6"/>
    <w:rsid w:val="007F0920"/>
    <w:rsid w:val="007F09DD"/>
    <w:rsid w:val="007F0AF3"/>
    <w:rsid w:val="007F0E7C"/>
    <w:rsid w:val="007F0E8B"/>
    <w:rsid w:val="007F1099"/>
    <w:rsid w:val="007F10C7"/>
    <w:rsid w:val="007F113D"/>
    <w:rsid w:val="007F13A0"/>
    <w:rsid w:val="007F1432"/>
    <w:rsid w:val="007F16A9"/>
    <w:rsid w:val="007F195B"/>
    <w:rsid w:val="007F1C0B"/>
    <w:rsid w:val="007F1CF9"/>
    <w:rsid w:val="007F1FB5"/>
    <w:rsid w:val="007F2106"/>
    <w:rsid w:val="007F21C7"/>
    <w:rsid w:val="007F22C1"/>
    <w:rsid w:val="007F2450"/>
    <w:rsid w:val="007F28E9"/>
    <w:rsid w:val="007F2902"/>
    <w:rsid w:val="007F2A78"/>
    <w:rsid w:val="007F2BB7"/>
    <w:rsid w:val="007F2D3A"/>
    <w:rsid w:val="007F316B"/>
    <w:rsid w:val="007F318D"/>
    <w:rsid w:val="007F32B0"/>
    <w:rsid w:val="007F3313"/>
    <w:rsid w:val="007F33D5"/>
    <w:rsid w:val="007F375C"/>
    <w:rsid w:val="007F3B02"/>
    <w:rsid w:val="007F3DFA"/>
    <w:rsid w:val="007F3F71"/>
    <w:rsid w:val="007F4033"/>
    <w:rsid w:val="007F415A"/>
    <w:rsid w:val="007F4303"/>
    <w:rsid w:val="007F431D"/>
    <w:rsid w:val="007F448F"/>
    <w:rsid w:val="007F4714"/>
    <w:rsid w:val="007F48F9"/>
    <w:rsid w:val="007F48FB"/>
    <w:rsid w:val="007F4A3D"/>
    <w:rsid w:val="007F4D6C"/>
    <w:rsid w:val="007F4E30"/>
    <w:rsid w:val="007F4F42"/>
    <w:rsid w:val="007F5105"/>
    <w:rsid w:val="007F526F"/>
    <w:rsid w:val="007F5447"/>
    <w:rsid w:val="007F58B1"/>
    <w:rsid w:val="007F5B87"/>
    <w:rsid w:val="007F5BD8"/>
    <w:rsid w:val="007F5C71"/>
    <w:rsid w:val="007F6375"/>
    <w:rsid w:val="007F648A"/>
    <w:rsid w:val="007F6585"/>
    <w:rsid w:val="007F6D03"/>
    <w:rsid w:val="007F6D3F"/>
    <w:rsid w:val="007F6FD2"/>
    <w:rsid w:val="007F7121"/>
    <w:rsid w:val="007F72EB"/>
    <w:rsid w:val="007F7338"/>
    <w:rsid w:val="007F7797"/>
    <w:rsid w:val="007F783E"/>
    <w:rsid w:val="007F7854"/>
    <w:rsid w:val="007F7F4E"/>
    <w:rsid w:val="00800225"/>
    <w:rsid w:val="00800490"/>
    <w:rsid w:val="008008A0"/>
    <w:rsid w:val="008009E3"/>
    <w:rsid w:val="008009F3"/>
    <w:rsid w:val="00800BF6"/>
    <w:rsid w:val="00800E4C"/>
    <w:rsid w:val="00800F38"/>
    <w:rsid w:val="00800F5F"/>
    <w:rsid w:val="0080119C"/>
    <w:rsid w:val="008013A6"/>
    <w:rsid w:val="00801408"/>
    <w:rsid w:val="0080142D"/>
    <w:rsid w:val="0080160F"/>
    <w:rsid w:val="0080165C"/>
    <w:rsid w:val="008017BF"/>
    <w:rsid w:val="00801B24"/>
    <w:rsid w:val="00801C0B"/>
    <w:rsid w:val="00801D2B"/>
    <w:rsid w:val="008021E7"/>
    <w:rsid w:val="0080224A"/>
    <w:rsid w:val="008024D5"/>
    <w:rsid w:val="00802712"/>
    <w:rsid w:val="00802CDD"/>
    <w:rsid w:val="00802E52"/>
    <w:rsid w:val="00803294"/>
    <w:rsid w:val="008035E7"/>
    <w:rsid w:val="0080370C"/>
    <w:rsid w:val="0080379B"/>
    <w:rsid w:val="008039B0"/>
    <w:rsid w:val="00803A08"/>
    <w:rsid w:val="00803BD4"/>
    <w:rsid w:val="00803E1E"/>
    <w:rsid w:val="00803F92"/>
    <w:rsid w:val="00804150"/>
    <w:rsid w:val="00804152"/>
    <w:rsid w:val="00804220"/>
    <w:rsid w:val="0080434A"/>
    <w:rsid w:val="00804399"/>
    <w:rsid w:val="008048A2"/>
    <w:rsid w:val="008049AD"/>
    <w:rsid w:val="00804BA2"/>
    <w:rsid w:val="00804CC4"/>
    <w:rsid w:val="00804D75"/>
    <w:rsid w:val="00804E49"/>
    <w:rsid w:val="0080509B"/>
    <w:rsid w:val="008055E2"/>
    <w:rsid w:val="00805645"/>
    <w:rsid w:val="0080566A"/>
    <w:rsid w:val="00805683"/>
    <w:rsid w:val="00805B82"/>
    <w:rsid w:val="00805BCD"/>
    <w:rsid w:val="00805C52"/>
    <w:rsid w:val="00805CB0"/>
    <w:rsid w:val="00805E2A"/>
    <w:rsid w:val="00805F8A"/>
    <w:rsid w:val="008060E8"/>
    <w:rsid w:val="00806301"/>
    <w:rsid w:val="008065E5"/>
    <w:rsid w:val="0080678D"/>
    <w:rsid w:val="008067BA"/>
    <w:rsid w:val="008068E2"/>
    <w:rsid w:val="00806DD7"/>
    <w:rsid w:val="0080700E"/>
    <w:rsid w:val="00807075"/>
    <w:rsid w:val="008070D9"/>
    <w:rsid w:val="008071D3"/>
    <w:rsid w:val="008071F2"/>
    <w:rsid w:val="0080750B"/>
    <w:rsid w:val="008077C8"/>
    <w:rsid w:val="0080783F"/>
    <w:rsid w:val="00807B00"/>
    <w:rsid w:val="00807B1C"/>
    <w:rsid w:val="00807B1E"/>
    <w:rsid w:val="00807C78"/>
    <w:rsid w:val="00807CB9"/>
    <w:rsid w:val="00807EC8"/>
    <w:rsid w:val="0081054E"/>
    <w:rsid w:val="00810607"/>
    <w:rsid w:val="008106A0"/>
    <w:rsid w:val="0081085B"/>
    <w:rsid w:val="00810997"/>
    <w:rsid w:val="00810A40"/>
    <w:rsid w:val="00810F9F"/>
    <w:rsid w:val="0081117C"/>
    <w:rsid w:val="0081118E"/>
    <w:rsid w:val="008113B8"/>
    <w:rsid w:val="00811444"/>
    <w:rsid w:val="00811449"/>
    <w:rsid w:val="00811AC5"/>
    <w:rsid w:val="00811ACD"/>
    <w:rsid w:val="00811B70"/>
    <w:rsid w:val="00811DF3"/>
    <w:rsid w:val="00811EBF"/>
    <w:rsid w:val="00812387"/>
    <w:rsid w:val="0081238E"/>
    <w:rsid w:val="008124B7"/>
    <w:rsid w:val="0081258A"/>
    <w:rsid w:val="00812608"/>
    <w:rsid w:val="008126AC"/>
    <w:rsid w:val="0081289A"/>
    <w:rsid w:val="00812A4A"/>
    <w:rsid w:val="00812C88"/>
    <w:rsid w:val="00812F46"/>
    <w:rsid w:val="00812F99"/>
    <w:rsid w:val="0081345B"/>
    <w:rsid w:val="0081346E"/>
    <w:rsid w:val="008134DC"/>
    <w:rsid w:val="00813A00"/>
    <w:rsid w:val="00813A7A"/>
    <w:rsid w:val="00813B89"/>
    <w:rsid w:val="00813C1B"/>
    <w:rsid w:val="00813E5A"/>
    <w:rsid w:val="008142AE"/>
    <w:rsid w:val="008149D5"/>
    <w:rsid w:val="00814A12"/>
    <w:rsid w:val="00814A66"/>
    <w:rsid w:val="00814C18"/>
    <w:rsid w:val="00814C21"/>
    <w:rsid w:val="00814C3D"/>
    <w:rsid w:val="00814C57"/>
    <w:rsid w:val="00814DAE"/>
    <w:rsid w:val="00814FFC"/>
    <w:rsid w:val="008151B2"/>
    <w:rsid w:val="008154C9"/>
    <w:rsid w:val="0081559E"/>
    <w:rsid w:val="00815614"/>
    <w:rsid w:val="00815917"/>
    <w:rsid w:val="00815E59"/>
    <w:rsid w:val="0081611D"/>
    <w:rsid w:val="00816269"/>
    <w:rsid w:val="00816276"/>
    <w:rsid w:val="00816427"/>
    <w:rsid w:val="008165F0"/>
    <w:rsid w:val="00816642"/>
    <w:rsid w:val="008169DF"/>
    <w:rsid w:val="008169E2"/>
    <w:rsid w:val="00816D3D"/>
    <w:rsid w:val="00816E6C"/>
    <w:rsid w:val="00817102"/>
    <w:rsid w:val="008172F9"/>
    <w:rsid w:val="00817343"/>
    <w:rsid w:val="00817438"/>
    <w:rsid w:val="00817651"/>
    <w:rsid w:val="00817999"/>
    <w:rsid w:val="008179CC"/>
    <w:rsid w:val="00817A21"/>
    <w:rsid w:val="00817A34"/>
    <w:rsid w:val="00817E1E"/>
    <w:rsid w:val="00817E23"/>
    <w:rsid w:val="00817E42"/>
    <w:rsid w:val="00817F8B"/>
    <w:rsid w:val="008201FE"/>
    <w:rsid w:val="00820364"/>
    <w:rsid w:val="0082064E"/>
    <w:rsid w:val="00820795"/>
    <w:rsid w:val="00820798"/>
    <w:rsid w:val="00820918"/>
    <w:rsid w:val="00820B3E"/>
    <w:rsid w:val="00820BA9"/>
    <w:rsid w:val="00820BE4"/>
    <w:rsid w:val="00820C6B"/>
    <w:rsid w:val="008211DE"/>
    <w:rsid w:val="00821243"/>
    <w:rsid w:val="00821517"/>
    <w:rsid w:val="00821844"/>
    <w:rsid w:val="008219F1"/>
    <w:rsid w:val="008219FE"/>
    <w:rsid w:val="00821D85"/>
    <w:rsid w:val="008220A1"/>
    <w:rsid w:val="008220A5"/>
    <w:rsid w:val="00822187"/>
    <w:rsid w:val="0082225E"/>
    <w:rsid w:val="00822480"/>
    <w:rsid w:val="0082274B"/>
    <w:rsid w:val="008227ED"/>
    <w:rsid w:val="008229B0"/>
    <w:rsid w:val="00822FB0"/>
    <w:rsid w:val="0082305E"/>
    <w:rsid w:val="0082306E"/>
    <w:rsid w:val="00823152"/>
    <w:rsid w:val="0082318B"/>
    <w:rsid w:val="0082333E"/>
    <w:rsid w:val="0082340B"/>
    <w:rsid w:val="00823563"/>
    <w:rsid w:val="008237C7"/>
    <w:rsid w:val="00823B34"/>
    <w:rsid w:val="00823FD4"/>
    <w:rsid w:val="00824082"/>
    <w:rsid w:val="008242BB"/>
    <w:rsid w:val="00824539"/>
    <w:rsid w:val="00824664"/>
    <w:rsid w:val="00824877"/>
    <w:rsid w:val="00824CEA"/>
    <w:rsid w:val="00824DF0"/>
    <w:rsid w:val="00824E74"/>
    <w:rsid w:val="00824E7F"/>
    <w:rsid w:val="008250D8"/>
    <w:rsid w:val="008250FE"/>
    <w:rsid w:val="0082562F"/>
    <w:rsid w:val="008257AD"/>
    <w:rsid w:val="00825974"/>
    <w:rsid w:val="0082597B"/>
    <w:rsid w:val="00825BF3"/>
    <w:rsid w:val="00825FA8"/>
    <w:rsid w:val="00825FCB"/>
    <w:rsid w:val="0082626F"/>
    <w:rsid w:val="0082630D"/>
    <w:rsid w:val="008264C5"/>
    <w:rsid w:val="008265CE"/>
    <w:rsid w:val="008265E5"/>
    <w:rsid w:val="00826C3B"/>
    <w:rsid w:val="00826CC8"/>
    <w:rsid w:val="00826F08"/>
    <w:rsid w:val="008270E0"/>
    <w:rsid w:val="008271DB"/>
    <w:rsid w:val="00827335"/>
    <w:rsid w:val="0082739B"/>
    <w:rsid w:val="00827413"/>
    <w:rsid w:val="008279B0"/>
    <w:rsid w:val="00827A9F"/>
    <w:rsid w:val="00827AA4"/>
    <w:rsid w:val="00827B4D"/>
    <w:rsid w:val="00827C1F"/>
    <w:rsid w:val="00827C5E"/>
    <w:rsid w:val="00827D80"/>
    <w:rsid w:val="00827EFF"/>
    <w:rsid w:val="00827F05"/>
    <w:rsid w:val="00830083"/>
    <w:rsid w:val="0083023B"/>
    <w:rsid w:val="00830460"/>
    <w:rsid w:val="00830868"/>
    <w:rsid w:val="00830911"/>
    <w:rsid w:val="00830982"/>
    <w:rsid w:val="00830AAB"/>
    <w:rsid w:val="00830D55"/>
    <w:rsid w:val="00830FAB"/>
    <w:rsid w:val="00831185"/>
    <w:rsid w:val="0083118D"/>
    <w:rsid w:val="00831356"/>
    <w:rsid w:val="008313B1"/>
    <w:rsid w:val="008314CD"/>
    <w:rsid w:val="00831812"/>
    <w:rsid w:val="00831A12"/>
    <w:rsid w:val="00831D6B"/>
    <w:rsid w:val="00831D9E"/>
    <w:rsid w:val="00831E13"/>
    <w:rsid w:val="008320EA"/>
    <w:rsid w:val="0083237C"/>
    <w:rsid w:val="00832809"/>
    <w:rsid w:val="0083290F"/>
    <w:rsid w:val="008329BB"/>
    <w:rsid w:val="00832C3C"/>
    <w:rsid w:val="00832D37"/>
    <w:rsid w:val="00832D5C"/>
    <w:rsid w:val="00832DB8"/>
    <w:rsid w:val="00832E82"/>
    <w:rsid w:val="008330AD"/>
    <w:rsid w:val="008330C2"/>
    <w:rsid w:val="0083349C"/>
    <w:rsid w:val="0083350F"/>
    <w:rsid w:val="00833599"/>
    <w:rsid w:val="0083363B"/>
    <w:rsid w:val="008336E9"/>
    <w:rsid w:val="008338F5"/>
    <w:rsid w:val="00833CEC"/>
    <w:rsid w:val="00833D08"/>
    <w:rsid w:val="0083404A"/>
    <w:rsid w:val="00834193"/>
    <w:rsid w:val="0083424D"/>
    <w:rsid w:val="00834267"/>
    <w:rsid w:val="00834630"/>
    <w:rsid w:val="00834951"/>
    <w:rsid w:val="00834997"/>
    <w:rsid w:val="00834AD1"/>
    <w:rsid w:val="00834AE4"/>
    <w:rsid w:val="00834DE5"/>
    <w:rsid w:val="00835008"/>
    <w:rsid w:val="0083520C"/>
    <w:rsid w:val="008352FE"/>
    <w:rsid w:val="00835309"/>
    <w:rsid w:val="00835358"/>
    <w:rsid w:val="0083549E"/>
    <w:rsid w:val="00835780"/>
    <w:rsid w:val="008357DB"/>
    <w:rsid w:val="00835A74"/>
    <w:rsid w:val="00835C99"/>
    <w:rsid w:val="00835FBD"/>
    <w:rsid w:val="0083617A"/>
    <w:rsid w:val="00836182"/>
    <w:rsid w:val="0083631A"/>
    <w:rsid w:val="008363B5"/>
    <w:rsid w:val="008363F6"/>
    <w:rsid w:val="008365B6"/>
    <w:rsid w:val="008368EF"/>
    <w:rsid w:val="00836A03"/>
    <w:rsid w:val="00836F57"/>
    <w:rsid w:val="00837357"/>
    <w:rsid w:val="0083739F"/>
    <w:rsid w:val="008373B5"/>
    <w:rsid w:val="008373CA"/>
    <w:rsid w:val="00837406"/>
    <w:rsid w:val="008374FA"/>
    <w:rsid w:val="0083751D"/>
    <w:rsid w:val="00837A20"/>
    <w:rsid w:val="00837BAA"/>
    <w:rsid w:val="00837C83"/>
    <w:rsid w:val="00837CF6"/>
    <w:rsid w:val="00840047"/>
    <w:rsid w:val="00840468"/>
    <w:rsid w:val="008404B2"/>
    <w:rsid w:val="0084081D"/>
    <w:rsid w:val="00840C79"/>
    <w:rsid w:val="00840E1F"/>
    <w:rsid w:val="008413C6"/>
    <w:rsid w:val="00841591"/>
    <w:rsid w:val="00841765"/>
    <w:rsid w:val="00841819"/>
    <w:rsid w:val="008418FF"/>
    <w:rsid w:val="0084193E"/>
    <w:rsid w:val="00841B77"/>
    <w:rsid w:val="00841C2C"/>
    <w:rsid w:val="00841C51"/>
    <w:rsid w:val="00841DAB"/>
    <w:rsid w:val="00841DFE"/>
    <w:rsid w:val="00841EA2"/>
    <w:rsid w:val="00842083"/>
    <w:rsid w:val="00842128"/>
    <w:rsid w:val="00842279"/>
    <w:rsid w:val="0084259F"/>
    <w:rsid w:val="00842702"/>
    <w:rsid w:val="008429BA"/>
    <w:rsid w:val="00842E3B"/>
    <w:rsid w:val="00842F77"/>
    <w:rsid w:val="008430B9"/>
    <w:rsid w:val="00843146"/>
    <w:rsid w:val="008431A6"/>
    <w:rsid w:val="008431E2"/>
    <w:rsid w:val="00843256"/>
    <w:rsid w:val="008432D4"/>
    <w:rsid w:val="00843454"/>
    <w:rsid w:val="0084355F"/>
    <w:rsid w:val="00843775"/>
    <w:rsid w:val="00843854"/>
    <w:rsid w:val="008438C9"/>
    <w:rsid w:val="008438F2"/>
    <w:rsid w:val="00843BC7"/>
    <w:rsid w:val="00843DC6"/>
    <w:rsid w:val="008444F4"/>
    <w:rsid w:val="008445E0"/>
    <w:rsid w:val="0084468C"/>
    <w:rsid w:val="00844B1B"/>
    <w:rsid w:val="00844CB8"/>
    <w:rsid w:val="0084514E"/>
    <w:rsid w:val="008451EE"/>
    <w:rsid w:val="0084526B"/>
    <w:rsid w:val="008453DD"/>
    <w:rsid w:val="0084548C"/>
    <w:rsid w:val="0084585A"/>
    <w:rsid w:val="00845929"/>
    <w:rsid w:val="00845D94"/>
    <w:rsid w:val="00845E1D"/>
    <w:rsid w:val="00845FDC"/>
    <w:rsid w:val="00845FF9"/>
    <w:rsid w:val="00846099"/>
    <w:rsid w:val="008460C1"/>
    <w:rsid w:val="008462E0"/>
    <w:rsid w:val="00846371"/>
    <w:rsid w:val="008463C8"/>
    <w:rsid w:val="0084659F"/>
    <w:rsid w:val="00846623"/>
    <w:rsid w:val="008467D0"/>
    <w:rsid w:val="0084691A"/>
    <w:rsid w:val="0084692A"/>
    <w:rsid w:val="00846A03"/>
    <w:rsid w:val="00846B94"/>
    <w:rsid w:val="00846E79"/>
    <w:rsid w:val="00846FE6"/>
    <w:rsid w:val="008477D2"/>
    <w:rsid w:val="008478EC"/>
    <w:rsid w:val="008479C2"/>
    <w:rsid w:val="00847CFB"/>
    <w:rsid w:val="00847D66"/>
    <w:rsid w:val="00847D7F"/>
    <w:rsid w:val="00847FFE"/>
    <w:rsid w:val="008501E8"/>
    <w:rsid w:val="00850370"/>
    <w:rsid w:val="00850530"/>
    <w:rsid w:val="00850533"/>
    <w:rsid w:val="008507E8"/>
    <w:rsid w:val="00850C81"/>
    <w:rsid w:val="00850CAB"/>
    <w:rsid w:val="00850EC7"/>
    <w:rsid w:val="00851441"/>
    <w:rsid w:val="00851863"/>
    <w:rsid w:val="008519AB"/>
    <w:rsid w:val="00851B2A"/>
    <w:rsid w:val="00851CBF"/>
    <w:rsid w:val="00851E3B"/>
    <w:rsid w:val="00851F9D"/>
    <w:rsid w:val="00851FEE"/>
    <w:rsid w:val="00852063"/>
    <w:rsid w:val="008520A5"/>
    <w:rsid w:val="0085228C"/>
    <w:rsid w:val="00852324"/>
    <w:rsid w:val="0085233A"/>
    <w:rsid w:val="00852376"/>
    <w:rsid w:val="0085245F"/>
    <w:rsid w:val="00852614"/>
    <w:rsid w:val="00852857"/>
    <w:rsid w:val="00852A4E"/>
    <w:rsid w:val="00852A69"/>
    <w:rsid w:val="00852D15"/>
    <w:rsid w:val="00852D1B"/>
    <w:rsid w:val="00852E4C"/>
    <w:rsid w:val="00852FC8"/>
    <w:rsid w:val="008530E3"/>
    <w:rsid w:val="00853363"/>
    <w:rsid w:val="008534A3"/>
    <w:rsid w:val="0085366D"/>
    <w:rsid w:val="008536B8"/>
    <w:rsid w:val="00853928"/>
    <w:rsid w:val="00853A36"/>
    <w:rsid w:val="00853AC0"/>
    <w:rsid w:val="00853F25"/>
    <w:rsid w:val="008540AC"/>
    <w:rsid w:val="008543B3"/>
    <w:rsid w:val="00854736"/>
    <w:rsid w:val="008547EC"/>
    <w:rsid w:val="0085483C"/>
    <w:rsid w:val="00854D58"/>
    <w:rsid w:val="00854DA9"/>
    <w:rsid w:val="00854E6D"/>
    <w:rsid w:val="0085511C"/>
    <w:rsid w:val="00855162"/>
    <w:rsid w:val="00855562"/>
    <w:rsid w:val="00855697"/>
    <w:rsid w:val="00855B8B"/>
    <w:rsid w:val="00855C4A"/>
    <w:rsid w:val="00855CBE"/>
    <w:rsid w:val="00855E5D"/>
    <w:rsid w:val="00856040"/>
    <w:rsid w:val="0085648B"/>
    <w:rsid w:val="008565C5"/>
    <w:rsid w:val="00856747"/>
    <w:rsid w:val="00856AC9"/>
    <w:rsid w:val="00857161"/>
    <w:rsid w:val="00857176"/>
    <w:rsid w:val="00857375"/>
    <w:rsid w:val="0085757D"/>
    <w:rsid w:val="00857A3E"/>
    <w:rsid w:val="00857C15"/>
    <w:rsid w:val="00860231"/>
    <w:rsid w:val="0086033C"/>
    <w:rsid w:val="00860419"/>
    <w:rsid w:val="008605BF"/>
    <w:rsid w:val="008609EA"/>
    <w:rsid w:val="00860BEB"/>
    <w:rsid w:val="00860C17"/>
    <w:rsid w:val="00860D3D"/>
    <w:rsid w:val="00860D40"/>
    <w:rsid w:val="00860F17"/>
    <w:rsid w:val="00860FAB"/>
    <w:rsid w:val="008614D8"/>
    <w:rsid w:val="008615D0"/>
    <w:rsid w:val="0086184F"/>
    <w:rsid w:val="00861AAD"/>
    <w:rsid w:val="00861B64"/>
    <w:rsid w:val="00861BC6"/>
    <w:rsid w:val="00861DA9"/>
    <w:rsid w:val="00861DFE"/>
    <w:rsid w:val="00861E40"/>
    <w:rsid w:val="00861E53"/>
    <w:rsid w:val="00861EC6"/>
    <w:rsid w:val="0086220F"/>
    <w:rsid w:val="00862363"/>
    <w:rsid w:val="008623D5"/>
    <w:rsid w:val="00862634"/>
    <w:rsid w:val="00862CE6"/>
    <w:rsid w:val="00862F21"/>
    <w:rsid w:val="00863225"/>
    <w:rsid w:val="008632DA"/>
    <w:rsid w:val="0086345B"/>
    <w:rsid w:val="00863760"/>
    <w:rsid w:val="0086393C"/>
    <w:rsid w:val="00863A07"/>
    <w:rsid w:val="00863A82"/>
    <w:rsid w:val="00863B9B"/>
    <w:rsid w:val="00863C1E"/>
    <w:rsid w:val="00863C23"/>
    <w:rsid w:val="00863DB9"/>
    <w:rsid w:val="00863F20"/>
    <w:rsid w:val="0086413B"/>
    <w:rsid w:val="0086416B"/>
    <w:rsid w:val="008641BA"/>
    <w:rsid w:val="00864247"/>
    <w:rsid w:val="008642AC"/>
    <w:rsid w:val="00864745"/>
    <w:rsid w:val="00864BEE"/>
    <w:rsid w:val="00864CCF"/>
    <w:rsid w:val="00864E21"/>
    <w:rsid w:val="00864F24"/>
    <w:rsid w:val="00865014"/>
    <w:rsid w:val="00865023"/>
    <w:rsid w:val="0086519A"/>
    <w:rsid w:val="0086520F"/>
    <w:rsid w:val="008653B3"/>
    <w:rsid w:val="00865420"/>
    <w:rsid w:val="00865437"/>
    <w:rsid w:val="0086553A"/>
    <w:rsid w:val="008655C5"/>
    <w:rsid w:val="0086576A"/>
    <w:rsid w:val="00865884"/>
    <w:rsid w:val="00865AE8"/>
    <w:rsid w:val="00865B06"/>
    <w:rsid w:val="00865BB9"/>
    <w:rsid w:val="00865C58"/>
    <w:rsid w:val="00865CD5"/>
    <w:rsid w:val="00865D1F"/>
    <w:rsid w:val="00865FB3"/>
    <w:rsid w:val="00865FFD"/>
    <w:rsid w:val="00866147"/>
    <w:rsid w:val="0086643C"/>
    <w:rsid w:val="00866B0C"/>
    <w:rsid w:val="00866C9C"/>
    <w:rsid w:val="00866D71"/>
    <w:rsid w:val="00866F63"/>
    <w:rsid w:val="00866F70"/>
    <w:rsid w:val="0086720A"/>
    <w:rsid w:val="00867352"/>
    <w:rsid w:val="008673A7"/>
    <w:rsid w:val="00867677"/>
    <w:rsid w:val="00867716"/>
    <w:rsid w:val="0086780F"/>
    <w:rsid w:val="00867B75"/>
    <w:rsid w:val="00867C3C"/>
    <w:rsid w:val="00867DB4"/>
    <w:rsid w:val="00867E43"/>
    <w:rsid w:val="00867E5E"/>
    <w:rsid w:val="00867F72"/>
    <w:rsid w:val="00870020"/>
    <w:rsid w:val="008701E1"/>
    <w:rsid w:val="008703D4"/>
    <w:rsid w:val="008703EA"/>
    <w:rsid w:val="00870506"/>
    <w:rsid w:val="00870607"/>
    <w:rsid w:val="008707DE"/>
    <w:rsid w:val="00870846"/>
    <w:rsid w:val="00870908"/>
    <w:rsid w:val="0087091C"/>
    <w:rsid w:val="008709B8"/>
    <w:rsid w:val="008709C4"/>
    <w:rsid w:val="00870BDB"/>
    <w:rsid w:val="00870C28"/>
    <w:rsid w:val="00870D38"/>
    <w:rsid w:val="00870E46"/>
    <w:rsid w:val="008713A6"/>
    <w:rsid w:val="008713DC"/>
    <w:rsid w:val="008714C7"/>
    <w:rsid w:val="00871503"/>
    <w:rsid w:val="00871575"/>
    <w:rsid w:val="00871847"/>
    <w:rsid w:val="00871874"/>
    <w:rsid w:val="00871D0E"/>
    <w:rsid w:val="00871D95"/>
    <w:rsid w:val="00872098"/>
    <w:rsid w:val="00872554"/>
    <w:rsid w:val="00872859"/>
    <w:rsid w:val="008728C3"/>
    <w:rsid w:val="008729B9"/>
    <w:rsid w:val="00872D13"/>
    <w:rsid w:val="00872E21"/>
    <w:rsid w:val="00872EF6"/>
    <w:rsid w:val="0087305E"/>
    <w:rsid w:val="0087309E"/>
    <w:rsid w:val="00873214"/>
    <w:rsid w:val="008734AC"/>
    <w:rsid w:val="008736D3"/>
    <w:rsid w:val="008738E2"/>
    <w:rsid w:val="00873BD1"/>
    <w:rsid w:val="00873C50"/>
    <w:rsid w:val="00873F31"/>
    <w:rsid w:val="00873F3D"/>
    <w:rsid w:val="0087408D"/>
    <w:rsid w:val="00874202"/>
    <w:rsid w:val="0087434C"/>
    <w:rsid w:val="008743C1"/>
    <w:rsid w:val="00874635"/>
    <w:rsid w:val="00874793"/>
    <w:rsid w:val="008748BE"/>
    <w:rsid w:val="00874B4D"/>
    <w:rsid w:val="00874BBA"/>
    <w:rsid w:val="00874C4C"/>
    <w:rsid w:val="00874D2E"/>
    <w:rsid w:val="00874E94"/>
    <w:rsid w:val="00875313"/>
    <w:rsid w:val="008755E5"/>
    <w:rsid w:val="00875618"/>
    <w:rsid w:val="00875912"/>
    <w:rsid w:val="0087591C"/>
    <w:rsid w:val="0087597C"/>
    <w:rsid w:val="00875A73"/>
    <w:rsid w:val="00875B8E"/>
    <w:rsid w:val="00875BAF"/>
    <w:rsid w:val="00875C08"/>
    <w:rsid w:val="00875C5A"/>
    <w:rsid w:val="00875C60"/>
    <w:rsid w:val="00876093"/>
    <w:rsid w:val="0087615B"/>
    <w:rsid w:val="008763ED"/>
    <w:rsid w:val="008766E4"/>
    <w:rsid w:val="0087696F"/>
    <w:rsid w:val="008769C0"/>
    <w:rsid w:val="00876A6A"/>
    <w:rsid w:val="00876BB3"/>
    <w:rsid w:val="00876BC1"/>
    <w:rsid w:val="00876ED5"/>
    <w:rsid w:val="0087719F"/>
    <w:rsid w:val="008778F9"/>
    <w:rsid w:val="00877905"/>
    <w:rsid w:val="00877CEF"/>
    <w:rsid w:val="00877D49"/>
    <w:rsid w:val="00877DD2"/>
    <w:rsid w:val="00877E84"/>
    <w:rsid w:val="0088015F"/>
    <w:rsid w:val="00880516"/>
    <w:rsid w:val="00880608"/>
    <w:rsid w:val="0088062F"/>
    <w:rsid w:val="0088087D"/>
    <w:rsid w:val="008808F4"/>
    <w:rsid w:val="00880ACD"/>
    <w:rsid w:val="00880CD2"/>
    <w:rsid w:val="00880D2A"/>
    <w:rsid w:val="008811CB"/>
    <w:rsid w:val="0088151A"/>
    <w:rsid w:val="00881767"/>
    <w:rsid w:val="00881AB2"/>
    <w:rsid w:val="00881C88"/>
    <w:rsid w:val="00881D81"/>
    <w:rsid w:val="00881FB4"/>
    <w:rsid w:val="00881FD1"/>
    <w:rsid w:val="0088208D"/>
    <w:rsid w:val="008821BE"/>
    <w:rsid w:val="0088234D"/>
    <w:rsid w:val="008823E7"/>
    <w:rsid w:val="00882437"/>
    <w:rsid w:val="008824EC"/>
    <w:rsid w:val="008825C7"/>
    <w:rsid w:val="00882887"/>
    <w:rsid w:val="00882A32"/>
    <w:rsid w:val="00882BB6"/>
    <w:rsid w:val="00882C7E"/>
    <w:rsid w:val="00882EC1"/>
    <w:rsid w:val="00882F05"/>
    <w:rsid w:val="008833B0"/>
    <w:rsid w:val="00883420"/>
    <w:rsid w:val="0088350B"/>
    <w:rsid w:val="0088359D"/>
    <w:rsid w:val="00883671"/>
    <w:rsid w:val="008836D1"/>
    <w:rsid w:val="0088370D"/>
    <w:rsid w:val="0088373F"/>
    <w:rsid w:val="00883764"/>
    <w:rsid w:val="00883A52"/>
    <w:rsid w:val="00883C6C"/>
    <w:rsid w:val="00884128"/>
    <w:rsid w:val="00884193"/>
    <w:rsid w:val="008841AC"/>
    <w:rsid w:val="0088422D"/>
    <w:rsid w:val="0088425E"/>
    <w:rsid w:val="00884443"/>
    <w:rsid w:val="008844D5"/>
    <w:rsid w:val="008848A1"/>
    <w:rsid w:val="00884982"/>
    <w:rsid w:val="00884B77"/>
    <w:rsid w:val="00884C30"/>
    <w:rsid w:val="00884CA8"/>
    <w:rsid w:val="00884E94"/>
    <w:rsid w:val="0088502B"/>
    <w:rsid w:val="008850BC"/>
    <w:rsid w:val="008854E0"/>
    <w:rsid w:val="008855EC"/>
    <w:rsid w:val="0088574E"/>
    <w:rsid w:val="0088576D"/>
    <w:rsid w:val="008857FA"/>
    <w:rsid w:val="00885866"/>
    <w:rsid w:val="00885867"/>
    <w:rsid w:val="00885FA3"/>
    <w:rsid w:val="00886034"/>
    <w:rsid w:val="008863C2"/>
    <w:rsid w:val="00886403"/>
    <w:rsid w:val="00886433"/>
    <w:rsid w:val="00886542"/>
    <w:rsid w:val="008865AF"/>
    <w:rsid w:val="00886E02"/>
    <w:rsid w:val="00886F55"/>
    <w:rsid w:val="00886F68"/>
    <w:rsid w:val="00887142"/>
    <w:rsid w:val="00887155"/>
    <w:rsid w:val="00887194"/>
    <w:rsid w:val="008871E8"/>
    <w:rsid w:val="008872EC"/>
    <w:rsid w:val="00887314"/>
    <w:rsid w:val="00887345"/>
    <w:rsid w:val="00887474"/>
    <w:rsid w:val="00887721"/>
    <w:rsid w:val="008877E9"/>
    <w:rsid w:val="008879EA"/>
    <w:rsid w:val="00887B61"/>
    <w:rsid w:val="00887DBB"/>
    <w:rsid w:val="0089003A"/>
    <w:rsid w:val="00890469"/>
    <w:rsid w:val="008907E0"/>
    <w:rsid w:val="00890AAB"/>
    <w:rsid w:val="00890AAC"/>
    <w:rsid w:val="00890AD5"/>
    <w:rsid w:val="008911F6"/>
    <w:rsid w:val="0089126A"/>
    <w:rsid w:val="008915EE"/>
    <w:rsid w:val="008916A1"/>
    <w:rsid w:val="00891A98"/>
    <w:rsid w:val="00891B48"/>
    <w:rsid w:val="00891D26"/>
    <w:rsid w:val="00891D7D"/>
    <w:rsid w:val="008920F6"/>
    <w:rsid w:val="008925A5"/>
    <w:rsid w:val="0089262F"/>
    <w:rsid w:val="00892B6E"/>
    <w:rsid w:val="00892C52"/>
    <w:rsid w:val="00892E07"/>
    <w:rsid w:val="00892E30"/>
    <w:rsid w:val="00892F26"/>
    <w:rsid w:val="00892F43"/>
    <w:rsid w:val="00893318"/>
    <w:rsid w:val="008933A2"/>
    <w:rsid w:val="00893415"/>
    <w:rsid w:val="00893477"/>
    <w:rsid w:val="0089351D"/>
    <w:rsid w:val="00893671"/>
    <w:rsid w:val="008937FA"/>
    <w:rsid w:val="00893802"/>
    <w:rsid w:val="00893989"/>
    <w:rsid w:val="00893BFC"/>
    <w:rsid w:val="0089401A"/>
    <w:rsid w:val="00894191"/>
    <w:rsid w:val="00894331"/>
    <w:rsid w:val="0089433C"/>
    <w:rsid w:val="00894343"/>
    <w:rsid w:val="008945DF"/>
    <w:rsid w:val="008946AF"/>
    <w:rsid w:val="00894A70"/>
    <w:rsid w:val="00894F0E"/>
    <w:rsid w:val="008952F9"/>
    <w:rsid w:val="00895329"/>
    <w:rsid w:val="008953AE"/>
    <w:rsid w:val="008953D3"/>
    <w:rsid w:val="008953D4"/>
    <w:rsid w:val="00895954"/>
    <w:rsid w:val="00895D5A"/>
    <w:rsid w:val="00895F30"/>
    <w:rsid w:val="0089632E"/>
    <w:rsid w:val="008963CB"/>
    <w:rsid w:val="0089664C"/>
    <w:rsid w:val="0089676A"/>
    <w:rsid w:val="00896C0F"/>
    <w:rsid w:val="00896E14"/>
    <w:rsid w:val="0089701A"/>
    <w:rsid w:val="00897182"/>
    <w:rsid w:val="008973E0"/>
    <w:rsid w:val="00897AA1"/>
    <w:rsid w:val="00897C24"/>
    <w:rsid w:val="00897C7D"/>
    <w:rsid w:val="00897F69"/>
    <w:rsid w:val="008A0284"/>
    <w:rsid w:val="008A04A1"/>
    <w:rsid w:val="008A056D"/>
    <w:rsid w:val="008A071D"/>
    <w:rsid w:val="008A08E0"/>
    <w:rsid w:val="008A0ACA"/>
    <w:rsid w:val="008A0C7A"/>
    <w:rsid w:val="008A0D40"/>
    <w:rsid w:val="008A0EA0"/>
    <w:rsid w:val="008A0FA6"/>
    <w:rsid w:val="008A106C"/>
    <w:rsid w:val="008A13FC"/>
    <w:rsid w:val="008A13FF"/>
    <w:rsid w:val="008A1541"/>
    <w:rsid w:val="008A162F"/>
    <w:rsid w:val="008A1759"/>
    <w:rsid w:val="008A177E"/>
    <w:rsid w:val="008A18C2"/>
    <w:rsid w:val="008A19F9"/>
    <w:rsid w:val="008A1C59"/>
    <w:rsid w:val="008A1CBE"/>
    <w:rsid w:val="008A2096"/>
    <w:rsid w:val="008A2183"/>
    <w:rsid w:val="008A226B"/>
    <w:rsid w:val="008A22C3"/>
    <w:rsid w:val="008A28A7"/>
    <w:rsid w:val="008A2A53"/>
    <w:rsid w:val="008A2BF0"/>
    <w:rsid w:val="008A2D11"/>
    <w:rsid w:val="008A353E"/>
    <w:rsid w:val="008A36C4"/>
    <w:rsid w:val="008A3801"/>
    <w:rsid w:val="008A3991"/>
    <w:rsid w:val="008A3A11"/>
    <w:rsid w:val="008A3A8E"/>
    <w:rsid w:val="008A3C3C"/>
    <w:rsid w:val="008A3C47"/>
    <w:rsid w:val="008A3DCB"/>
    <w:rsid w:val="008A3E32"/>
    <w:rsid w:val="008A4147"/>
    <w:rsid w:val="008A41B8"/>
    <w:rsid w:val="008A433A"/>
    <w:rsid w:val="008A457B"/>
    <w:rsid w:val="008A4867"/>
    <w:rsid w:val="008A4869"/>
    <w:rsid w:val="008A52ED"/>
    <w:rsid w:val="008A5618"/>
    <w:rsid w:val="008A56F8"/>
    <w:rsid w:val="008A5861"/>
    <w:rsid w:val="008A59B5"/>
    <w:rsid w:val="008A5A4A"/>
    <w:rsid w:val="008A5C76"/>
    <w:rsid w:val="008A5CB9"/>
    <w:rsid w:val="008A5E7A"/>
    <w:rsid w:val="008A5F04"/>
    <w:rsid w:val="008A5F87"/>
    <w:rsid w:val="008A60E3"/>
    <w:rsid w:val="008A6226"/>
    <w:rsid w:val="008A640A"/>
    <w:rsid w:val="008A679B"/>
    <w:rsid w:val="008A6AAF"/>
    <w:rsid w:val="008A6B1F"/>
    <w:rsid w:val="008A6D36"/>
    <w:rsid w:val="008A6EFD"/>
    <w:rsid w:val="008A71A0"/>
    <w:rsid w:val="008A7337"/>
    <w:rsid w:val="008A7630"/>
    <w:rsid w:val="008A772E"/>
    <w:rsid w:val="008A77B4"/>
    <w:rsid w:val="008A78AD"/>
    <w:rsid w:val="008A79F6"/>
    <w:rsid w:val="008A7B19"/>
    <w:rsid w:val="008A7DC4"/>
    <w:rsid w:val="008A7F7C"/>
    <w:rsid w:val="008A7FF5"/>
    <w:rsid w:val="008B0014"/>
    <w:rsid w:val="008B02C5"/>
    <w:rsid w:val="008B02EA"/>
    <w:rsid w:val="008B0599"/>
    <w:rsid w:val="008B05D1"/>
    <w:rsid w:val="008B0630"/>
    <w:rsid w:val="008B09AA"/>
    <w:rsid w:val="008B0A44"/>
    <w:rsid w:val="008B0AEA"/>
    <w:rsid w:val="008B0C34"/>
    <w:rsid w:val="008B0C4F"/>
    <w:rsid w:val="008B0C91"/>
    <w:rsid w:val="008B0E16"/>
    <w:rsid w:val="008B129E"/>
    <w:rsid w:val="008B12B7"/>
    <w:rsid w:val="008B1599"/>
    <w:rsid w:val="008B16D8"/>
    <w:rsid w:val="008B18CF"/>
    <w:rsid w:val="008B18D0"/>
    <w:rsid w:val="008B18D8"/>
    <w:rsid w:val="008B18E2"/>
    <w:rsid w:val="008B1AF1"/>
    <w:rsid w:val="008B1E30"/>
    <w:rsid w:val="008B1EEE"/>
    <w:rsid w:val="008B1F87"/>
    <w:rsid w:val="008B222A"/>
    <w:rsid w:val="008B23A4"/>
    <w:rsid w:val="008B25A7"/>
    <w:rsid w:val="008B2B43"/>
    <w:rsid w:val="008B2DCE"/>
    <w:rsid w:val="008B2EC6"/>
    <w:rsid w:val="008B306B"/>
    <w:rsid w:val="008B30C0"/>
    <w:rsid w:val="008B3298"/>
    <w:rsid w:val="008B3557"/>
    <w:rsid w:val="008B35AD"/>
    <w:rsid w:val="008B35D4"/>
    <w:rsid w:val="008B3959"/>
    <w:rsid w:val="008B3B10"/>
    <w:rsid w:val="008B4294"/>
    <w:rsid w:val="008B461B"/>
    <w:rsid w:val="008B4698"/>
    <w:rsid w:val="008B46F0"/>
    <w:rsid w:val="008B47BB"/>
    <w:rsid w:val="008B4902"/>
    <w:rsid w:val="008B4E77"/>
    <w:rsid w:val="008B4F9B"/>
    <w:rsid w:val="008B501E"/>
    <w:rsid w:val="008B5154"/>
    <w:rsid w:val="008B5391"/>
    <w:rsid w:val="008B53F9"/>
    <w:rsid w:val="008B54BB"/>
    <w:rsid w:val="008B55F6"/>
    <w:rsid w:val="008B5868"/>
    <w:rsid w:val="008B5879"/>
    <w:rsid w:val="008B5B71"/>
    <w:rsid w:val="008B5C16"/>
    <w:rsid w:val="008B5CE7"/>
    <w:rsid w:val="008B5D73"/>
    <w:rsid w:val="008B5FBB"/>
    <w:rsid w:val="008B6171"/>
    <w:rsid w:val="008B62B4"/>
    <w:rsid w:val="008B62CE"/>
    <w:rsid w:val="008B62F7"/>
    <w:rsid w:val="008B6355"/>
    <w:rsid w:val="008B65B3"/>
    <w:rsid w:val="008B66C3"/>
    <w:rsid w:val="008B6818"/>
    <w:rsid w:val="008B6997"/>
    <w:rsid w:val="008B6F22"/>
    <w:rsid w:val="008B7303"/>
    <w:rsid w:val="008B7503"/>
    <w:rsid w:val="008B756D"/>
    <w:rsid w:val="008B7666"/>
    <w:rsid w:val="008B7E92"/>
    <w:rsid w:val="008B7F69"/>
    <w:rsid w:val="008C006D"/>
    <w:rsid w:val="008C0118"/>
    <w:rsid w:val="008C0141"/>
    <w:rsid w:val="008C0290"/>
    <w:rsid w:val="008C0302"/>
    <w:rsid w:val="008C03F0"/>
    <w:rsid w:val="008C0488"/>
    <w:rsid w:val="008C0743"/>
    <w:rsid w:val="008C0D53"/>
    <w:rsid w:val="008C0E4E"/>
    <w:rsid w:val="008C0F98"/>
    <w:rsid w:val="008C10AD"/>
    <w:rsid w:val="008C1494"/>
    <w:rsid w:val="008C1542"/>
    <w:rsid w:val="008C16FD"/>
    <w:rsid w:val="008C19D3"/>
    <w:rsid w:val="008C1B2E"/>
    <w:rsid w:val="008C2002"/>
    <w:rsid w:val="008C219C"/>
    <w:rsid w:val="008C2621"/>
    <w:rsid w:val="008C27BD"/>
    <w:rsid w:val="008C2879"/>
    <w:rsid w:val="008C29ED"/>
    <w:rsid w:val="008C2B7C"/>
    <w:rsid w:val="008C2C92"/>
    <w:rsid w:val="008C30B2"/>
    <w:rsid w:val="008C3398"/>
    <w:rsid w:val="008C33F5"/>
    <w:rsid w:val="008C34C5"/>
    <w:rsid w:val="008C34FA"/>
    <w:rsid w:val="008C3744"/>
    <w:rsid w:val="008C37EE"/>
    <w:rsid w:val="008C3AE5"/>
    <w:rsid w:val="008C3B94"/>
    <w:rsid w:val="008C3C92"/>
    <w:rsid w:val="008C3D25"/>
    <w:rsid w:val="008C3E63"/>
    <w:rsid w:val="008C419F"/>
    <w:rsid w:val="008C4268"/>
    <w:rsid w:val="008C441A"/>
    <w:rsid w:val="008C4704"/>
    <w:rsid w:val="008C49AB"/>
    <w:rsid w:val="008C4A2F"/>
    <w:rsid w:val="008C5526"/>
    <w:rsid w:val="008C5616"/>
    <w:rsid w:val="008C592F"/>
    <w:rsid w:val="008C59F2"/>
    <w:rsid w:val="008C5B98"/>
    <w:rsid w:val="008C5D5D"/>
    <w:rsid w:val="008C5EB6"/>
    <w:rsid w:val="008C5FF9"/>
    <w:rsid w:val="008C60C1"/>
    <w:rsid w:val="008C623B"/>
    <w:rsid w:val="008C62DD"/>
    <w:rsid w:val="008C6694"/>
    <w:rsid w:val="008C6AA3"/>
    <w:rsid w:val="008C6AFC"/>
    <w:rsid w:val="008C6CFE"/>
    <w:rsid w:val="008C6F16"/>
    <w:rsid w:val="008C6FA2"/>
    <w:rsid w:val="008C704F"/>
    <w:rsid w:val="008C726A"/>
    <w:rsid w:val="008C7364"/>
    <w:rsid w:val="008C75F5"/>
    <w:rsid w:val="008C77A9"/>
    <w:rsid w:val="008C7801"/>
    <w:rsid w:val="008C7BC1"/>
    <w:rsid w:val="008C7F40"/>
    <w:rsid w:val="008D05CE"/>
    <w:rsid w:val="008D0623"/>
    <w:rsid w:val="008D07FD"/>
    <w:rsid w:val="008D0886"/>
    <w:rsid w:val="008D099F"/>
    <w:rsid w:val="008D09B9"/>
    <w:rsid w:val="008D0AE4"/>
    <w:rsid w:val="008D0DC1"/>
    <w:rsid w:val="008D1517"/>
    <w:rsid w:val="008D16EA"/>
    <w:rsid w:val="008D18A6"/>
    <w:rsid w:val="008D1BF9"/>
    <w:rsid w:val="008D1C53"/>
    <w:rsid w:val="008D1ED1"/>
    <w:rsid w:val="008D1F76"/>
    <w:rsid w:val="008D22E2"/>
    <w:rsid w:val="008D246E"/>
    <w:rsid w:val="008D2474"/>
    <w:rsid w:val="008D24B1"/>
    <w:rsid w:val="008D24F3"/>
    <w:rsid w:val="008D25C5"/>
    <w:rsid w:val="008D25FC"/>
    <w:rsid w:val="008D27A5"/>
    <w:rsid w:val="008D27E6"/>
    <w:rsid w:val="008D28FC"/>
    <w:rsid w:val="008D2930"/>
    <w:rsid w:val="008D2971"/>
    <w:rsid w:val="008D2B3B"/>
    <w:rsid w:val="008D2C4E"/>
    <w:rsid w:val="008D2C55"/>
    <w:rsid w:val="008D2E10"/>
    <w:rsid w:val="008D2FD9"/>
    <w:rsid w:val="008D2FE4"/>
    <w:rsid w:val="008D323D"/>
    <w:rsid w:val="008D3258"/>
    <w:rsid w:val="008D3424"/>
    <w:rsid w:val="008D366B"/>
    <w:rsid w:val="008D36B7"/>
    <w:rsid w:val="008D3B98"/>
    <w:rsid w:val="008D3C8D"/>
    <w:rsid w:val="008D3CBC"/>
    <w:rsid w:val="008D3D58"/>
    <w:rsid w:val="008D3FD5"/>
    <w:rsid w:val="008D4BDA"/>
    <w:rsid w:val="008D4D52"/>
    <w:rsid w:val="008D4D75"/>
    <w:rsid w:val="008D4D81"/>
    <w:rsid w:val="008D5118"/>
    <w:rsid w:val="008D51EC"/>
    <w:rsid w:val="008D52F9"/>
    <w:rsid w:val="008D533B"/>
    <w:rsid w:val="008D5515"/>
    <w:rsid w:val="008D56B5"/>
    <w:rsid w:val="008D570A"/>
    <w:rsid w:val="008D5B8C"/>
    <w:rsid w:val="008D5C2A"/>
    <w:rsid w:val="008D5C8B"/>
    <w:rsid w:val="008D5DE7"/>
    <w:rsid w:val="008D5E28"/>
    <w:rsid w:val="008D6017"/>
    <w:rsid w:val="008D6121"/>
    <w:rsid w:val="008D6143"/>
    <w:rsid w:val="008D61F2"/>
    <w:rsid w:val="008D63CC"/>
    <w:rsid w:val="008D650A"/>
    <w:rsid w:val="008D6CA2"/>
    <w:rsid w:val="008D6D1C"/>
    <w:rsid w:val="008D77D6"/>
    <w:rsid w:val="008D77F2"/>
    <w:rsid w:val="008D7955"/>
    <w:rsid w:val="008D7AE6"/>
    <w:rsid w:val="008D7FDA"/>
    <w:rsid w:val="008E0054"/>
    <w:rsid w:val="008E03DE"/>
    <w:rsid w:val="008E05AD"/>
    <w:rsid w:val="008E0612"/>
    <w:rsid w:val="008E08A1"/>
    <w:rsid w:val="008E0952"/>
    <w:rsid w:val="008E0972"/>
    <w:rsid w:val="008E0A25"/>
    <w:rsid w:val="008E1320"/>
    <w:rsid w:val="008E18A6"/>
    <w:rsid w:val="008E1E7A"/>
    <w:rsid w:val="008E200B"/>
    <w:rsid w:val="008E2025"/>
    <w:rsid w:val="008E216E"/>
    <w:rsid w:val="008E22F1"/>
    <w:rsid w:val="008E25EC"/>
    <w:rsid w:val="008E2BA1"/>
    <w:rsid w:val="008E2D18"/>
    <w:rsid w:val="008E2D63"/>
    <w:rsid w:val="008E2F6C"/>
    <w:rsid w:val="008E3063"/>
    <w:rsid w:val="008E3323"/>
    <w:rsid w:val="008E33D3"/>
    <w:rsid w:val="008E3779"/>
    <w:rsid w:val="008E3984"/>
    <w:rsid w:val="008E3A20"/>
    <w:rsid w:val="008E3A82"/>
    <w:rsid w:val="008E3DA6"/>
    <w:rsid w:val="008E3DF2"/>
    <w:rsid w:val="008E410C"/>
    <w:rsid w:val="008E4315"/>
    <w:rsid w:val="008E46FA"/>
    <w:rsid w:val="008E4BD2"/>
    <w:rsid w:val="008E4E7F"/>
    <w:rsid w:val="008E5028"/>
    <w:rsid w:val="008E5036"/>
    <w:rsid w:val="008E505A"/>
    <w:rsid w:val="008E554B"/>
    <w:rsid w:val="008E581D"/>
    <w:rsid w:val="008E5CE1"/>
    <w:rsid w:val="008E5D63"/>
    <w:rsid w:val="008E60B0"/>
    <w:rsid w:val="008E6233"/>
    <w:rsid w:val="008E656A"/>
    <w:rsid w:val="008E6A75"/>
    <w:rsid w:val="008E6BC6"/>
    <w:rsid w:val="008E6CA5"/>
    <w:rsid w:val="008E7400"/>
    <w:rsid w:val="008E754D"/>
    <w:rsid w:val="008E7800"/>
    <w:rsid w:val="008E7B0A"/>
    <w:rsid w:val="008E7C0E"/>
    <w:rsid w:val="008E7CA5"/>
    <w:rsid w:val="008E7D37"/>
    <w:rsid w:val="008E7E38"/>
    <w:rsid w:val="008F055B"/>
    <w:rsid w:val="008F08EA"/>
    <w:rsid w:val="008F0CDA"/>
    <w:rsid w:val="008F0D6A"/>
    <w:rsid w:val="008F0DB2"/>
    <w:rsid w:val="008F0DBB"/>
    <w:rsid w:val="008F0E85"/>
    <w:rsid w:val="008F12AF"/>
    <w:rsid w:val="008F1452"/>
    <w:rsid w:val="008F1495"/>
    <w:rsid w:val="008F180A"/>
    <w:rsid w:val="008F1986"/>
    <w:rsid w:val="008F1A54"/>
    <w:rsid w:val="008F1B05"/>
    <w:rsid w:val="008F1C07"/>
    <w:rsid w:val="008F1CB8"/>
    <w:rsid w:val="008F208F"/>
    <w:rsid w:val="008F2272"/>
    <w:rsid w:val="008F22DD"/>
    <w:rsid w:val="008F2399"/>
    <w:rsid w:val="008F23A5"/>
    <w:rsid w:val="008F2476"/>
    <w:rsid w:val="008F26A1"/>
    <w:rsid w:val="008F26D6"/>
    <w:rsid w:val="008F28ED"/>
    <w:rsid w:val="008F292E"/>
    <w:rsid w:val="008F2E5C"/>
    <w:rsid w:val="008F2FAD"/>
    <w:rsid w:val="008F30E2"/>
    <w:rsid w:val="008F3189"/>
    <w:rsid w:val="008F352F"/>
    <w:rsid w:val="008F37C0"/>
    <w:rsid w:val="008F3802"/>
    <w:rsid w:val="008F3A4D"/>
    <w:rsid w:val="008F3EFD"/>
    <w:rsid w:val="008F4028"/>
    <w:rsid w:val="008F45A9"/>
    <w:rsid w:val="008F4735"/>
    <w:rsid w:val="008F4BE8"/>
    <w:rsid w:val="008F502C"/>
    <w:rsid w:val="008F50BA"/>
    <w:rsid w:val="008F513D"/>
    <w:rsid w:val="008F515D"/>
    <w:rsid w:val="008F5743"/>
    <w:rsid w:val="008F58C5"/>
    <w:rsid w:val="008F593E"/>
    <w:rsid w:val="008F596D"/>
    <w:rsid w:val="008F5B53"/>
    <w:rsid w:val="008F5B91"/>
    <w:rsid w:val="008F5CBB"/>
    <w:rsid w:val="008F5DF2"/>
    <w:rsid w:val="008F5E55"/>
    <w:rsid w:val="008F62D1"/>
    <w:rsid w:val="008F645F"/>
    <w:rsid w:val="008F64F0"/>
    <w:rsid w:val="008F65A9"/>
    <w:rsid w:val="008F66AB"/>
    <w:rsid w:val="008F6805"/>
    <w:rsid w:val="008F6950"/>
    <w:rsid w:val="008F6A53"/>
    <w:rsid w:val="008F6A58"/>
    <w:rsid w:val="008F6AA8"/>
    <w:rsid w:val="008F6B57"/>
    <w:rsid w:val="008F6C41"/>
    <w:rsid w:val="008F6DAF"/>
    <w:rsid w:val="008F6E3C"/>
    <w:rsid w:val="008F6EDD"/>
    <w:rsid w:val="008F7004"/>
    <w:rsid w:val="008F70B8"/>
    <w:rsid w:val="008F732B"/>
    <w:rsid w:val="008F7360"/>
    <w:rsid w:val="008F7550"/>
    <w:rsid w:val="008F76DE"/>
    <w:rsid w:val="008F7E6E"/>
    <w:rsid w:val="008F7F0A"/>
    <w:rsid w:val="009001E3"/>
    <w:rsid w:val="0090024B"/>
    <w:rsid w:val="009002A2"/>
    <w:rsid w:val="009002B8"/>
    <w:rsid w:val="00900418"/>
    <w:rsid w:val="009004DB"/>
    <w:rsid w:val="0090077E"/>
    <w:rsid w:val="009009C6"/>
    <w:rsid w:val="00900AF4"/>
    <w:rsid w:val="00900CAA"/>
    <w:rsid w:val="00900FDD"/>
    <w:rsid w:val="00901234"/>
    <w:rsid w:val="009015D6"/>
    <w:rsid w:val="009015FA"/>
    <w:rsid w:val="00901D59"/>
    <w:rsid w:val="00902154"/>
    <w:rsid w:val="009021A1"/>
    <w:rsid w:val="0090247F"/>
    <w:rsid w:val="00902499"/>
    <w:rsid w:val="009025FC"/>
    <w:rsid w:val="0090265E"/>
    <w:rsid w:val="00902756"/>
    <w:rsid w:val="00902A00"/>
    <w:rsid w:val="00902AE6"/>
    <w:rsid w:val="00902BF1"/>
    <w:rsid w:val="00902E85"/>
    <w:rsid w:val="009031C5"/>
    <w:rsid w:val="0090354B"/>
    <w:rsid w:val="00903574"/>
    <w:rsid w:val="00903A1D"/>
    <w:rsid w:val="00903C4E"/>
    <w:rsid w:val="00904397"/>
    <w:rsid w:val="00904500"/>
    <w:rsid w:val="0090469D"/>
    <w:rsid w:val="00904A42"/>
    <w:rsid w:val="00904C2C"/>
    <w:rsid w:val="009050DC"/>
    <w:rsid w:val="00905256"/>
    <w:rsid w:val="0090527E"/>
    <w:rsid w:val="009052C5"/>
    <w:rsid w:val="0090554B"/>
    <w:rsid w:val="009055EA"/>
    <w:rsid w:val="0090580E"/>
    <w:rsid w:val="00905A33"/>
    <w:rsid w:val="00905B15"/>
    <w:rsid w:val="00905C48"/>
    <w:rsid w:val="00905E27"/>
    <w:rsid w:val="00905E43"/>
    <w:rsid w:val="00905EB3"/>
    <w:rsid w:val="009061C0"/>
    <w:rsid w:val="009062EA"/>
    <w:rsid w:val="009063D4"/>
    <w:rsid w:val="0090657B"/>
    <w:rsid w:val="009065FD"/>
    <w:rsid w:val="00906851"/>
    <w:rsid w:val="009068A9"/>
    <w:rsid w:val="00906C9F"/>
    <w:rsid w:val="00906F14"/>
    <w:rsid w:val="00906F1C"/>
    <w:rsid w:val="00907024"/>
    <w:rsid w:val="0090708F"/>
    <w:rsid w:val="00907249"/>
    <w:rsid w:val="00907427"/>
    <w:rsid w:val="0090769E"/>
    <w:rsid w:val="009078B2"/>
    <w:rsid w:val="00907A1D"/>
    <w:rsid w:val="00907AA9"/>
    <w:rsid w:val="00907AD0"/>
    <w:rsid w:val="00907AD4"/>
    <w:rsid w:val="00907B4D"/>
    <w:rsid w:val="00907C5E"/>
    <w:rsid w:val="009101AA"/>
    <w:rsid w:val="009101FE"/>
    <w:rsid w:val="00910322"/>
    <w:rsid w:val="00910475"/>
    <w:rsid w:val="00910568"/>
    <w:rsid w:val="009107D9"/>
    <w:rsid w:val="00910963"/>
    <w:rsid w:val="00910A1F"/>
    <w:rsid w:val="00910AE3"/>
    <w:rsid w:val="009111FC"/>
    <w:rsid w:val="009113D2"/>
    <w:rsid w:val="009113F8"/>
    <w:rsid w:val="009115A9"/>
    <w:rsid w:val="0091160E"/>
    <w:rsid w:val="0091185B"/>
    <w:rsid w:val="00911BE2"/>
    <w:rsid w:val="00911D0A"/>
    <w:rsid w:val="00911E70"/>
    <w:rsid w:val="00912072"/>
    <w:rsid w:val="009123DB"/>
    <w:rsid w:val="009124C9"/>
    <w:rsid w:val="009125B2"/>
    <w:rsid w:val="00912829"/>
    <w:rsid w:val="009128CA"/>
    <w:rsid w:val="00912D42"/>
    <w:rsid w:val="00912F26"/>
    <w:rsid w:val="0091312F"/>
    <w:rsid w:val="0091322F"/>
    <w:rsid w:val="00913285"/>
    <w:rsid w:val="009132AB"/>
    <w:rsid w:val="009133E7"/>
    <w:rsid w:val="00913499"/>
    <w:rsid w:val="009134AC"/>
    <w:rsid w:val="00913560"/>
    <w:rsid w:val="00913797"/>
    <w:rsid w:val="00913D57"/>
    <w:rsid w:val="00913E13"/>
    <w:rsid w:val="0091408C"/>
    <w:rsid w:val="00914317"/>
    <w:rsid w:val="00914482"/>
    <w:rsid w:val="009145D4"/>
    <w:rsid w:val="00914831"/>
    <w:rsid w:val="009148F9"/>
    <w:rsid w:val="00914936"/>
    <w:rsid w:val="00914A33"/>
    <w:rsid w:val="00914B02"/>
    <w:rsid w:val="00914B55"/>
    <w:rsid w:val="00914C03"/>
    <w:rsid w:val="00914C10"/>
    <w:rsid w:val="00915061"/>
    <w:rsid w:val="00915094"/>
    <w:rsid w:val="00915301"/>
    <w:rsid w:val="00915588"/>
    <w:rsid w:val="009157FF"/>
    <w:rsid w:val="009158EF"/>
    <w:rsid w:val="00915A6C"/>
    <w:rsid w:val="00915FA9"/>
    <w:rsid w:val="00916136"/>
    <w:rsid w:val="0091632D"/>
    <w:rsid w:val="00916357"/>
    <w:rsid w:val="00916604"/>
    <w:rsid w:val="0091664C"/>
    <w:rsid w:val="009168B9"/>
    <w:rsid w:val="00916928"/>
    <w:rsid w:val="00916941"/>
    <w:rsid w:val="00916A76"/>
    <w:rsid w:val="0091704E"/>
    <w:rsid w:val="00917223"/>
    <w:rsid w:val="00917436"/>
    <w:rsid w:val="0091764B"/>
    <w:rsid w:val="009176A0"/>
    <w:rsid w:val="00917999"/>
    <w:rsid w:val="009179A3"/>
    <w:rsid w:val="00917A31"/>
    <w:rsid w:val="00917A5D"/>
    <w:rsid w:val="00917B41"/>
    <w:rsid w:val="00917BA1"/>
    <w:rsid w:val="00917D40"/>
    <w:rsid w:val="00917DF5"/>
    <w:rsid w:val="00917F39"/>
    <w:rsid w:val="009195A1"/>
    <w:rsid w:val="00920132"/>
    <w:rsid w:val="0092014D"/>
    <w:rsid w:val="009201AD"/>
    <w:rsid w:val="00920388"/>
    <w:rsid w:val="0092046E"/>
    <w:rsid w:val="0092048C"/>
    <w:rsid w:val="0092078F"/>
    <w:rsid w:val="00920BFB"/>
    <w:rsid w:val="00920D3F"/>
    <w:rsid w:val="00920D66"/>
    <w:rsid w:val="009210C0"/>
    <w:rsid w:val="00921551"/>
    <w:rsid w:val="0092182D"/>
    <w:rsid w:val="00921919"/>
    <w:rsid w:val="0092193C"/>
    <w:rsid w:val="00921C01"/>
    <w:rsid w:val="00921ECA"/>
    <w:rsid w:val="009221C8"/>
    <w:rsid w:val="009222DF"/>
    <w:rsid w:val="00922343"/>
    <w:rsid w:val="00922411"/>
    <w:rsid w:val="0092264E"/>
    <w:rsid w:val="00922A04"/>
    <w:rsid w:val="00922C5A"/>
    <w:rsid w:val="00922F3F"/>
    <w:rsid w:val="009235D1"/>
    <w:rsid w:val="00923603"/>
    <w:rsid w:val="0092367C"/>
    <w:rsid w:val="00923925"/>
    <w:rsid w:val="00923B6E"/>
    <w:rsid w:val="00923BEC"/>
    <w:rsid w:val="00923D34"/>
    <w:rsid w:val="00924234"/>
    <w:rsid w:val="00924698"/>
    <w:rsid w:val="009247E5"/>
    <w:rsid w:val="0092481C"/>
    <w:rsid w:val="00924B84"/>
    <w:rsid w:val="00924C89"/>
    <w:rsid w:val="00925212"/>
    <w:rsid w:val="00925238"/>
    <w:rsid w:val="00925321"/>
    <w:rsid w:val="00925371"/>
    <w:rsid w:val="009253A0"/>
    <w:rsid w:val="00925568"/>
    <w:rsid w:val="00925719"/>
    <w:rsid w:val="0092588D"/>
    <w:rsid w:val="009258F9"/>
    <w:rsid w:val="00925B22"/>
    <w:rsid w:val="00925B7A"/>
    <w:rsid w:val="00925ED4"/>
    <w:rsid w:val="00925F4C"/>
    <w:rsid w:val="00925F6A"/>
    <w:rsid w:val="009263AF"/>
    <w:rsid w:val="0092661C"/>
    <w:rsid w:val="0092684B"/>
    <w:rsid w:val="00926E0D"/>
    <w:rsid w:val="00926F24"/>
    <w:rsid w:val="00926F6B"/>
    <w:rsid w:val="00926FCB"/>
    <w:rsid w:val="009271E8"/>
    <w:rsid w:val="00927445"/>
    <w:rsid w:val="009276A6"/>
    <w:rsid w:val="00927814"/>
    <w:rsid w:val="009278DF"/>
    <w:rsid w:val="00927AB5"/>
    <w:rsid w:val="00927ABF"/>
    <w:rsid w:val="00927CE2"/>
    <w:rsid w:val="00927D53"/>
    <w:rsid w:val="00930033"/>
    <w:rsid w:val="00930203"/>
    <w:rsid w:val="0093024F"/>
    <w:rsid w:val="00930447"/>
    <w:rsid w:val="009306A2"/>
    <w:rsid w:val="0093089C"/>
    <w:rsid w:val="00930928"/>
    <w:rsid w:val="009309B0"/>
    <w:rsid w:val="00930F2F"/>
    <w:rsid w:val="0093105F"/>
    <w:rsid w:val="009310DE"/>
    <w:rsid w:val="00931710"/>
    <w:rsid w:val="00931778"/>
    <w:rsid w:val="009317A7"/>
    <w:rsid w:val="00931DA2"/>
    <w:rsid w:val="00931E33"/>
    <w:rsid w:val="00931ECC"/>
    <w:rsid w:val="00931F7F"/>
    <w:rsid w:val="00932285"/>
    <w:rsid w:val="00932341"/>
    <w:rsid w:val="00932489"/>
    <w:rsid w:val="009326A7"/>
    <w:rsid w:val="00932C8E"/>
    <w:rsid w:val="00932C8F"/>
    <w:rsid w:val="00932E68"/>
    <w:rsid w:val="009331BA"/>
    <w:rsid w:val="0093359B"/>
    <w:rsid w:val="00933602"/>
    <w:rsid w:val="00933764"/>
    <w:rsid w:val="00933A42"/>
    <w:rsid w:val="00933DB4"/>
    <w:rsid w:val="00933E54"/>
    <w:rsid w:val="0093403F"/>
    <w:rsid w:val="009341CE"/>
    <w:rsid w:val="009342ED"/>
    <w:rsid w:val="0093430C"/>
    <w:rsid w:val="009347B5"/>
    <w:rsid w:val="0093485C"/>
    <w:rsid w:val="00934AF1"/>
    <w:rsid w:val="00934B65"/>
    <w:rsid w:val="00934D9B"/>
    <w:rsid w:val="00934DEE"/>
    <w:rsid w:val="00935670"/>
    <w:rsid w:val="009359C7"/>
    <w:rsid w:val="00935B1F"/>
    <w:rsid w:val="00935D67"/>
    <w:rsid w:val="009361C6"/>
    <w:rsid w:val="00936403"/>
    <w:rsid w:val="009366F0"/>
    <w:rsid w:val="00936B48"/>
    <w:rsid w:val="009370A5"/>
    <w:rsid w:val="009370AE"/>
    <w:rsid w:val="00937175"/>
    <w:rsid w:val="00937191"/>
    <w:rsid w:val="00937241"/>
    <w:rsid w:val="0093739B"/>
    <w:rsid w:val="009373B7"/>
    <w:rsid w:val="00937588"/>
    <w:rsid w:val="00937693"/>
    <w:rsid w:val="009377CD"/>
    <w:rsid w:val="009378B3"/>
    <w:rsid w:val="009379A4"/>
    <w:rsid w:val="009379EC"/>
    <w:rsid w:val="00937AA1"/>
    <w:rsid w:val="00937AC6"/>
    <w:rsid w:val="00937AED"/>
    <w:rsid w:val="00937C81"/>
    <w:rsid w:val="00937D75"/>
    <w:rsid w:val="0094009C"/>
    <w:rsid w:val="00940203"/>
    <w:rsid w:val="0094037F"/>
    <w:rsid w:val="009403F1"/>
    <w:rsid w:val="00940416"/>
    <w:rsid w:val="009404BA"/>
    <w:rsid w:val="009407B9"/>
    <w:rsid w:val="00940866"/>
    <w:rsid w:val="00940AF5"/>
    <w:rsid w:val="00940BB4"/>
    <w:rsid w:val="00940C2C"/>
    <w:rsid w:val="00940EA2"/>
    <w:rsid w:val="00941102"/>
    <w:rsid w:val="00941150"/>
    <w:rsid w:val="009411E2"/>
    <w:rsid w:val="009412BF"/>
    <w:rsid w:val="009413F9"/>
    <w:rsid w:val="0094140A"/>
    <w:rsid w:val="009414E2"/>
    <w:rsid w:val="009415C2"/>
    <w:rsid w:val="00941738"/>
    <w:rsid w:val="00941C53"/>
    <w:rsid w:val="00941DA8"/>
    <w:rsid w:val="0094216B"/>
    <w:rsid w:val="00942354"/>
    <w:rsid w:val="0094245E"/>
    <w:rsid w:val="009426C4"/>
    <w:rsid w:val="0094275B"/>
    <w:rsid w:val="009428C8"/>
    <w:rsid w:val="00942A09"/>
    <w:rsid w:val="00942E61"/>
    <w:rsid w:val="00942E89"/>
    <w:rsid w:val="009432AA"/>
    <w:rsid w:val="00943630"/>
    <w:rsid w:val="0094370F"/>
    <w:rsid w:val="00943729"/>
    <w:rsid w:val="0094378E"/>
    <w:rsid w:val="00943795"/>
    <w:rsid w:val="009437DD"/>
    <w:rsid w:val="00943893"/>
    <w:rsid w:val="00943D1F"/>
    <w:rsid w:val="00943E60"/>
    <w:rsid w:val="00943EF8"/>
    <w:rsid w:val="00943F76"/>
    <w:rsid w:val="0094403E"/>
    <w:rsid w:val="00944479"/>
    <w:rsid w:val="00944552"/>
    <w:rsid w:val="009447C5"/>
    <w:rsid w:val="009448F1"/>
    <w:rsid w:val="00944A4B"/>
    <w:rsid w:val="00944A8C"/>
    <w:rsid w:val="00944DCE"/>
    <w:rsid w:val="0094502B"/>
    <w:rsid w:val="00945135"/>
    <w:rsid w:val="00945210"/>
    <w:rsid w:val="009452F8"/>
    <w:rsid w:val="00945708"/>
    <w:rsid w:val="00945820"/>
    <w:rsid w:val="009459E0"/>
    <w:rsid w:val="00945A40"/>
    <w:rsid w:val="00945AEA"/>
    <w:rsid w:val="00945B39"/>
    <w:rsid w:val="00945B9D"/>
    <w:rsid w:val="00945BFB"/>
    <w:rsid w:val="00945C5F"/>
    <w:rsid w:val="00945C79"/>
    <w:rsid w:val="00945E09"/>
    <w:rsid w:val="00945F14"/>
    <w:rsid w:val="00945FBB"/>
    <w:rsid w:val="00946077"/>
    <w:rsid w:val="009460B8"/>
    <w:rsid w:val="00946106"/>
    <w:rsid w:val="009463FD"/>
    <w:rsid w:val="0094642B"/>
    <w:rsid w:val="009465D6"/>
    <w:rsid w:val="00946CE5"/>
    <w:rsid w:val="00946D53"/>
    <w:rsid w:val="00946DCF"/>
    <w:rsid w:val="00946E27"/>
    <w:rsid w:val="00946F6A"/>
    <w:rsid w:val="009470FC"/>
    <w:rsid w:val="009472BD"/>
    <w:rsid w:val="0094731A"/>
    <w:rsid w:val="00947371"/>
    <w:rsid w:val="00947521"/>
    <w:rsid w:val="0094797E"/>
    <w:rsid w:val="009479D2"/>
    <w:rsid w:val="00947D88"/>
    <w:rsid w:val="00947EDA"/>
    <w:rsid w:val="00947F14"/>
    <w:rsid w:val="00950217"/>
    <w:rsid w:val="009505E9"/>
    <w:rsid w:val="009506C4"/>
    <w:rsid w:val="0095076D"/>
    <w:rsid w:val="00950865"/>
    <w:rsid w:val="00950E08"/>
    <w:rsid w:val="00950F4F"/>
    <w:rsid w:val="00950FEA"/>
    <w:rsid w:val="0095142A"/>
    <w:rsid w:val="0095148F"/>
    <w:rsid w:val="00951612"/>
    <w:rsid w:val="00951618"/>
    <w:rsid w:val="00951640"/>
    <w:rsid w:val="00951DB7"/>
    <w:rsid w:val="00951ED8"/>
    <w:rsid w:val="009520B9"/>
    <w:rsid w:val="00952200"/>
    <w:rsid w:val="0095246E"/>
    <w:rsid w:val="0095248C"/>
    <w:rsid w:val="0095251D"/>
    <w:rsid w:val="009525EA"/>
    <w:rsid w:val="00952653"/>
    <w:rsid w:val="00952925"/>
    <w:rsid w:val="009529CF"/>
    <w:rsid w:val="00952B04"/>
    <w:rsid w:val="00952DA6"/>
    <w:rsid w:val="00952EB2"/>
    <w:rsid w:val="00952F0D"/>
    <w:rsid w:val="00952F51"/>
    <w:rsid w:val="0095316A"/>
    <w:rsid w:val="009534FA"/>
    <w:rsid w:val="00953745"/>
    <w:rsid w:val="0095387F"/>
    <w:rsid w:val="00953BDF"/>
    <w:rsid w:val="00953C42"/>
    <w:rsid w:val="00953D9E"/>
    <w:rsid w:val="00954081"/>
    <w:rsid w:val="00954518"/>
    <w:rsid w:val="0095458B"/>
    <w:rsid w:val="0095462C"/>
    <w:rsid w:val="00954688"/>
    <w:rsid w:val="009547B8"/>
    <w:rsid w:val="00954927"/>
    <w:rsid w:val="00954961"/>
    <w:rsid w:val="00954BD1"/>
    <w:rsid w:val="00954CA0"/>
    <w:rsid w:val="009553D1"/>
    <w:rsid w:val="009554AE"/>
    <w:rsid w:val="009555C3"/>
    <w:rsid w:val="0095565B"/>
    <w:rsid w:val="009556D6"/>
    <w:rsid w:val="009557E2"/>
    <w:rsid w:val="00955939"/>
    <w:rsid w:val="00955A7F"/>
    <w:rsid w:val="00955AE4"/>
    <w:rsid w:val="00955C9B"/>
    <w:rsid w:val="00955E85"/>
    <w:rsid w:val="00955F48"/>
    <w:rsid w:val="009562AD"/>
    <w:rsid w:val="0095661C"/>
    <w:rsid w:val="00956730"/>
    <w:rsid w:val="00956828"/>
    <w:rsid w:val="00956C0D"/>
    <w:rsid w:val="00956CBB"/>
    <w:rsid w:val="0095700A"/>
    <w:rsid w:val="00957431"/>
    <w:rsid w:val="009575B0"/>
    <w:rsid w:val="009579AA"/>
    <w:rsid w:val="00957BA5"/>
    <w:rsid w:val="00957D3E"/>
    <w:rsid w:val="009603EC"/>
    <w:rsid w:val="00960B6F"/>
    <w:rsid w:val="00960B75"/>
    <w:rsid w:val="00960EFB"/>
    <w:rsid w:val="00960F8F"/>
    <w:rsid w:val="009615C5"/>
    <w:rsid w:val="009616C6"/>
    <w:rsid w:val="00961776"/>
    <w:rsid w:val="009618A8"/>
    <w:rsid w:val="00961B59"/>
    <w:rsid w:val="00961BAE"/>
    <w:rsid w:val="00961E63"/>
    <w:rsid w:val="00961E9E"/>
    <w:rsid w:val="00961F27"/>
    <w:rsid w:val="009620B8"/>
    <w:rsid w:val="0096215D"/>
    <w:rsid w:val="00962694"/>
    <w:rsid w:val="009627BD"/>
    <w:rsid w:val="00962823"/>
    <w:rsid w:val="0096284B"/>
    <w:rsid w:val="00962ACB"/>
    <w:rsid w:val="00962C7C"/>
    <w:rsid w:val="00962D32"/>
    <w:rsid w:val="00962E23"/>
    <w:rsid w:val="009632C6"/>
    <w:rsid w:val="0096332F"/>
    <w:rsid w:val="00963554"/>
    <w:rsid w:val="00963679"/>
    <w:rsid w:val="00963C67"/>
    <w:rsid w:val="00963D2F"/>
    <w:rsid w:val="00963F74"/>
    <w:rsid w:val="0096414E"/>
    <w:rsid w:val="009641E4"/>
    <w:rsid w:val="009643E1"/>
    <w:rsid w:val="009645CA"/>
    <w:rsid w:val="009647D7"/>
    <w:rsid w:val="009648B6"/>
    <w:rsid w:val="009648EE"/>
    <w:rsid w:val="00964AA3"/>
    <w:rsid w:val="00964B07"/>
    <w:rsid w:val="00964CBD"/>
    <w:rsid w:val="00964E5F"/>
    <w:rsid w:val="00964EF6"/>
    <w:rsid w:val="009650E2"/>
    <w:rsid w:val="0096532E"/>
    <w:rsid w:val="0096541E"/>
    <w:rsid w:val="009658DE"/>
    <w:rsid w:val="009659A3"/>
    <w:rsid w:val="00965A95"/>
    <w:rsid w:val="00965B1D"/>
    <w:rsid w:val="00965C95"/>
    <w:rsid w:val="00965DED"/>
    <w:rsid w:val="009661F5"/>
    <w:rsid w:val="00966262"/>
    <w:rsid w:val="009663B3"/>
    <w:rsid w:val="009664E7"/>
    <w:rsid w:val="009665CD"/>
    <w:rsid w:val="00966603"/>
    <w:rsid w:val="0096662E"/>
    <w:rsid w:val="009667D2"/>
    <w:rsid w:val="00966D71"/>
    <w:rsid w:val="00966D7A"/>
    <w:rsid w:val="00966DA0"/>
    <w:rsid w:val="00966E53"/>
    <w:rsid w:val="0096707A"/>
    <w:rsid w:val="009672F8"/>
    <w:rsid w:val="009675C3"/>
    <w:rsid w:val="009675C9"/>
    <w:rsid w:val="009679BB"/>
    <w:rsid w:val="00967A44"/>
    <w:rsid w:val="00967B3D"/>
    <w:rsid w:val="00967BBE"/>
    <w:rsid w:val="00967F36"/>
    <w:rsid w:val="0097017E"/>
    <w:rsid w:val="00970681"/>
    <w:rsid w:val="009708BD"/>
    <w:rsid w:val="00970A9C"/>
    <w:rsid w:val="00970B6E"/>
    <w:rsid w:val="00970CF1"/>
    <w:rsid w:val="00970E9C"/>
    <w:rsid w:val="00970FDD"/>
    <w:rsid w:val="00971010"/>
    <w:rsid w:val="00971019"/>
    <w:rsid w:val="009716DF"/>
    <w:rsid w:val="0097191B"/>
    <w:rsid w:val="00971A3D"/>
    <w:rsid w:val="00971B0A"/>
    <w:rsid w:val="00971BA8"/>
    <w:rsid w:val="00971C33"/>
    <w:rsid w:val="00971EF4"/>
    <w:rsid w:val="00972080"/>
    <w:rsid w:val="00972535"/>
    <w:rsid w:val="00972575"/>
    <w:rsid w:val="009726D9"/>
    <w:rsid w:val="009726FB"/>
    <w:rsid w:val="00972703"/>
    <w:rsid w:val="00972723"/>
    <w:rsid w:val="00972741"/>
    <w:rsid w:val="00972839"/>
    <w:rsid w:val="00972A85"/>
    <w:rsid w:val="00972AEA"/>
    <w:rsid w:val="00972B4E"/>
    <w:rsid w:val="00972B78"/>
    <w:rsid w:val="00972D6F"/>
    <w:rsid w:val="00972F4D"/>
    <w:rsid w:val="00973059"/>
    <w:rsid w:val="00973191"/>
    <w:rsid w:val="00973474"/>
    <w:rsid w:val="0097347E"/>
    <w:rsid w:val="009734FD"/>
    <w:rsid w:val="00973727"/>
    <w:rsid w:val="00973751"/>
    <w:rsid w:val="00973789"/>
    <w:rsid w:val="00973848"/>
    <w:rsid w:val="009739BD"/>
    <w:rsid w:val="00973ABA"/>
    <w:rsid w:val="00973B01"/>
    <w:rsid w:val="00973CF6"/>
    <w:rsid w:val="00973DE1"/>
    <w:rsid w:val="00973E0A"/>
    <w:rsid w:val="00973E43"/>
    <w:rsid w:val="00973EC4"/>
    <w:rsid w:val="00973F47"/>
    <w:rsid w:val="00973F77"/>
    <w:rsid w:val="00974171"/>
    <w:rsid w:val="00974181"/>
    <w:rsid w:val="0097419F"/>
    <w:rsid w:val="0097420D"/>
    <w:rsid w:val="00974271"/>
    <w:rsid w:val="009743E7"/>
    <w:rsid w:val="009744CE"/>
    <w:rsid w:val="009746A8"/>
    <w:rsid w:val="00974AA4"/>
    <w:rsid w:val="00974BE3"/>
    <w:rsid w:val="00974C00"/>
    <w:rsid w:val="00974C29"/>
    <w:rsid w:val="00974C78"/>
    <w:rsid w:val="0097526D"/>
    <w:rsid w:val="009752A2"/>
    <w:rsid w:val="0097551F"/>
    <w:rsid w:val="00975612"/>
    <w:rsid w:val="009756A8"/>
    <w:rsid w:val="009756E8"/>
    <w:rsid w:val="009756F6"/>
    <w:rsid w:val="00975A1B"/>
    <w:rsid w:val="00975E04"/>
    <w:rsid w:val="00976393"/>
    <w:rsid w:val="009768BC"/>
    <w:rsid w:val="00976A74"/>
    <w:rsid w:val="00976B1C"/>
    <w:rsid w:val="00976B7B"/>
    <w:rsid w:val="00976D5B"/>
    <w:rsid w:val="00976E1E"/>
    <w:rsid w:val="00976E85"/>
    <w:rsid w:val="00977278"/>
    <w:rsid w:val="0097730E"/>
    <w:rsid w:val="0097735F"/>
    <w:rsid w:val="00977597"/>
    <w:rsid w:val="009778E6"/>
    <w:rsid w:val="00977EA2"/>
    <w:rsid w:val="009801E5"/>
    <w:rsid w:val="009801E7"/>
    <w:rsid w:val="0098034F"/>
    <w:rsid w:val="009808FD"/>
    <w:rsid w:val="00980ADE"/>
    <w:rsid w:val="00980E60"/>
    <w:rsid w:val="00981014"/>
    <w:rsid w:val="00981109"/>
    <w:rsid w:val="009811A1"/>
    <w:rsid w:val="009811C6"/>
    <w:rsid w:val="009812D4"/>
    <w:rsid w:val="0098148F"/>
    <w:rsid w:val="0098158D"/>
    <w:rsid w:val="00981596"/>
    <w:rsid w:val="009816B0"/>
    <w:rsid w:val="00981E87"/>
    <w:rsid w:val="00981EE7"/>
    <w:rsid w:val="009822A9"/>
    <w:rsid w:val="00982482"/>
    <w:rsid w:val="009824E1"/>
    <w:rsid w:val="0098256A"/>
    <w:rsid w:val="00982A4B"/>
    <w:rsid w:val="00982A9D"/>
    <w:rsid w:val="00982B60"/>
    <w:rsid w:val="00982D08"/>
    <w:rsid w:val="00983004"/>
    <w:rsid w:val="0098307D"/>
    <w:rsid w:val="00983305"/>
    <w:rsid w:val="00983413"/>
    <w:rsid w:val="00983457"/>
    <w:rsid w:val="00983496"/>
    <w:rsid w:val="0098363A"/>
    <w:rsid w:val="00983742"/>
    <w:rsid w:val="009837ED"/>
    <w:rsid w:val="00983981"/>
    <w:rsid w:val="00983D59"/>
    <w:rsid w:val="00984008"/>
    <w:rsid w:val="00984322"/>
    <w:rsid w:val="00984446"/>
    <w:rsid w:val="009844B7"/>
    <w:rsid w:val="009845A8"/>
    <w:rsid w:val="00984791"/>
    <w:rsid w:val="00984A72"/>
    <w:rsid w:val="00984BC3"/>
    <w:rsid w:val="00984D8D"/>
    <w:rsid w:val="00984F76"/>
    <w:rsid w:val="0098565A"/>
    <w:rsid w:val="0098574F"/>
    <w:rsid w:val="00985B09"/>
    <w:rsid w:val="00985B51"/>
    <w:rsid w:val="00985C0F"/>
    <w:rsid w:val="00985E7C"/>
    <w:rsid w:val="00985EA2"/>
    <w:rsid w:val="009860FF"/>
    <w:rsid w:val="0098613F"/>
    <w:rsid w:val="00986156"/>
    <w:rsid w:val="00986226"/>
    <w:rsid w:val="0098633F"/>
    <w:rsid w:val="0098645A"/>
    <w:rsid w:val="00986518"/>
    <w:rsid w:val="009867AB"/>
    <w:rsid w:val="00986B6A"/>
    <w:rsid w:val="00986DA5"/>
    <w:rsid w:val="0098707C"/>
    <w:rsid w:val="009870A4"/>
    <w:rsid w:val="009870A8"/>
    <w:rsid w:val="00987278"/>
    <w:rsid w:val="0098729C"/>
    <w:rsid w:val="00987577"/>
    <w:rsid w:val="00987896"/>
    <w:rsid w:val="0098790E"/>
    <w:rsid w:val="009879E8"/>
    <w:rsid w:val="00987AEF"/>
    <w:rsid w:val="00987B16"/>
    <w:rsid w:val="00987E85"/>
    <w:rsid w:val="00990318"/>
    <w:rsid w:val="0099045C"/>
    <w:rsid w:val="009905E2"/>
    <w:rsid w:val="009906B5"/>
    <w:rsid w:val="00990741"/>
    <w:rsid w:val="00990819"/>
    <w:rsid w:val="00990D06"/>
    <w:rsid w:val="00990DA7"/>
    <w:rsid w:val="00990F1B"/>
    <w:rsid w:val="00990F30"/>
    <w:rsid w:val="00991199"/>
    <w:rsid w:val="009911AA"/>
    <w:rsid w:val="0099149B"/>
    <w:rsid w:val="009915E6"/>
    <w:rsid w:val="00991614"/>
    <w:rsid w:val="00991759"/>
    <w:rsid w:val="00991899"/>
    <w:rsid w:val="0099196B"/>
    <w:rsid w:val="00992015"/>
    <w:rsid w:val="0099205C"/>
    <w:rsid w:val="00992078"/>
    <w:rsid w:val="009920FD"/>
    <w:rsid w:val="00992254"/>
    <w:rsid w:val="009922CB"/>
    <w:rsid w:val="009925CE"/>
    <w:rsid w:val="00992757"/>
    <w:rsid w:val="00992ACB"/>
    <w:rsid w:val="00992ACF"/>
    <w:rsid w:val="00992B7F"/>
    <w:rsid w:val="00992CF8"/>
    <w:rsid w:val="00992F4B"/>
    <w:rsid w:val="00992FB1"/>
    <w:rsid w:val="00992FDA"/>
    <w:rsid w:val="00993229"/>
    <w:rsid w:val="009932B6"/>
    <w:rsid w:val="009936DB"/>
    <w:rsid w:val="0099376A"/>
    <w:rsid w:val="00993B10"/>
    <w:rsid w:val="00993BCB"/>
    <w:rsid w:val="00993BE2"/>
    <w:rsid w:val="00993F8E"/>
    <w:rsid w:val="009940A1"/>
    <w:rsid w:val="0099410F"/>
    <w:rsid w:val="0099429B"/>
    <w:rsid w:val="009942BB"/>
    <w:rsid w:val="0099443D"/>
    <w:rsid w:val="00994471"/>
    <w:rsid w:val="009944D4"/>
    <w:rsid w:val="009945A3"/>
    <w:rsid w:val="009945D2"/>
    <w:rsid w:val="009946E7"/>
    <w:rsid w:val="009949C7"/>
    <w:rsid w:val="00994A25"/>
    <w:rsid w:val="00994A41"/>
    <w:rsid w:val="00994BA4"/>
    <w:rsid w:val="00994CCD"/>
    <w:rsid w:val="00994CFC"/>
    <w:rsid w:val="00994FE2"/>
    <w:rsid w:val="009954F4"/>
    <w:rsid w:val="0099559F"/>
    <w:rsid w:val="00995665"/>
    <w:rsid w:val="00995687"/>
    <w:rsid w:val="00995715"/>
    <w:rsid w:val="00995839"/>
    <w:rsid w:val="00995B4D"/>
    <w:rsid w:val="00995BCF"/>
    <w:rsid w:val="00995CC4"/>
    <w:rsid w:val="00995D21"/>
    <w:rsid w:val="00995D9C"/>
    <w:rsid w:val="00995F67"/>
    <w:rsid w:val="00996066"/>
    <w:rsid w:val="00996132"/>
    <w:rsid w:val="009964DB"/>
    <w:rsid w:val="00996718"/>
    <w:rsid w:val="00996870"/>
    <w:rsid w:val="00996D22"/>
    <w:rsid w:val="00996EA8"/>
    <w:rsid w:val="00996ED3"/>
    <w:rsid w:val="00996EF5"/>
    <w:rsid w:val="009971F5"/>
    <w:rsid w:val="009977E2"/>
    <w:rsid w:val="00997829"/>
    <w:rsid w:val="00997C7C"/>
    <w:rsid w:val="00997CC9"/>
    <w:rsid w:val="00997EB8"/>
    <w:rsid w:val="009A0161"/>
    <w:rsid w:val="009A0223"/>
    <w:rsid w:val="009A026B"/>
    <w:rsid w:val="009A03FA"/>
    <w:rsid w:val="009A0B93"/>
    <w:rsid w:val="009A0C6A"/>
    <w:rsid w:val="009A0D4A"/>
    <w:rsid w:val="009A0F8A"/>
    <w:rsid w:val="009A1190"/>
    <w:rsid w:val="009A11DB"/>
    <w:rsid w:val="009A1256"/>
    <w:rsid w:val="009A14FB"/>
    <w:rsid w:val="009A17B2"/>
    <w:rsid w:val="009A19B3"/>
    <w:rsid w:val="009A1C87"/>
    <w:rsid w:val="009A1F90"/>
    <w:rsid w:val="009A1FFF"/>
    <w:rsid w:val="009A2075"/>
    <w:rsid w:val="009A2081"/>
    <w:rsid w:val="009A209A"/>
    <w:rsid w:val="009A24A4"/>
    <w:rsid w:val="009A26F4"/>
    <w:rsid w:val="009A27FC"/>
    <w:rsid w:val="009A280F"/>
    <w:rsid w:val="009A285F"/>
    <w:rsid w:val="009A2B04"/>
    <w:rsid w:val="009A2BB9"/>
    <w:rsid w:val="009A2EFE"/>
    <w:rsid w:val="009A309C"/>
    <w:rsid w:val="009A320E"/>
    <w:rsid w:val="009A327E"/>
    <w:rsid w:val="009A3351"/>
    <w:rsid w:val="009A359A"/>
    <w:rsid w:val="009A36BF"/>
    <w:rsid w:val="009A3802"/>
    <w:rsid w:val="009A3925"/>
    <w:rsid w:val="009A3D99"/>
    <w:rsid w:val="009A3DFE"/>
    <w:rsid w:val="009A41E6"/>
    <w:rsid w:val="009A4320"/>
    <w:rsid w:val="009A4486"/>
    <w:rsid w:val="009A4892"/>
    <w:rsid w:val="009A4C1E"/>
    <w:rsid w:val="009A4C6B"/>
    <w:rsid w:val="009A4DFE"/>
    <w:rsid w:val="009A5015"/>
    <w:rsid w:val="009A5103"/>
    <w:rsid w:val="009A52F6"/>
    <w:rsid w:val="009A5366"/>
    <w:rsid w:val="009A5543"/>
    <w:rsid w:val="009A569C"/>
    <w:rsid w:val="009A56A4"/>
    <w:rsid w:val="009A5875"/>
    <w:rsid w:val="009A59AF"/>
    <w:rsid w:val="009A59C7"/>
    <w:rsid w:val="009A5FC5"/>
    <w:rsid w:val="009A5FDC"/>
    <w:rsid w:val="009A6042"/>
    <w:rsid w:val="009A6245"/>
    <w:rsid w:val="009A64DC"/>
    <w:rsid w:val="009A66F2"/>
    <w:rsid w:val="009A6794"/>
    <w:rsid w:val="009A6882"/>
    <w:rsid w:val="009A6959"/>
    <w:rsid w:val="009A6D52"/>
    <w:rsid w:val="009A6F95"/>
    <w:rsid w:val="009A70B9"/>
    <w:rsid w:val="009A71F2"/>
    <w:rsid w:val="009A7301"/>
    <w:rsid w:val="009A73ED"/>
    <w:rsid w:val="009A7410"/>
    <w:rsid w:val="009A74F5"/>
    <w:rsid w:val="009A76BD"/>
    <w:rsid w:val="009A7886"/>
    <w:rsid w:val="009A7AFE"/>
    <w:rsid w:val="009A7DB8"/>
    <w:rsid w:val="009A7DD8"/>
    <w:rsid w:val="009B0121"/>
    <w:rsid w:val="009B022B"/>
    <w:rsid w:val="009B0376"/>
    <w:rsid w:val="009B06C5"/>
    <w:rsid w:val="009B0ACE"/>
    <w:rsid w:val="009B0C18"/>
    <w:rsid w:val="009B0C48"/>
    <w:rsid w:val="009B0CBD"/>
    <w:rsid w:val="009B1199"/>
    <w:rsid w:val="009B13E9"/>
    <w:rsid w:val="009B14F1"/>
    <w:rsid w:val="009B18DB"/>
    <w:rsid w:val="009B1A47"/>
    <w:rsid w:val="009B1B39"/>
    <w:rsid w:val="009B1EB0"/>
    <w:rsid w:val="009B2169"/>
    <w:rsid w:val="009B2349"/>
    <w:rsid w:val="009B23D9"/>
    <w:rsid w:val="009B2650"/>
    <w:rsid w:val="009B318B"/>
    <w:rsid w:val="009B31F9"/>
    <w:rsid w:val="009B362B"/>
    <w:rsid w:val="009B3A46"/>
    <w:rsid w:val="009B3B8E"/>
    <w:rsid w:val="009B3C35"/>
    <w:rsid w:val="009B3E98"/>
    <w:rsid w:val="009B3FD0"/>
    <w:rsid w:val="009B419C"/>
    <w:rsid w:val="009B42FF"/>
    <w:rsid w:val="009B456A"/>
    <w:rsid w:val="009B4673"/>
    <w:rsid w:val="009B4849"/>
    <w:rsid w:val="009B4B07"/>
    <w:rsid w:val="009B4B43"/>
    <w:rsid w:val="009B4BFB"/>
    <w:rsid w:val="009B4C97"/>
    <w:rsid w:val="009B4E69"/>
    <w:rsid w:val="009B50E1"/>
    <w:rsid w:val="009B5290"/>
    <w:rsid w:val="009B56D4"/>
    <w:rsid w:val="009B5718"/>
    <w:rsid w:val="009B58BF"/>
    <w:rsid w:val="009B5A19"/>
    <w:rsid w:val="009B5BAB"/>
    <w:rsid w:val="009B5DB8"/>
    <w:rsid w:val="009B5DE2"/>
    <w:rsid w:val="009B5F2B"/>
    <w:rsid w:val="009B5F3B"/>
    <w:rsid w:val="009B60B4"/>
    <w:rsid w:val="009B6180"/>
    <w:rsid w:val="009B62CE"/>
    <w:rsid w:val="009B6300"/>
    <w:rsid w:val="009B6639"/>
    <w:rsid w:val="009B666C"/>
    <w:rsid w:val="009B66F5"/>
    <w:rsid w:val="009B6983"/>
    <w:rsid w:val="009B69CF"/>
    <w:rsid w:val="009B6A24"/>
    <w:rsid w:val="009B6AF8"/>
    <w:rsid w:val="009B6B18"/>
    <w:rsid w:val="009B6D21"/>
    <w:rsid w:val="009B72F5"/>
    <w:rsid w:val="009B7770"/>
    <w:rsid w:val="009B77E4"/>
    <w:rsid w:val="009B792A"/>
    <w:rsid w:val="009B79AC"/>
    <w:rsid w:val="009B7B46"/>
    <w:rsid w:val="009B7D3A"/>
    <w:rsid w:val="009B7E6C"/>
    <w:rsid w:val="009C0102"/>
    <w:rsid w:val="009C01DF"/>
    <w:rsid w:val="009C03EA"/>
    <w:rsid w:val="009C0489"/>
    <w:rsid w:val="009C0610"/>
    <w:rsid w:val="009C0820"/>
    <w:rsid w:val="009C0BAB"/>
    <w:rsid w:val="009C0D2B"/>
    <w:rsid w:val="009C1191"/>
    <w:rsid w:val="009C140C"/>
    <w:rsid w:val="009C16DD"/>
    <w:rsid w:val="009C19A1"/>
    <w:rsid w:val="009C1B5D"/>
    <w:rsid w:val="009C1C2C"/>
    <w:rsid w:val="009C1C39"/>
    <w:rsid w:val="009C1D06"/>
    <w:rsid w:val="009C1E9D"/>
    <w:rsid w:val="009C1EF5"/>
    <w:rsid w:val="009C20F9"/>
    <w:rsid w:val="009C2116"/>
    <w:rsid w:val="009C22B0"/>
    <w:rsid w:val="009C24AE"/>
    <w:rsid w:val="009C25A9"/>
    <w:rsid w:val="009C26F0"/>
    <w:rsid w:val="009C29AB"/>
    <w:rsid w:val="009C2A62"/>
    <w:rsid w:val="009C2C21"/>
    <w:rsid w:val="009C2C71"/>
    <w:rsid w:val="009C2E06"/>
    <w:rsid w:val="009C2FF3"/>
    <w:rsid w:val="009C3339"/>
    <w:rsid w:val="009C339C"/>
    <w:rsid w:val="009C37B3"/>
    <w:rsid w:val="009C3B69"/>
    <w:rsid w:val="009C41FA"/>
    <w:rsid w:val="009C43E2"/>
    <w:rsid w:val="009C4497"/>
    <w:rsid w:val="009C4565"/>
    <w:rsid w:val="009C46B8"/>
    <w:rsid w:val="009C475B"/>
    <w:rsid w:val="009C47B6"/>
    <w:rsid w:val="009C4B13"/>
    <w:rsid w:val="009C4EF0"/>
    <w:rsid w:val="009C4F17"/>
    <w:rsid w:val="009C4F75"/>
    <w:rsid w:val="009C5046"/>
    <w:rsid w:val="009C5330"/>
    <w:rsid w:val="009C5599"/>
    <w:rsid w:val="009C5754"/>
    <w:rsid w:val="009C5873"/>
    <w:rsid w:val="009C5AB8"/>
    <w:rsid w:val="009C5AC2"/>
    <w:rsid w:val="009C5AEF"/>
    <w:rsid w:val="009C5E3E"/>
    <w:rsid w:val="009C5E6F"/>
    <w:rsid w:val="009C5F29"/>
    <w:rsid w:val="009C6044"/>
    <w:rsid w:val="009C66A5"/>
    <w:rsid w:val="009C6AF0"/>
    <w:rsid w:val="009C6CED"/>
    <w:rsid w:val="009C6E92"/>
    <w:rsid w:val="009C6F38"/>
    <w:rsid w:val="009C6F72"/>
    <w:rsid w:val="009C6FFB"/>
    <w:rsid w:val="009C7205"/>
    <w:rsid w:val="009C7286"/>
    <w:rsid w:val="009C78B7"/>
    <w:rsid w:val="009C7BE5"/>
    <w:rsid w:val="009C7F21"/>
    <w:rsid w:val="009D0118"/>
    <w:rsid w:val="009D0207"/>
    <w:rsid w:val="009D065E"/>
    <w:rsid w:val="009D0B60"/>
    <w:rsid w:val="009D0D89"/>
    <w:rsid w:val="009D0E9A"/>
    <w:rsid w:val="009D0E9D"/>
    <w:rsid w:val="009D0F8C"/>
    <w:rsid w:val="009D1082"/>
    <w:rsid w:val="009D123F"/>
    <w:rsid w:val="009D127A"/>
    <w:rsid w:val="009D1545"/>
    <w:rsid w:val="009D1646"/>
    <w:rsid w:val="009D1CEB"/>
    <w:rsid w:val="009D1EA7"/>
    <w:rsid w:val="009D1FDF"/>
    <w:rsid w:val="009D216D"/>
    <w:rsid w:val="009D217B"/>
    <w:rsid w:val="009D21A9"/>
    <w:rsid w:val="009D23F6"/>
    <w:rsid w:val="009D24E7"/>
    <w:rsid w:val="009D28BA"/>
    <w:rsid w:val="009D29BC"/>
    <w:rsid w:val="009D2B69"/>
    <w:rsid w:val="009D2B95"/>
    <w:rsid w:val="009D2C1F"/>
    <w:rsid w:val="009D2C96"/>
    <w:rsid w:val="009D3077"/>
    <w:rsid w:val="009D30E7"/>
    <w:rsid w:val="009D31E8"/>
    <w:rsid w:val="009D3476"/>
    <w:rsid w:val="009D3501"/>
    <w:rsid w:val="009D37FF"/>
    <w:rsid w:val="009D380B"/>
    <w:rsid w:val="009D38E9"/>
    <w:rsid w:val="009D39DD"/>
    <w:rsid w:val="009D3A8D"/>
    <w:rsid w:val="009D3C3C"/>
    <w:rsid w:val="009D3D3F"/>
    <w:rsid w:val="009D3DB8"/>
    <w:rsid w:val="009D3F21"/>
    <w:rsid w:val="009D3FE2"/>
    <w:rsid w:val="009D4181"/>
    <w:rsid w:val="009D42F3"/>
    <w:rsid w:val="009D43E4"/>
    <w:rsid w:val="009D471B"/>
    <w:rsid w:val="009D47E6"/>
    <w:rsid w:val="009D4928"/>
    <w:rsid w:val="009D49C5"/>
    <w:rsid w:val="009D4F60"/>
    <w:rsid w:val="009D4FA9"/>
    <w:rsid w:val="009D501B"/>
    <w:rsid w:val="009D50D0"/>
    <w:rsid w:val="009D5377"/>
    <w:rsid w:val="009D542C"/>
    <w:rsid w:val="009D566B"/>
    <w:rsid w:val="009D576D"/>
    <w:rsid w:val="009D5948"/>
    <w:rsid w:val="009D594C"/>
    <w:rsid w:val="009D596B"/>
    <w:rsid w:val="009D5B84"/>
    <w:rsid w:val="009D61C1"/>
    <w:rsid w:val="009D6327"/>
    <w:rsid w:val="009D6371"/>
    <w:rsid w:val="009D6477"/>
    <w:rsid w:val="009D6483"/>
    <w:rsid w:val="009D64F5"/>
    <w:rsid w:val="009D65BB"/>
    <w:rsid w:val="009D666B"/>
    <w:rsid w:val="009D669F"/>
    <w:rsid w:val="009D67A8"/>
    <w:rsid w:val="009D6922"/>
    <w:rsid w:val="009D6F46"/>
    <w:rsid w:val="009D73BA"/>
    <w:rsid w:val="009D75C2"/>
    <w:rsid w:val="009D78D0"/>
    <w:rsid w:val="009D79C4"/>
    <w:rsid w:val="009D79DC"/>
    <w:rsid w:val="009E0107"/>
    <w:rsid w:val="009E0143"/>
    <w:rsid w:val="009E0804"/>
    <w:rsid w:val="009E0813"/>
    <w:rsid w:val="009E0BC7"/>
    <w:rsid w:val="009E0D59"/>
    <w:rsid w:val="009E0E80"/>
    <w:rsid w:val="009E0F6A"/>
    <w:rsid w:val="009E1025"/>
    <w:rsid w:val="009E1029"/>
    <w:rsid w:val="009E1105"/>
    <w:rsid w:val="009E1301"/>
    <w:rsid w:val="009E1409"/>
    <w:rsid w:val="009E15B1"/>
    <w:rsid w:val="009E171A"/>
    <w:rsid w:val="009E190E"/>
    <w:rsid w:val="009E1933"/>
    <w:rsid w:val="009E1C13"/>
    <w:rsid w:val="009E1D9A"/>
    <w:rsid w:val="009E1E7A"/>
    <w:rsid w:val="009E1F07"/>
    <w:rsid w:val="009E23CD"/>
    <w:rsid w:val="009E2964"/>
    <w:rsid w:val="009E2B61"/>
    <w:rsid w:val="009E2D56"/>
    <w:rsid w:val="009E31F4"/>
    <w:rsid w:val="009E347C"/>
    <w:rsid w:val="009E35F3"/>
    <w:rsid w:val="009E37D0"/>
    <w:rsid w:val="009E385F"/>
    <w:rsid w:val="009E3D19"/>
    <w:rsid w:val="009E3D33"/>
    <w:rsid w:val="009E3E06"/>
    <w:rsid w:val="009E3EED"/>
    <w:rsid w:val="009E43EB"/>
    <w:rsid w:val="009E43F7"/>
    <w:rsid w:val="009E4581"/>
    <w:rsid w:val="009E49B7"/>
    <w:rsid w:val="009E4EA9"/>
    <w:rsid w:val="009E4F8E"/>
    <w:rsid w:val="009E50EE"/>
    <w:rsid w:val="009E52E6"/>
    <w:rsid w:val="009E53AA"/>
    <w:rsid w:val="009E53B6"/>
    <w:rsid w:val="009E5484"/>
    <w:rsid w:val="009E5503"/>
    <w:rsid w:val="009E5A8A"/>
    <w:rsid w:val="009E5B76"/>
    <w:rsid w:val="009E5CE8"/>
    <w:rsid w:val="009E5CFF"/>
    <w:rsid w:val="009E5F89"/>
    <w:rsid w:val="009E6105"/>
    <w:rsid w:val="009E627B"/>
    <w:rsid w:val="009E6313"/>
    <w:rsid w:val="009E6317"/>
    <w:rsid w:val="009E635E"/>
    <w:rsid w:val="009E63E2"/>
    <w:rsid w:val="009E652E"/>
    <w:rsid w:val="009E6862"/>
    <w:rsid w:val="009E695E"/>
    <w:rsid w:val="009E6CDA"/>
    <w:rsid w:val="009E6D58"/>
    <w:rsid w:val="009E6E5F"/>
    <w:rsid w:val="009E6F88"/>
    <w:rsid w:val="009E730C"/>
    <w:rsid w:val="009E7467"/>
    <w:rsid w:val="009E74AC"/>
    <w:rsid w:val="009E75EF"/>
    <w:rsid w:val="009E7670"/>
    <w:rsid w:val="009E7A60"/>
    <w:rsid w:val="009E7AAD"/>
    <w:rsid w:val="009E7C97"/>
    <w:rsid w:val="009E7DE5"/>
    <w:rsid w:val="009F033E"/>
    <w:rsid w:val="009F050E"/>
    <w:rsid w:val="009F05F4"/>
    <w:rsid w:val="009F0643"/>
    <w:rsid w:val="009F06FF"/>
    <w:rsid w:val="009F0728"/>
    <w:rsid w:val="009F0B18"/>
    <w:rsid w:val="009F0F52"/>
    <w:rsid w:val="009F0F55"/>
    <w:rsid w:val="009F105F"/>
    <w:rsid w:val="009F1455"/>
    <w:rsid w:val="009F16B3"/>
    <w:rsid w:val="009F17CE"/>
    <w:rsid w:val="009F195D"/>
    <w:rsid w:val="009F2161"/>
    <w:rsid w:val="009F2576"/>
    <w:rsid w:val="009F25D6"/>
    <w:rsid w:val="009F26CA"/>
    <w:rsid w:val="009F2705"/>
    <w:rsid w:val="009F2D50"/>
    <w:rsid w:val="009F30B4"/>
    <w:rsid w:val="009F30C2"/>
    <w:rsid w:val="009F319F"/>
    <w:rsid w:val="009F33B4"/>
    <w:rsid w:val="009F3483"/>
    <w:rsid w:val="009F360F"/>
    <w:rsid w:val="009F3783"/>
    <w:rsid w:val="009F38EB"/>
    <w:rsid w:val="009F38F0"/>
    <w:rsid w:val="009F40ED"/>
    <w:rsid w:val="009F412F"/>
    <w:rsid w:val="009F42B8"/>
    <w:rsid w:val="009F43CB"/>
    <w:rsid w:val="009F44F0"/>
    <w:rsid w:val="009F47B8"/>
    <w:rsid w:val="009F47CF"/>
    <w:rsid w:val="009F4DB7"/>
    <w:rsid w:val="009F4EAF"/>
    <w:rsid w:val="009F4EDA"/>
    <w:rsid w:val="009F4EF8"/>
    <w:rsid w:val="009F5693"/>
    <w:rsid w:val="009F570E"/>
    <w:rsid w:val="009F5737"/>
    <w:rsid w:val="009F57C0"/>
    <w:rsid w:val="009F59B2"/>
    <w:rsid w:val="009F5A50"/>
    <w:rsid w:val="009F5BB8"/>
    <w:rsid w:val="009F5C84"/>
    <w:rsid w:val="009F5D1A"/>
    <w:rsid w:val="009F5E23"/>
    <w:rsid w:val="009F60A1"/>
    <w:rsid w:val="009F616D"/>
    <w:rsid w:val="009F68DE"/>
    <w:rsid w:val="009F69FF"/>
    <w:rsid w:val="009F6BCA"/>
    <w:rsid w:val="009F6EE6"/>
    <w:rsid w:val="009F6F55"/>
    <w:rsid w:val="009F70D6"/>
    <w:rsid w:val="009F74A7"/>
    <w:rsid w:val="009F7750"/>
    <w:rsid w:val="009F7860"/>
    <w:rsid w:val="009F789B"/>
    <w:rsid w:val="009F7AD0"/>
    <w:rsid w:val="009F7C4A"/>
    <w:rsid w:val="009F7D72"/>
    <w:rsid w:val="009F7E91"/>
    <w:rsid w:val="009F7F5E"/>
    <w:rsid w:val="009F7F7D"/>
    <w:rsid w:val="00A0003A"/>
    <w:rsid w:val="00A00041"/>
    <w:rsid w:val="00A000AC"/>
    <w:rsid w:val="00A00353"/>
    <w:rsid w:val="00A00459"/>
    <w:rsid w:val="00A006A9"/>
    <w:rsid w:val="00A009B2"/>
    <w:rsid w:val="00A00C32"/>
    <w:rsid w:val="00A00C6E"/>
    <w:rsid w:val="00A01181"/>
    <w:rsid w:val="00A01274"/>
    <w:rsid w:val="00A01307"/>
    <w:rsid w:val="00A013BA"/>
    <w:rsid w:val="00A013F4"/>
    <w:rsid w:val="00A01549"/>
    <w:rsid w:val="00A016D7"/>
    <w:rsid w:val="00A01805"/>
    <w:rsid w:val="00A01842"/>
    <w:rsid w:val="00A018EA"/>
    <w:rsid w:val="00A01AAD"/>
    <w:rsid w:val="00A01B46"/>
    <w:rsid w:val="00A01D41"/>
    <w:rsid w:val="00A02166"/>
    <w:rsid w:val="00A0220D"/>
    <w:rsid w:val="00A02648"/>
    <w:rsid w:val="00A029DA"/>
    <w:rsid w:val="00A02B07"/>
    <w:rsid w:val="00A02BBA"/>
    <w:rsid w:val="00A02F80"/>
    <w:rsid w:val="00A03320"/>
    <w:rsid w:val="00A034A0"/>
    <w:rsid w:val="00A0357F"/>
    <w:rsid w:val="00A03625"/>
    <w:rsid w:val="00A03F11"/>
    <w:rsid w:val="00A03F26"/>
    <w:rsid w:val="00A04229"/>
    <w:rsid w:val="00A04255"/>
    <w:rsid w:val="00A049F8"/>
    <w:rsid w:val="00A04B0B"/>
    <w:rsid w:val="00A05028"/>
    <w:rsid w:val="00A0510A"/>
    <w:rsid w:val="00A051E3"/>
    <w:rsid w:val="00A05309"/>
    <w:rsid w:val="00A05414"/>
    <w:rsid w:val="00A056E8"/>
    <w:rsid w:val="00A056F4"/>
    <w:rsid w:val="00A05BA4"/>
    <w:rsid w:val="00A05C71"/>
    <w:rsid w:val="00A05C89"/>
    <w:rsid w:val="00A05CD8"/>
    <w:rsid w:val="00A05F3C"/>
    <w:rsid w:val="00A060A4"/>
    <w:rsid w:val="00A06168"/>
    <w:rsid w:val="00A061F9"/>
    <w:rsid w:val="00A064FA"/>
    <w:rsid w:val="00A065D5"/>
    <w:rsid w:val="00A06701"/>
    <w:rsid w:val="00A06788"/>
    <w:rsid w:val="00A06B52"/>
    <w:rsid w:val="00A06C25"/>
    <w:rsid w:val="00A06C40"/>
    <w:rsid w:val="00A06DAF"/>
    <w:rsid w:val="00A07237"/>
    <w:rsid w:val="00A07634"/>
    <w:rsid w:val="00A07B71"/>
    <w:rsid w:val="00A07DD0"/>
    <w:rsid w:val="00A07F0E"/>
    <w:rsid w:val="00A07FAB"/>
    <w:rsid w:val="00A07FE2"/>
    <w:rsid w:val="00A100F0"/>
    <w:rsid w:val="00A101C7"/>
    <w:rsid w:val="00A1024C"/>
    <w:rsid w:val="00A10276"/>
    <w:rsid w:val="00A102F8"/>
    <w:rsid w:val="00A1042D"/>
    <w:rsid w:val="00A108CD"/>
    <w:rsid w:val="00A1095A"/>
    <w:rsid w:val="00A109A4"/>
    <w:rsid w:val="00A10EAC"/>
    <w:rsid w:val="00A10F4A"/>
    <w:rsid w:val="00A11267"/>
    <w:rsid w:val="00A112BF"/>
    <w:rsid w:val="00A11452"/>
    <w:rsid w:val="00A11947"/>
    <w:rsid w:val="00A11B41"/>
    <w:rsid w:val="00A11CBB"/>
    <w:rsid w:val="00A11D68"/>
    <w:rsid w:val="00A120C9"/>
    <w:rsid w:val="00A1232E"/>
    <w:rsid w:val="00A123B8"/>
    <w:rsid w:val="00A12508"/>
    <w:rsid w:val="00A1261C"/>
    <w:rsid w:val="00A12638"/>
    <w:rsid w:val="00A126B9"/>
    <w:rsid w:val="00A1270D"/>
    <w:rsid w:val="00A12866"/>
    <w:rsid w:val="00A12C39"/>
    <w:rsid w:val="00A13266"/>
    <w:rsid w:val="00A13407"/>
    <w:rsid w:val="00A13471"/>
    <w:rsid w:val="00A13498"/>
    <w:rsid w:val="00A13578"/>
    <w:rsid w:val="00A137E8"/>
    <w:rsid w:val="00A139B6"/>
    <w:rsid w:val="00A13AA4"/>
    <w:rsid w:val="00A13BE6"/>
    <w:rsid w:val="00A13C37"/>
    <w:rsid w:val="00A14154"/>
    <w:rsid w:val="00A14295"/>
    <w:rsid w:val="00A145AC"/>
    <w:rsid w:val="00A1462D"/>
    <w:rsid w:val="00A14744"/>
    <w:rsid w:val="00A148D4"/>
    <w:rsid w:val="00A14F3F"/>
    <w:rsid w:val="00A14F64"/>
    <w:rsid w:val="00A154D3"/>
    <w:rsid w:val="00A15814"/>
    <w:rsid w:val="00A15B0C"/>
    <w:rsid w:val="00A15B33"/>
    <w:rsid w:val="00A15BAD"/>
    <w:rsid w:val="00A15C90"/>
    <w:rsid w:val="00A15DEE"/>
    <w:rsid w:val="00A15DF4"/>
    <w:rsid w:val="00A15E06"/>
    <w:rsid w:val="00A15F2A"/>
    <w:rsid w:val="00A16052"/>
    <w:rsid w:val="00A1608A"/>
    <w:rsid w:val="00A160BC"/>
    <w:rsid w:val="00A160D8"/>
    <w:rsid w:val="00A1647D"/>
    <w:rsid w:val="00A16BCB"/>
    <w:rsid w:val="00A16BDC"/>
    <w:rsid w:val="00A1713D"/>
    <w:rsid w:val="00A171C9"/>
    <w:rsid w:val="00A171D9"/>
    <w:rsid w:val="00A173D4"/>
    <w:rsid w:val="00A174B7"/>
    <w:rsid w:val="00A1755C"/>
    <w:rsid w:val="00A17645"/>
    <w:rsid w:val="00A20027"/>
    <w:rsid w:val="00A2014B"/>
    <w:rsid w:val="00A2020C"/>
    <w:rsid w:val="00A20307"/>
    <w:rsid w:val="00A20523"/>
    <w:rsid w:val="00A20560"/>
    <w:rsid w:val="00A206CD"/>
    <w:rsid w:val="00A207FE"/>
    <w:rsid w:val="00A20817"/>
    <w:rsid w:val="00A2099E"/>
    <w:rsid w:val="00A20E39"/>
    <w:rsid w:val="00A20F33"/>
    <w:rsid w:val="00A210CF"/>
    <w:rsid w:val="00A213E2"/>
    <w:rsid w:val="00A214DF"/>
    <w:rsid w:val="00A215FA"/>
    <w:rsid w:val="00A2176E"/>
    <w:rsid w:val="00A217B1"/>
    <w:rsid w:val="00A21A65"/>
    <w:rsid w:val="00A21A84"/>
    <w:rsid w:val="00A21C21"/>
    <w:rsid w:val="00A21EE9"/>
    <w:rsid w:val="00A22010"/>
    <w:rsid w:val="00A222B3"/>
    <w:rsid w:val="00A2281B"/>
    <w:rsid w:val="00A2284D"/>
    <w:rsid w:val="00A228CD"/>
    <w:rsid w:val="00A22A43"/>
    <w:rsid w:val="00A22BD2"/>
    <w:rsid w:val="00A22C32"/>
    <w:rsid w:val="00A23048"/>
    <w:rsid w:val="00A231E2"/>
    <w:rsid w:val="00A23474"/>
    <w:rsid w:val="00A23548"/>
    <w:rsid w:val="00A23BEA"/>
    <w:rsid w:val="00A23C49"/>
    <w:rsid w:val="00A23D2C"/>
    <w:rsid w:val="00A24125"/>
    <w:rsid w:val="00A2461C"/>
    <w:rsid w:val="00A24664"/>
    <w:rsid w:val="00A24847"/>
    <w:rsid w:val="00A24889"/>
    <w:rsid w:val="00A2494D"/>
    <w:rsid w:val="00A24A12"/>
    <w:rsid w:val="00A24B27"/>
    <w:rsid w:val="00A25071"/>
    <w:rsid w:val="00A250C6"/>
    <w:rsid w:val="00A251AE"/>
    <w:rsid w:val="00A25219"/>
    <w:rsid w:val="00A252F7"/>
    <w:rsid w:val="00A25423"/>
    <w:rsid w:val="00A256C2"/>
    <w:rsid w:val="00A25751"/>
    <w:rsid w:val="00A25778"/>
    <w:rsid w:val="00A258FE"/>
    <w:rsid w:val="00A25AE1"/>
    <w:rsid w:val="00A25C1D"/>
    <w:rsid w:val="00A264B6"/>
    <w:rsid w:val="00A264C2"/>
    <w:rsid w:val="00A26582"/>
    <w:rsid w:val="00A26A65"/>
    <w:rsid w:val="00A26B36"/>
    <w:rsid w:val="00A26C45"/>
    <w:rsid w:val="00A26EE2"/>
    <w:rsid w:val="00A26FF2"/>
    <w:rsid w:val="00A27090"/>
    <w:rsid w:val="00A2717C"/>
    <w:rsid w:val="00A271E5"/>
    <w:rsid w:val="00A2724C"/>
    <w:rsid w:val="00A272B0"/>
    <w:rsid w:val="00A27570"/>
    <w:rsid w:val="00A2781F"/>
    <w:rsid w:val="00A27C1B"/>
    <w:rsid w:val="00A27C28"/>
    <w:rsid w:val="00A27CFA"/>
    <w:rsid w:val="00A27E8A"/>
    <w:rsid w:val="00A27ED0"/>
    <w:rsid w:val="00A27F0B"/>
    <w:rsid w:val="00A27F14"/>
    <w:rsid w:val="00A27F3A"/>
    <w:rsid w:val="00A27F5D"/>
    <w:rsid w:val="00A27F73"/>
    <w:rsid w:val="00A3033B"/>
    <w:rsid w:val="00A304C7"/>
    <w:rsid w:val="00A30594"/>
    <w:rsid w:val="00A306DB"/>
    <w:rsid w:val="00A3083D"/>
    <w:rsid w:val="00A30928"/>
    <w:rsid w:val="00A30B94"/>
    <w:rsid w:val="00A30CC4"/>
    <w:rsid w:val="00A30CE0"/>
    <w:rsid w:val="00A30F2E"/>
    <w:rsid w:val="00A30F8E"/>
    <w:rsid w:val="00A30FB0"/>
    <w:rsid w:val="00A3105A"/>
    <w:rsid w:val="00A31248"/>
    <w:rsid w:val="00A31252"/>
    <w:rsid w:val="00A313D6"/>
    <w:rsid w:val="00A31561"/>
    <w:rsid w:val="00A315A5"/>
    <w:rsid w:val="00A31612"/>
    <w:rsid w:val="00A31712"/>
    <w:rsid w:val="00A31738"/>
    <w:rsid w:val="00A3181D"/>
    <w:rsid w:val="00A31963"/>
    <w:rsid w:val="00A319CE"/>
    <w:rsid w:val="00A31DD7"/>
    <w:rsid w:val="00A31E00"/>
    <w:rsid w:val="00A31F83"/>
    <w:rsid w:val="00A3207A"/>
    <w:rsid w:val="00A320A6"/>
    <w:rsid w:val="00A324A7"/>
    <w:rsid w:val="00A32727"/>
    <w:rsid w:val="00A329BD"/>
    <w:rsid w:val="00A329D8"/>
    <w:rsid w:val="00A32D7D"/>
    <w:rsid w:val="00A32E1B"/>
    <w:rsid w:val="00A32E3C"/>
    <w:rsid w:val="00A32F7E"/>
    <w:rsid w:val="00A33158"/>
    <w:rsid w:val="00A3318F"/>
    <w:rsid w:val="00A331D6"/>
    <w:rsid w:val="00A337E2"/>
    <w:rsid w:val="00A338BB"/>
    <w:rsid w:val="00A33930"/>
    <w:rsid w:val="00A339F7"/>
    <w:rsid w:val="00A33AEC"/>
    <w:rsid w:val="00A33B3D"/>
    <w:rsid w:val="00A33C89"/>
    <w:rsid w:val="00A33FBF"/>
    <w:rsid w:val="00A340EA"/>
    <w:rsid w:val="00A3417A"/>
    <w:rsid w:val="00A3438F"/>
    <w:rsid w:val="00A3439B"/>
    <w:rsid w:val="00A343F9"/>
    <w:rsid w:val="00A3448B"/>
    <w:rsid w:val="00A34AEB"/>
    <w:rsid w:val="00A34C80"/>
    <w:rsid w:val="00A35011"/>
    <w:rsid w:val="00A35053"/>
    <w:rsid w:val="00A352DD"/>
    <w:rsid w:val="00A3533A"/>
    <w:rsid w:val="00A353FB"/>
    <w:rsid w:val="00A3542D"/>
    <w:rsid w:val="00A354B5"/>
    <w:rsid w:val="00A363DF"/>
    <w:rsid w:val="00A363F1"/>
    <w:rsid w:val="00A3678C"/>
    <w:rsid w:val="00A36CD0"/>
    <w:rsid w:val="00A36D6A"/>
    <w:rsid w:val="00A36D8E"/>
    <w:rsid w:val="00A37170"/>
    <w:rsid w:val="00A37175"/>
    <w:rsid w:val="00A37187"/>
    <w:rsid w:val="00A37246"/>
    <w:rsid w:val="00A379CA"/>
    <w:rsid w:val="00A37A7C"/>
    <w:rsid w:val="00A37BA2"/>
    <w:rsid w:val="00A37BB1"/>
    <w:rsid w:val="00A37C6C"/>
    <w:rsid w:val="00A37DD9"/>
    <w:rsid w:val="00A402C0"/>
    <w:rsid w:val="00A403E8"/>
    <w:rsid w:val="00A40554"/>
    <w:rsid w:val="00A4071A"/>
    <w:rsid w:val="00A40795"/>
    <w:rsid w:val="00A40A9E"/>
    <w:rsid w:val="00A40B07"/>
    <w:rsid w:val="00A40B61"/>
    <w:rsid w:val="00A40BCD"/>
    <w:rsid w:val="00A40DE9"/>
    <w:rsid w:val="00A4166F"/>
    <w:rsid w:val="00A417F3"/>
    <w:rsid w:val="00A41889"/>
    <w:rsid w:val="00A418A5"/>
    <w:rsid w:val="00A419AF"/>
    <w:rsid w:val="00A419C6"/>
    <w:rsid w:val="00A419D6"/>
    <w:rsid w:val="00A41C06"/>
    <w:rsid w:val="00A41E28"/>
    <w:rsid w:val="00A41EA2"/>
    <w:rsid w:val="00A42033"/>
    <w:rsid w:val="00A42449"/>
    <w:rsid w:val="00A42491"/>
    <w:rsid w:val="00A4252F"/>
    <w:rsid w:val="00A42614"/>
    <w:rsid w:val="00A426D9"/>
    <w:rsid w:val="00A4280E"/>
    <w:rsid w:val="00A428BF"/>
    <w:rsid w:val="00A429D1"/>
    <w:rsid w:val="00A42BBD"/>
    <w:rsid w:val="00A42F43"/>
    <w:rsid w:val="00A4349A"/>
    <w:rsid w:val="00A434F4"/>
    <w:rsid w:val="00A4353C"/>
    <w:rsid w:val="00A4359C"/>
    <w:rsid w:val="00A437BC"/>
    <w:rsid w:val="00A4392B"/>
    <w:rsid w:val="00A43B03"/>
    <w:rsid w:val="00A43D05"/>
    <w:rsid w:val="00A43EDB"/>
    <w:rsid w:val="00A43F33"/>
    <w:rsid w:val="00A4409E"/>
    <w:rsid w:val="00A440C2"/>
    <w:rsid w:val="00A44118"/>
    <w:rsid w:val="00A4421A"/>
    <w:rsid w:val="00A44673"/>
    <w:rsid w:val="00A449D4"/>
    <w:rsid w:val="00A44C9B"/>
    <w:rsid w:val="00A44DC0"/>
    <w:rsid w:val="00A44DFD"/>
    <w:rsid w:val="00A450AE"/>
    <w:rsid w:val="00A4521A"/>
    <w:rsid w:val="00A45367"/>
    <w:rsid w:val="00A455AC"/>
    <w:rsid w:val="00A4569C"/>
    <w:rsid w:val="00A45997"/>
    <w:rsid w:val="00A45F3C"/>
    <w:rsid w:val="00A46116"/>
    <w:rsid w:val="00A463A6"/>
    <w:rsid w:val="00A46732"/>
    <w:rsid w:val="00A468D3"/>
    <w:rsid w:val="00A469D6"/>
    <w:rsid w:val="00A46F08"/>
    <w:rsid w:val="00A47037"/>
    <w:rsid w:val="00A471D7"/>
    <w:rsid w:val="00A4724C"/>
    <w:rsid w:val="00A47610"/>
    <w:rsid w:val="00A47634"/>
    <w:rsid w:val="00A47689"/>
    <w:rsid w:val="00A47737"/>
    <w:rsid w:val="00A4792A"/>
    <w:rsid w:val="00A47B08"/>
    <w:rsid w:val="00A47CF4"/>
    <w:rsid w:val="00A47E81"/>
    <w:rsid w:val="00A47ED6"/>
    <w:rsid w:val="00A50085"/>
    <w:rsid w:val="00A500E0"/>
    <w:rsid w:val="00A502D1"/>
    <w:rsid w:val="00A5063C"/>
    <w:rsid w:val="00A50643"/>
    <w:rsid w:val="00A5074B"/>
    <w:rsid w:val="00A508C8"/>
    <w:rsid w:val="00A509FF"/>
    <w:rsid w:val="00A50B93"/>
    <w:rsid w:val="00A51087"/>
    <w:rsid w:val="00A510E2"/>
    <w:rsid w:val="00A51266"/>
    <w:rsid w:val="00A5128B"/>
    <w:rsid w:val="00A517C0"/>
    <w:rsid w:val="00A5188B"/>
    <w:rsid w:val="00A51EBE"/>
    <w:rsid w:val="00A51F7A"/>
    <w:rsid w:val="00A52037"/>
    <w:rsid w:val="00A52259"/>
    <w:rsid w:val="00A52354"/>
    <w:rsid w:val="00A5240C"/>
    <w:rsid w:val="00A52483"/>
    <w:rsid w:val="00A52644"/>
    <w:rsid w:val="00A529B1"/>
    <w:rsid w:val="00A529D0"/>
    <w:rsid w:val="00A52A24"/>
    <w:rsid w:val="00A52C49"/>
    <w:rsid w:val="00A53085"/>
    <w:rsid w:val="00A53187"/>
    <w:rsid w:val="00A53285"/>
    <w:rsid w:val="00A5368E"/>
    <w:rsid w:val="00A53BCE"/>
    <w:rsid w:val="00A53BE5"/>
    <w:rsid w:val="00A53CD9"/>
    <w:rsid w:val="00A53E4E"/>
    <w:rsid w:val="00A5408A"/>
    <w:rsid w:val="00A54176"/>
    <w:rsid w:val="00A54358"/>
    <w:rsid w:val="00A5455A"/>
    <w:rsid w:val="00A5455F"/>
    <w:rsid w:val="00A54654"/>
    <w:rsid w:val="00A54751"/>
    <w:rsid w:val="00A54C0F"/>
    <w:rsid w:val="00A54E02"/>
    <w:rsid w:val="00A550EC"/>
    <w:rsid w:val="00A55241"/>
    <w:rsid w:val="00A552E7"/>
    <w:rsid w:val="00A553A6"/>
    <w:rsid w:val="00A553C1"/>
    <w:rsid w:val="00A5548B"/>
    <w:rsid w:val="00A55598"/>
    <w:rsid w:val="00A5570C"/>
    <w:rsid w:val="00A558AE"/>
    <w:rsid w:val="00A559B8"/>
    <w:rsid w:val="00A55A0C"/>
    <w:rsid w:val="00A55C6D"/>
    <w:rsid w:val="00A55E07"/>
    <w:rsid w:val="00A55EA8"/>
    <w:rsid w:val="00A55EB7"/>
    <w:rsid w:val="00A56014"/>
    <w:rsid w:val="00A56081"/>
    <w:rsid w:val="00A5628A"/>
    <w:rsid w:val="00A563C2"/>
    <w:rsid w:val="00A565BB"/>
    <w:rsid w:val="00A56923"/>
    <w:rsid w:val="00A56DA9"/>
    <w:rsid w:val="00A5730E"/>
    <w:rsid w:val="00A575B8"/>
    <w:rsid w:val="00A57637"/>
    <w:rsid w:val="00A577BF"/>
    <w:rsid w:val="00A5784D"/>
    <w:rsid w:val="00A578FD"/>
    <w:rsid w:val="00A57E0F"/>
    <w:rsid w:val="00A57F57"/>
    <w:rsid w:val="00A57F6C"/>
    <w:rsid w:val="00A600BB"/>
    <w:rsid w:val="00A6042F"/>
    <w:rsid w:val="00A60504"/>
    <w:rsid w:val="00A60576"/>
    <w:rsid w:val="00A606E3"/>
    <w:rsid w:val="00A6094B"/>
    <w:rsid w:val="00A60C9B"/>
    <w:rsid w:val="00A60E0D"/>
    <w:rsid w:val="00A60E39"/>
    <w:rsid w:val="00A61009"/>
    <w:rsid w:val="00A6102E"/>
    <w:rsid w:val="00A6105E"/>
    <w:rsid w:val="00A6115A"/>
    <w:rsid w:val="00A6124A"/>
    <w:rsid w:val="00A616D8"/>
    <w:rsid w:val="00A61832"/>
    <w:rsid w:val="00A61B49"/>
    <w:rsid w:val="00A61B8A"/>
    <w:rsid w:val="00A6220D"/>
    <w:rsid w:val="00A62304"/>
    <w:rsid w:val="00A62400"/>
    <w:rsid w:val="00A62555"/>
    <w:rsid w:val="00A62A7A"/>
    <w:rsid w:val="00A62B31"/>
    <w:rsid w:val="00A62B5C"/>
    <w:rsid w:val="00A62BFF"/>
    <w:rsid w:val="00A62FB9"/>
    <w:rsid w:val="00A6306B"/>
    <w:rsid w:val="00A6313E"/>
    <w:rsid w:val="00A6319E"/>
    <w:rsid w:val="00A632EB"/>
    <w:rsid w:val="00A635D2"/>
    <w:rsid w:val="00A63A8D"/>
    <w:rsid w:val="00A63D4A"/>
    <w:rsid w:val="00A63DA8"/>
    <w:rsid w:val="00A63FFF"/>
    <w:rsid w:val="00A64185"/>
    <w:rsid w:val="00A64191"/>
    <w:rsid w:val="00A64450"/>
    <w:rsid w:val="00A6456D"/>
    <w:rsid w:val="00A646D2"/>
    <w:rsid w:val="00A647E7"/>
    <w:rsid w:val="00A64ABB"/>
    <w:rsid w:val="00A64B7E"/>
    <w:rsid w:val="00A64B8F"/>
    <w:rsid w:val="00A64BB3"/>
    <w:rsid w:val="00A64C86"/>
    <w:rsid w:val="00A64D1A"/>
    <w:rsid w:val="00A64D6A"/>
    <w:rsid w:val="00A64E5C"/>
    <w:rsid w:val="00A65253"/>
    <w:rsid w:val="00A65939"/>
    <w:rsid w:val="00A6598D"/>
    <w:rsid w:val="00A659AC"/>
    <w:rsid w:val="00A65A5C"/>
    <w:rsid w:val="00A65CF7"/>
    <w:rsid w:val="00A65D71"/>
    <w:rsid w:val="00A65D98"/>
    <w:rsid w:val="00A66167"/>
    <w:rsid w:val="00A66257"/>
    <w:rsid w:val="00A664B0"/>
    <w:rsid w:val="00A66675"/>
    <w:rsid w:val="00A667D4"/>
    <w:rsid w:val="00A668FE"/>
    <w:rsid w:val="00A66CFE"/>
    <w:rsid w:val="00A66DC4"/>
    <w:rsid w:val="00A66E34"/>
    <w:rsid w:val="00A66F26"/>
    <w:rsid w:val="00A66FF5"/>
    <w:rsid w:val="00A67326"/>
    <w:rsid w:val="00A67694"/>
    <w:rsid w:val="00A67A2E"/>
    <w:rsid w:val="00A67A56"/>
    <w:rsid w:val="00A67CF3"/>
    <w:rsid w:val="00A70170"/>
    <w:rsid w:val="00A70199"/>
    <w:rsid w:val="00A701FA"/>
    <w:rsid w:val="00A70240"/>
    <w:rsid w:val="00A70355"/>
    <w:rsid w:val="00A70626"/>
    <w:rsid w:val="00A7069A"/>
    <w:rsid w:val="00A706A0"/>
    <w:rsid w:val="00A706E5"/>
    <w:rsid w:val="00A70827"/>
    <w:rsid w:val="00A70B3B"/>
    <w:rsid w:val="00A70B4C"/>
    <w:rsid w:val="00A70CEF"/>
    <w:rsid w:val="00A70D17"/>
    <w:rsid w:val="00A71598"/>
    <w:rsid w:val="00A715E5"/>
    <w:rsid w:val="00A7175B"/>
    <w:rsid w:val="00A7179C"/>
    <w:rsid w:val="00A71AB2"/>
    <w:rsid w:val="00A71B3E"/>
    <w:rsid w:val="00A71B47"/>
    <w:rsid w:val="00A71D8A"/>
    <w:rsid w:val="00A71FE1"/>
    <w:rsid w:val="00A72476"/>
    <w:rsid w:val="00A72806"/>
    <w:rsid w:val="00A72AC5"/>
    <w:rsid w:val="00A72AE8"/>
    <w:rsid w:val="00A72B27"/>
    <w:rsid w:val="00A731F8"/>
    <w:rsid w:val="00A73312"/>
    <w:rsid w:val="00A73563"/>
    <w:rsid w:val="00A736F1"/>
    <w:rsid w:val="00A737D2"/>
    <w:rsid w:val="00A73A19"/>
    <w:rsid w:val="00A73D29"/>
    <w:rsid w:val="00A73DAC"/>
    <w:rsid w:val="00A73DD0"/>
    <w:rsid w:val="00A73ECD"/>
    <w:rsid w:val="00A73F81"/>
    <w:rsid w:val="00A74124"/>
    <w:rsid w:val="00A74180"/>
    <w:rsid w:val="00A744B0"/>
    <w:rsid w:val="00A744C1"/>
    <w:rsid w:val="00A749CA"/>
    <w:rsid w:val="00A74F4B"/>
    <w:rsid w:val="00A74FCC"/>
    <w:rsid w:val="00A750CD"/>
    <w:rsid w:val="00A752E4"/>
    <w:rsid w:val="00A75506"/>
    <w:rsid w:val="00A75578"/>
    <w:rsid w:val="00A757FC"/>
    <w:rsid w:val="00A75A1C"/>
    <w:rsid w:val="00A75E86"/>
    <w:rsid w:val="00A75ED2"/>
    <w:rsid w:val="00A76042"/>
    <w:rsid w:val="00A76088"/>
    <w:rsid w:val="00A760DC"/>
    <w:rsid w:val="00A761CD"/>
    <w:rsid w:val="00A765A6"/>
    <w:rsid w:val="00A765D9"/>
    <w:rsid w:val="00A765E6"/>
    <w:rsid w:val="00A770D9"/>
    <w:rsid w:val="00A77297"/>
    <w:rsid w:val="00A77352"/>
    <w:rsid w:val="00A773AC"/>
    <w:rsid w:val="00A77424"/>
    <w:rsid w:val="00A77501"/>
    <w:rsid w:val="00A77878"/>
    <w:rsid w:val="00A77FFC"/>
    <w:rsid w:val="00A801D9"/>
    <w:rsid w:val="00A801EE"/>
    <w:rsid w:val="00A80317"/>
    <w:rsid w:val="00A803D6"/>
    <w:rsid w:val="00A80651"/>
    <w:rsid w:val="00A80870"/>
    <w:rsid w:val="00A808F2"/>
    <w:rsid w:val="00A80A45"/>
    <w:rsid w:val="00A80A64"/>
    <w:rsid w:val="00A80D07"/>
    <w:rsid w:val="00A80D21"/>
    <w:rsid w:val="00A80DCB"/>
    <w:rsid w:val="00A80E57"/>
    <w:rsid w:val="00A80FAC"/>
    <w:rsid w:val="00A81161"/>
    <w:rsid w:val="00A81235"/>
    <w:rsid w:val="00A814C7"/>
    <w:rsid w:val="00A81887"/>
    <w:rsid w:val="00A81A4C"/>
    <w:rsid w:val="00A81A67"/>
    <w:rsid w:val="00A81AD7"/>
    <w:rsid w:val="00A81CAB"/>
    <w:rsid w:val="00A81CD9"/>
    <w:rsid w:val="00A81E39"/>
    <w:rsid w:val="00A81ECD"/>
    <w:rsid w:val="00A81EF8"/>
    <w:rsid w:val="00A81EFC"/>
    <w:rsid w:val="00A822C5"/>
    <w:rsid w:val="00A823F6"/>
    <w:rsid w:val="00A823F8"/>
    <w:rsid w:val="00A82602"/>
    <w:rsid w:val="00A826F1"/>
    <w:rsid w:val="00A8278E"/>
    <w:rsid w:val="00A82847"/>
    <w:rsid w:val="00A828A9"/>
    <w:rsid w:val="00A828B6"/>
    <w:rsid w:val="00A82973"/>
    <w:rsid w:val="00A82AED"/>
    <w:rsid w:val="00A82CA5"/>
    <w:rsid w:val="00A82CB5"/>
    <w:rsid w:val="00A8307B"/>
    <w:rsid w:val="00A83205"/>
    <w:rsid w:val="00A8336A"/>
    <w:rsid w:val="00A83511"/>
    <w:rsid w:val="00A835FC"/>
    <w:rsid w:val="00A839AD"/>
    <w:rsid w:val="00A83A74"/>
    <w:rsid w:val="00A83B4B"/>
    <w:rsid w:val="00A83FA0"/>
    <w:rsid w:val="00A84076"/>
    <w:rsid w:val="00A84091"/>
    <w:rsid w:val="00A84120"/>
    <w:rsid w:val="00A841B6"/>
    <w:rsid w:val="00A844E2"/>
    <w:rsid w:val="00A8460D"/>
    <w:rsid w:val="00A848CB"/>
    <w:rsid w:val="00A84A00"/>
    <w:rsid w:val="00A84B8F"/>
    <w:rsid w:val="00A84CBF"/>
    <w:rsid w:val="00A84D16"/>
    <w:rsid w:val="00A84E4D"/>
    <w:rsid w:val="00A852E4"/>
    <w:rsid w:val="00A8553B"/>
    <w:rsid w:val="00A856AF"/>
    <w:rsid w:val="00A8590F"/>
    <w:rsid w:val="00A8591D"/>
    <w:rsid w:val="00A85A17"/>
    <w:rsid w:val="00A85B75"/>
    <w:rsid w:val="00A85FC0"/>
    <w:rsid w:val="00A86280"/>
    <w:rsid w:val="00A86353"/>
    <w:rsid w:val="00A86D0E"/>
    <w:rsid w:val="00A86E36"/>
    <w:rsid w:val="00A86E40"/>
    <w:rsid w:val="00A870CA"/>
    <w:rsid w:val="00A872B2"/>
    <w:rsid w:val="00A87551"/>
    <w:rsid w:val="00A8758A"/>
    <w:rsid w:val="00A875DE"/>
    <w:rsid w:val="00A87601"/>
    <w:rsid w:val="00A8768F"/>
    <w:rsid w:val="00A8794A"/>
    <w:rsid w:val="00A87ECB"/>
    <w:rsid w:val="00A90179"/>
    <w:rsid w:val="00A905B1"/>
    <w:rsid w:val="00A9064F"/>
    <w:rsid w:val="00A90702"/>
    <w:rsid w:val="00A907CF"/>
    <w:rsid w:val="00A90846"/>
    <w:rsid w:val="00A90A63"/>
    <w:rsid w:val="00A90AA2"/>
    <w:rsid w:val="00A90AE4"/>
    <w:rsid w:val="00A90D8B"/>
    <w:rsid w:val="00A90DF9"/>
    <w:rsid w:val="00A90E30"/>
    <w:rsid w:val="00A91221"/>
    <w:rsid w:val="00A91337"/>
    <w:rsid w:val="00A9161A"/>
    <w:rsid w:val="00A91A6C"/>
    <w:rsid w:val="00A91A88"/>
    <w:rsid w:val="00A91ADE"/>
    <w:rsid w:val="00A91B37"/>
    <w:rsid w:val="00A91B92"/>
    <w:rsid w:val="00A91BC5"/>
    <w:rsid w:val="00A91C8C"/>
    <w:rsid w:val="00A91D27"/>
    <w:rsid w:val="00A91FAD"/>
    <w:rsid w:val="00A924B4"/>
    <w:rsid w:val="00A924D5"/>
    <w:rsid w:val="00A92582"/>
    <w:rsid w:val="00A92630"/>
    <w:rsid w:val="00A92704"/>
    <w:rsid w:val="00A9286E"/>
    <w:rsid w:val="00A92A35"/>
    <w:rsid w:val="00A92EB2"/>
    <w:rsid w:val="00A92F92"/>
    <w:rsid w:val="00A931AD"/>
    <w:rsid w:val="00A9333D"/>
    <w:rsid w:val="00A933AC"/>
    <w:rsid w:val="00A93486"/>
    <w:rsid w:val="00A9350F"/>
    <w:rsid w:val="00A93753"/>
    <w:rsid w:val="00A938AB"/>
    <w:rsid w:val="00A93A6D"/>
    <w:rsid w:val="00A93AA8"/>
    <w:rsid w:val="00A93C02"/>
    <w:rsid w:val="00A93CFB"/>
    <w:rsid w:val="00A93F02"/>
    <w:rsid w:val="00A93FA2"/>
    <w:rsid w:val="00A94089"/>
    <w:rsid w:val="00A94244"/>
    <w:rsid w:val="00A9428C"/>
    <w:rsid w:val="00A94555"/>
    <w:rsid w:val="00A94904"/>
    <w:rsid w:val="00A94952"/>
    <w:rsid w:val="00A94CB1"/>
    <w:rsid w:val="00A94D05"/>
    <w:rsid w:val="00A94F07"/>
    <w:rsid w:val="00A9521A"/>
    <w:rsid w:val="00A9532D"/>
    <w:rsid w:val="00A953CA"/>
    <w:rsid w:val="00A953D3"/>
    <w:rsid w:val="00A9547A"/>
    <w:rsid w:val="00A955DD"/>
    <w:rsid w:val="00A95829"/>
    <w:rsid w:val="00A959D8"/>
    <w:rsid w:val="00A95C8F"/>
    <w:rsid w:val="00A95E83"/>
    <w:rsid w:val="00A95F83"/>
    <w:rsid w:val="00A95F8A"/>
    <w:rsid w:val="00A96685"/>
    <w:rsid w:val="00A96832"/>
    <w:rsid w:val="00A96D00"/>
    <w:rsid w:val="00A96EF7"/>
    <w:rsid w:val="00A96F23"/>
    <w:rsid w:val="00A975E5"/>
    <w:rsid w:val="00A97746"/>
    <w:rsid w:val="00A977E0"/>
    <w:rsid w:val="00A9793B"/>
    <w:rsid w:val="00A97E8A"/>
    <w:rsid w:val="00A97F86"/>
    <w:rsid w:val="00A97FD4"/>
    <w:rsid w:val="00AA0060"/>
    <w:rsid w:val="00AA0353"/>
    <w:rsid w:val="00AA03C2"/>
    <w:rsid w:val="00AA0863"/>
    <w:rsid w:val="00AA093E"/>
    <w:rsid w:val="00AA0B92"/>
    <w:rsid w:val="00AA0D23"/>
    <w:rsid w:val="00AA0DA1"/>
    <w:rsid w:val="00AA0EAE"/>
    <w:rsid w:val="00AA10E0"/>
    <w:rsid w:val="00AA1350"/>
    <w:rsid w:val="00AA1376"/>
    <w:rsid w:val="00AA137A"/>
    <w:rsid w:val="00AA13E5"/>
    <w:rsid w:val="00AA16A1"/>
    <w:rsid w:val="00AA1AD6"/>
    <w:rsid w:val="00AA1B56"/>
    <w:rsid w:val="00AA1C12"/>
    <w:rsid w:val="00AA1E67"/>
    <w:rsid w:val="00AA2123"/>
    <w:rsid w:val="00AA2289"/>
    <w:rsid w:val="00AA236F"/>
    <w:rsid w:val="00AA258A"/>
    <w:rsid w:val="00AA27F6"/>
    <w:rsid w:val="00AA2A9C"/>
    <w:rsid w:val="00AA2AFB"/>
    <w:rsid w:val="00AA2B69"/>
    <w:rsid w:val="00AA2F2B"/>
    <w:rsid w:val="00AA2F90"/>
    <w:rsid w:val="00AA3075"/>
    <w:rsid w:val="00AA311F"/>
    <w:rsid w:val="00AA3155"/>
    <w:rsid w:val="00AA3535"/>
    <w:rsid w:val="00AA3777"/>
    <w:rsid w:val="00AA3800"/>
    <w:rsid w:val="00AA3A13"/>
    <w:rsid w:val="00AA3B48"/>
    <w:rsid w:val="00AA3F31"/>
    <w:rsid w:val="00AA3F4D"/>
    <w:rsid w:val="00AA3F57"/>
    <w:rsid w:val="00AA4005"/>
    <w:rsid w:val="00AA410B"/>
    <w:rsid w:val="00AA420B"/>
    <w:rsid w:val="00AA429F"/>
    <w:rsid w:val="00AA42E6"/>
    <w:rsid w:val="00AA457E"/>
    <w:rsid w:val="00AA4625"/>
    <w:rsid w:val="00AA46CA"/>
    <w:rsid w:val="00AA4982"/>
    <w:rsid w:val="00AA4F09"/>
    <w:rsid w:val="00AA4FCE"/>
    <w:rsid w:val="00AA51EE"/>
    <w:rsid w:val="00AA5494"/>
    <w:rsid w:val="00AA54C4"/>
    <w:rsid w:val="00AA5526"/>
    <w:rsid w:val="00AA5633"/>
    <w:rsid w:val="00AA5686"/>
    <w:rsid w:val="00AA5712"/>
    <w:rsid w:val="00AA57A2"/>
    <w:rsid w:val="00AA57E7"/>
    <w:rsid w:val="00AA5BD6"/>
    <w:rsid w:val="00AA5F87"/>
    <w:rsid w:val="00AA62AE"/>
    <w:rsid w:val="00AA633D"/>
    <w:rsid w:val="00AA6A56"/>
    <w:rsid w:val="00AA6BA8"/>
    <w:rsid w:val="00AA6C06"/>
    <w:rsid w:val="00AA711C"/>
    <w:rsid w:val="00AA72E7"/>
    <w:rsid w:val="00AA7346"/>
    <w:rsid w:val="00AA74E7"/>
    <w:rsid w:val="00AA76A8"/>
    <w:rsid w:val="00AA798A"/>
    <w:rsid w:val="00AA7A88"/>
    <w:rsid w:val="00AA7C96"/>
    <w:rsid w:val="00AA7CD9"/>
    <w:rsid w:val="00AA7D18"/>
    <w:rsid w:val="00AA7D9B"/>
    <w:rsid w:val="00AA7DCA"/>
    <w:rsid w:val="00AB0095"/>
    <w:rsid w:val="00AB017A"/>
    <w:rsid w:val="00AB01A3"/>
    <w:rsid w:val="00AB045D"/>
    <w:rsid w:val="00AB0811"/>
    <w:rsid w:val="00AB0826"/>
    <w:rsid w:val="00AB0883"/>
    <w:rsid w:val="00AB0AE9"/>
    <w:rsid w:val="00AB0B86"/>
    <w:rsid w:val="00AB0DBB"/>
    <w:rsid w:val="00AB0DC5"/>
    <w:rsid w:val="00AB10CD"/>
    <w:rsid w:val="00AB138E"/>
    <w:rsid w:val="00AB14BE"/>
    <w:rsid w:val="00AB154A"/>
    <w:rsid w:val="00AB1573"/>
    <w:rsid w:val="00AB1615"/>
    <w:rsid w:val="00AB162D"/>
    <w:rsid w:val="00AB16EC"/>
    <w:rsid w:val="00AB18A6"/>
    <w:rsid w:val="00AB1D2D"/>
    <w:rsid w:val="00AB1EE9"/>
    <w:rsid w:val="00AB2359"/>
    <w:rsid w:val="00AB2778"/>
    <w:rsid w:val="00AB2880"/>
    <w:rsid w:val="00AB28B0"/>
    <w:rsid w:val="00AB2A98"/>
    <w:rsid w:val="00AB2AF2"/>
    <w:rsid w:val="00AB2BEF"/>
    <w:rsid w:val="00AB2DCC"/>
    <w:rsid w:val="00AB2E0D"/>
    <w:rsid w:val="00AB2ECF"/>
    <w:rsid w:val="00AB32A9"/>
    <w:rsid w:val="00AB337F"/>
    <w:rsid w:val="00AB35EA"/>
    <w:rsid w:val="00AB39AA"/>
    <w:rsid w:val="00AB3AAD"/>
    <w:rsid w:val="00AB3F8D"/>
    <w:rsid w:val="00AB3FA6"/>
    <w:rsid w:val="00AB4379"/>
    <w:rsid w:val="00AB4454"/>
    <w:rsid w:val="00AB4940"/>
    <w:rsid w:val="00AB49C0"/>
    <w:rsid w:val="00AB4AD4"/>
    <w:rsid w:val="00AB4B83"/>
    <w:rsid w:val="00AB4D7F"/>
    <w:rsid w:val="00AB4DA5"/>
    <w:rsid w:val="00AB507B"/>
    <w:rsid w:val="00AB527C"/>
    <w:rsid w:val="00AB5349"/>
    <w:rsid w:val="00AB56D5"/>
    <w:rsid w:val="00AB5846"/>
    <w:rsid w:val="00AB5F02"/>
    <w:rsid w:val="00AB6191"/>
    <w:rsid w:val="00AB621C"/>
    <w:rsid w:val="00AB6C02"/>
    <w:rsid w:val="00AB6C4E"/>
    <w:rsid w:val="00AB6CAF"/>
    <w:rsid w:val="00AB6CEF"/>
    <w:rsid w:val="00AB6F91"/>
    <w:rsid w:val="00AB70AE"/>
    <w:rsid w:val="00AB7124"/>
    <w:rsid w:val="00AB7294"/>
    <w:rsid w:val="00AB7318"/>
    <w:rsid w:val="00AB7391"/>
    <w:rsid w:val="00AB73F2"/>
    <w:rsid w:val="00AB768B"/>
    <w:rsid w:val="00AB78BB"/>
    <w:rsid w:val="00AB7CA8"/>
    <w:rsid w:val="00AC031E"/>
    <w:rsid w:val="00AC0477"/>
    <w:rsid w:val="00AC0579"/>
    <w:rsid w:val="00AC0662"/>
    <w:rsid w:val="00AC07D4"/>
    <w:rsid w:val="00AC0878"/>
    <w:rsid w:val="00AC08EC"/>
    <w:rsid w:val="00AC09E0"/>
    <w:rsid w:val="00AC0A34"/>
    <w:rsid w:val="00AC0F9B"/>
    <w:rsid w:val="00AC10D5"/>
    <w:rsid w:val="00AC116D"/>
    <w:rsid w:val="00AC1192"/>
    <w:rsid w:val="00AC11C6"/>
    <w:rsid w:val="00AC12F5"/>
    <w:rsid w:val="00AC1485"/>
    <w:rsid w:val="00AC1738"/>
    <w:rsid w:val="00AC17A4"/>
    <w:rsid w:val="00AC18B7"/>
    <w:rsid w:val="00AC1A21"/>
    <w:rsid w:val="00AC1A5A"/>
    <w:rsid w:val="00AC1B19"/>
    <w:rsid w:val="00AC1BA6"/>
    <w:rsid w:val="00AC1BAE"/>
    <w:rsid w:val="00AC1EF6"/>
    <w:rsid w:val="00AC1F7A"/>
    <w:rsid w:val="00AC1FA5"/>
    <w:rsid w:val="00AC233F"/>
    <w:rsid w:val="00AC23C3"/>
    <w:rsid w:val="00AC23DF"/>
    <w:rsid w:val="00AC294D"/>
    <w:rsid w:val="00AC29FD"/>
    <w:rsid w:val="00AC2CD8"/>
    <w:rsid w:val="00AC2D3A"/>
    <w:rsid w:val="00AC31A6"/>
    <w:rsid w:val="00AC35BC"/>
    <w:rsid w:val="00AC3949"/>
    <w:rsid w:val="00AC3A94"/>
    <w:rsid w:val="00AC3D85"/>
    <w:rsid w:val="00AC3E55"/>
    <w:rsid w:val="00AC419E"/>
    <w:rsid w:val="00AC41CE"/>
    <w:rsid w:val="00AC45D2"/>
    <w:rsid w:val="00AC4658"/>
    <w:rsid w:val="00AC482E"/>
    <w:rsid w:val="00AC48A7"/>
    <w:rsid w:val="00AC48F8"/>
    <w:rsid w:val="00AC4B90"/>
    <w:rsid w:val="00AC4C0F"/>
    <w:rsid w:val="00AC4DB7"/>
    <w:rsid w:val="00AC4EB4"/>
    <w:rsid w:val="00AC500E"/>
    <w:rsid w:val="00AC50BA"/>
    <w:rsid w:val="00AC53AA"/>
    <w:rsid w:val="00AC5677"/>
    <w:rsid w:val="00AC57DB"/>
    <w:rsid w:val="00AC5810"/>
    <w:rsid w:val="00AC58B5"/>
    <w:rsid w:val="00AC5996"/>
    <w:rsid w:val="00AC5AF9"/>
    <w:rsid w:val="00AC5CFA"/>
    <w:rsid w:val="00AC6115"/>
    <w:rsid w:val="00AC6181"/>
    <w:rsid w:val="00AC6673"/>
    <w:rsid w:val="00AC6760"/>
    <w:rsid w:val="00AC68B9"/>
    <w:rsid w:val="00AC6C3B"/>
    <w:rsid w:val="00AC6CDA"/>
    <w:rsid w:val="00AC7016"/>
    <w:rsid w:val="00AC70BF"/>
    <w:rsid w:val="00AC71E7"/>
    <w:rsid w:val="00AC71EA"/>
    <w:rsid w:val="00AC72C2"/>
    <w:rsid w:val="00AC76AC"/>
    <w:rsid w:val="00AC7786"/>
    <w:rsid w:val="00AC791E"/>
    <w:rsid w:val="00AC7B9D"/>
    <w:rsid w:val="00AC7BF3"/>
    <w:rsid w:val="00AC7C5C"/>
    <w:rsid w:val="00AC7E85"/>
    <w:rsid w:val="00AC7EF5"/>
    <w:rsid w:val="00AC7FAB"/>
    <w:rsid w:val="00AD0337"/>
    <w:rsid w:val="00AD05BB"/>
    <w:rsid w:val="00AD06BE"/>
    <w:rsid w:val="00AD0E39"/>
    <w:rsid w:val="00AD12F6"/>
    <w:rsid w:val="00AD170D"/>
    <w:rsid w:val="00AD1866"/>
    <w:rsid w:val="00AD1B2E"/>
    <w:rsid w:val="00AD1C0A"/>
    <w:rsid w:val="00AD1ED5"/>
    <w:rsid w:val="00AD2149"/>
    <w:rsid w:val="00AD21D2"/>
    <w:rsid w:val="00AD269B"/>
    <w:rsid w:val="00AD279F"/>
    <w:rsid w:val="00AD2B45"/>
    <w:rsid w:val="00AD2B77"/>
    <w:rsid w:val="00AD2D62"/>
    <w:rsid w:val="00AD2ECE"/>
    <w:rsid w:val="00AD2F31"/>
    <w:rsid w:val="00AD321E"/>
    <w:rsid w:val="00AD322F"/>
    <w:rsid w:val="00AD3291"/>
    <w:rsid w:val="00AD3491"/>
    <w:rsid w:val="00AD370D"/>
    <w:rsid w:val="00AD3725"/>
    <w:rsid w:val="00AD386E"/>
    <w:rsid w:val="00AD42DD"/>
    <w:rsid w:val="00AD43AC"/>
    <w:rsid w:val="00AD43C1"/>
    <w:rsid w:val="00AD45B6"/>
    <w:rsid w:val="00AD46A5"/>
    <w:rsid w:val="00AD4C57"/>
    <w:rsid w:val="00AD4E34"/>
    <w:rsid w:val="00AD4E52"/>
    <w:rsid w:val="00AD4FE4"/>
    <w:rsid w:val="00AD549B"/>
    <w:rsid w:val="00AD568D"/>
    <w:rsid w:val="00AD5703"/>
    <w:rsid w:val="00AD577D"/>
    <w:rsid w:val="00AD5B2E"/>
    <w:rsid w:val="00AD5C15"/>
    <w:rsid w:val="00AD5CB9"/>
    <w:rsid w:val="00AD5DCC"/>
    <w:rsid w:val="00AD5EC6"/>
    <w:rsid w:val="00AD5F2F"/>
    <w:rsid w:val="00AD63C7"/>
    <w:rsid w:val="00AD6925"/>
    <w:rsid w:val="00AD6A54"/>
    <w:rsid w:val="00AD6AAB"/>
    <w:rsid w:val="00AD6B7B"/>
    <w:rsid w:val="00AD6BDD"/>
    <w:rsid w:val="00AD6BEB"/>
    <w:rsid w:val="00AD6CA4"/>
    <w:rsid w:val="00AD6E01"/>
    <w:rsid w:val="00AD7020"/>
    <w:rsid w:val="00AD70FE"/>
    <w:rsid w:val="00AD73F7"/>
    <w:rsid w:val="00AD74CA"/>
    <w:rsid w:val="00AD7906"/>
    <w:rsid w:val="00AD7A3D"/>
    <w:rsid w:val="00AD7B12"/>
    <w:rsid w:val="00AE01F2"/>
    <w:rsid w:val="00AE0348"/>
    <w:rsid w:val="00AE0369"/>
    <w:rsid w:val="00AE0484"/>
    <w:rsid w:val="00AE0756"/>
    <w:rsid w:val="00AE080E"/>
    <w:rsid w:val="00AE09C8"/>
    <w:rsid w:val="00AE0BB5"/>
    <w:rsid w:val="00AE0C44"/>
    <w:rsid w:val="00AE0CA4"/>
    <w:rsid w:val="00AE0DA8"/>
    <w:rsid w:val="00AE0EBE"/>
    <w:rsid w:val="00AE12D7"/>
    <w:rsid w:val="00AE1513"/>
    <w:rsid w:val="00AE1589"/>
    <w:rsid w:val="00AE16B2"/>
    <w:rsid w:val="00AE194B"/>
    <w:rsid w:val="00AE19E2"/>
    <w:rsid w:val="00AE2036"/>
    <w:rsid w:val="00AE2097"/>
    <w:rsid w:val="00AE20B5"/>
    <w:rsid w:val="00AE265C"/>
    <w:rsid w:val="00AE26F1"/>
    <w:rsid w:val="00AE2728"/>
    <w:rsid w:val="00AE2979"/>
    <w:rsid w:val="00AE2AEC"/>
    <w:rsid w:val="00AE2CE1"/>
    <w:rsid w:val="00AE2D9F"/>
    <w:rsid w:val="00AE304D"/>
    <w:rsid w:val="00AE31CD"/>
    <w:rsid w:val="00AE31D7"/>
    <w:rsid w:val="00AE3271"/>
    <w:rsid w:val="00AE3446"/>
    <w:rsid w:val="00AE3477"/>
    <w:rsid w:val="00AE3545"/>
    <w:rsid w:val="00AE3611"/>
    <w:rsid w:val="00AE36AC"/>
    <w:rsid w:val="00AE36FA"/>
    <w:rsid w:val="00AE37C3"/>
    <w:rsid w:val="00AE3CB5"/>
    <w:rsid w:val="00AE3DDA"/>
    <w:rsid w:val="00AE40DA"/>
    <w:rsid w:val="00AE4239"/>
    <w:rsid w:val="00AE46A5"/>
    <w:rsid w:val="00AE4713"/>
    <w:rsid w:val="00AE48B2"/>
    <w:rsid w:val="00AE4A62"/>
    <w:rsid w:val="00AE4B1B"/>
    <w:rsid w:val="00AE4D39"/>
    <w:rsid w:val="00AE5640"/>
    <w:rsid w:val="00AE593D"/>
    <w:rsid w:val="00AE5A58"/>
    <w:rsid w:val="00AE5ABE"/>
    <w:rsid w:val="00AE63A1"/>
    <w:rsid w:val="00AE63FE"/>
    <w:rsid w:val="00AE6508"/>
    <w:rsid w:val="00AE6602"/>
    <w:rsid w:val="00AE69F0"/>
    <w:rsid w:val="00AE6AE5"/>
    <w:rsid w:val="00AE6E8F"/>
    <w:rsid w:val="00AE6F29"/>
    <w:rsid w:val="00AE740E"/>
    <w:rsid w:val="00AE74CE"/>
    <w:rsid w:val="00AE7804"/>
    <w:rsid w:val="00AE7ACE"/>
    <w:rsid w:val="00AE7BBA"/>
    <w:rsid w:val="00AE7C70"/>
    <w:rsid w:val="00AE7CF2"/>
    <w:rsid w:val="00AE7CF7"/>
    <w:rsid w:val="00AE7DFC"/>
    <w:rsid w:val="00AF003D"/>
    <w:rsid w:val="00AF0102"/>
    <w:rsid w:val="00AF02E8"/>
    <w:rsid w:val="00AF0701"/>
    <w:rsid w:val="00AF0741"/>
    <w:rsid w:val="00AF0786"/>
    <w:rsid w:val="00AF0922"/>
    <w:rsid w:val="00AF0A81"/>
    <w:rsid w:val="00AF0A8E"/>
    <w:rsid w:val="00AF0ABB"/>
    <w:rsid w:val="00AF0DD1"/>
    <w:rsid w:val="00AF0F9F"/>
    <w:rsid w:val="00AF105E"/>
    <w:rsid w:val="00AF10B2"/>
    <w:rsid w:val="00AF11D0"/>
    <w:rsid w:val="00AF11EF"/>
    <w:rsid w:val="00AF1450"/>
    <w:rsid w:val="00AF1452"/>
    <w:rsid w:val="00AF1614"/>
    <w:rsid w:val="00AF163A"/>
    <w:rsid w:val="00AF16F4"/>
    <w:rsid w:val="00AF19AA"/>
    <w:rsid w:val="00AF19AF"/>
    <w:rsid w:val="00AF1ADD"/>
    <w:rsid w:val="00AF1C24"/>
    <w:rsid w:val="00AF1CF1"/>
    <w:rsid w:val="00AF1DF4"/>
    <w:rsid w:val="00AF1ED9"/>
    <w:rsid w:val="00AF2026"/>
    <w:rsid w:val="00AF21AD"/>
    <w:rsid w:val="00AF25DE"/>
    <w:rsid w:val="00AF25FE"/>
    <w:rsid w:val="00AF2866"/>
    <w:rsid w:val="00AF29DC"/>
    <w:rsid w:val="00AF2B69"/>
    <w:rsid w:val="00AF2BBC"/>
    <w:rsid w:val="00AF2D3E"/>
    <w:rsid w:val="00AF2F67"/>
    <w:rsid w:val="00AF31A2"/>
    <w:rsid w:val="00AF3208"/>
    <w:rsid w:val="00AF3376"/>
    <w:rsid w:val="00AF3464"/>
    <w:rsid w:val="00AF3485"/>
    <w:rsid w:val="00AF3560"/>
    <w:rsid w:val="00AF35AC"/>
    <w:rsid w:val="00AF36E4"/>
    <w:rsid w:val="00AF38A2"/>
    <w:rsid w:val="00AF3956"/>
    <w:rsid w:val="00AF3BCB"/>
    <w:rsid w:val="00AF3C34"/>
    <w:rsid w:val="00AF3C83"/>
    <w:rsid w:val="00AF3D1E"/>
    <w:rsid w:val="00AF3D71"/>
    <w:rsid w:val="00AF3DC8"/>
    <w:rsid w:val="00AF3DD0"/>
    <w:rsid w:val="00AF3E4C"/>
    <w:rsid w:val="00AF4038"/>
    <w:rsid w:val="00AF4046"/>
    <w:rsid w:val="00AF42AC"/>
    <w:rsid w:val="00AF43DC"/>
    <w:rsid w:val="00AF45BA"/>
    <w:rsid w:val="00AF45D5"/>
    <w:rsid w:val="00AF472D"/>
    <w:rsid w:val="00AF4C0F"/>
    <w:rsid w:val="00AF4C51"/>
    <w:rsid w:val="00AF4CA4"/>
    <w:rsid w:val="00AF4CE5"/>
    <w:rsid w:val="00AF4CFF"/>
    <w:rsid w:val="00AF51B3"/>
    <w:rsid w:val="00AF5231"/>
    <w:rsid w:val="00AF5624"/>
    <w:rsid w:val="00AF5883"/>
    <w:rsid w:val="00AF5898"/>
    <w:rsid w:val="00AF5980"/>
    <w:rsid w:val="00AF5BEA"/>
    <w:rsid w:val="00AF5CE9"/>
    <w:rsid w:val="00AF6005"/>
    <w:rsid w:val="00AF6172"/>
    <w:rsid w:val="00AF6650"/>
    <w:rsid w:val="00AF66C5"/>
    <w:rsid w:val="00AF6775"/>
    <w:rsid w:val="00AF67E8"/>
    <w:rsid w:val="00AF7167"/>
    <w:rsid w:val="00AF716C"/>
    <w:rsid w:val="00AF73F1"/>
    <w:rsid w:val="00AF784C"/>
    <w:rsid w:val="00AF7995"/>
    <w:rsid w:val="00AF7C75"/>
    <w:rsid w:val="00AF7CA3"/>
    <w:rsid w:val="00AF7D5A"/>
    <w:rsid w:val="00AF7FDC"/>
    <w:rsid w:val="00B0008F"/>
    <w:rsid w:val="00B000AB"/>
    <w:rsid w:val="00B002FA"/>
    <w:rsid w:val="00B00445"/>
    <w:rsid w:val="00B0067E"/>
    <w:rsid w:val="00B00917"/>
    <w:rsid w:val="00B00924"/>
    <w:rsid w:val="00B00D41"/>
    <w:rsid w:val="00B00E76"/>
    <w:rsid w:val="00B00EAC"/>
    <w:rsid w:val="00B00F4E"/>
    <w:rsid w:val="00B011C5"/>
    <w:rsid w:val="00B012A6"/>
    <w:rsid w:val="00B015DC"/>
    <w:rsid w:val="00B01765"/>
    <w:rsid w:val="00B017CB"/>
    <w:rsid w:val="00B01B2B"/>
    <w:rsid w:val="00B01B53"/>
    <w:rsid w:val="00B01EA9"/>
    <w:rsid w:val="00B01F82"/>
    <w:rsid w:val="00B020DA"/>
    <w:rsid w:val="00B02214"/>
    <w:rsid w:val="00B02253"/>
    <w:rsid w:val="00B02317"/>
    <w:rsid w:val="00B023FD"/>
    <w:rsid w:val="00B0253C"/>
    <w:rsid w:val="00B02AC0"/>
    <w:rsid w:val="00B02CBB"/>
    <w:rsid w:val="00B0302D"/>
    <w:rsid w:val="00B03183"/>
    <w:rsid w:val="00B031DD"/>
    <w:rsid w:val="00B03532"/>
    <w:rsid w:val="00B03663"/>
    <w:rsid w:val="00B03696"/>
    <w:rsid w:val="00B036B1"/>
    <w:rsid w:val="00B03CD3"/>
    <w:rsid w:val="00B03D28"/>
    <w:rsid w:val="00B04073"/>
    <w:rsid w:val="00B040CE"/>
    <w:rsid w:val="00B042DF"/>
    <w:rsid w:val="00B04704"/>
    <w:rsid w:val="00B04A69"/>
    <w:rsid w:val="00B04B29"/>
    <w:rsid w:val="00B04DE6"/>
    <w:rsid w:val="00B04FEB"/>
    <w:rsid w:val="00B05139"/>
    <w:rsid w:val="00B0542D"/>
    <w:rsid w:val="00B054FD"/>
    <w:rsid w:val="00B05528"/>
    <w:rsid w:val="00B0594E"/>
    <w:rsid w:val="00B05B4C"/>
    <w:rsid w:val="00B05BA1"/>
    <w:rsid w:val="00B05EC0"/>
    <w:rsid w:val="00B05EF9"/>
    <w:rsid w:val="00B06247"/>
    <w:rsid w:val="00B063C3"/>
    <w:rsid w:val="00B06689"/>
    <w:rsid w:val="00B0769C"/>
    <w:rsid w:val="00B0769E"/>
    <w:rsid w:val="00B0785A"/>
    <w:rsid w:val="00B079A2"/>
    <w:rsid w:val="00B07D77"/>
    <w:rsid w:val="00B07E11"/>
    <w:rsid w:val="00B07E39"/>
    <w:rsid w:val="00B10114"/>
    <w:rsid w:val="00B10637"/>
    <w:rsid w:val="00B106B2"/>
    <w:rsid w:val="00B108A3"/>
    <w:rsid w:val="00B10B51"/>
    <w:rsid w:val="00B10CBA"/>
    <w:rsid w:val="00B1136E"/>
    <w:rsid w:val="00B1147C"/>
    <w:rsid w:val="00B1155C"/>
    <w:rsid w:val="00B1175B"/>
    <w:rsid w:val="00B1189B"/>
    <w:rsid w:val="00B119BA"/>
    <w:rsid w:val="00B11A90"/>
    <w:rsid w:val="00B11D65"/>
    <w:rsid w:val="00B11E17"/>
    <w:rsid w:val="00B11E72"/>
    <w:rsid w:val="00B121E3"/>
    <w:rsid w:val="00B122DE"/>
    <w:rsid w:val="00B122FA"/>
    <w:rsid w:val="00B1235B"/>
    <w:rsid w:val="00B12403"/>
    <w:rsid w:val="00B125DF"/>
    <w:rsid w:val="00B1277C"/>
    <w:rsid w:val="00B12AA1"/>
    <w:rsid w:val="00B12BBD"/>
    <w:rsid w:val="00B12D21"/>
    <w:rsid w:val="00B12E3A"/>
    <w:rsid w:val="00B12F02"/>
    <w:rsid w:val="00B12FEF"/>
    <w:rsid w:val="00B13091"/>
    <w:rsid w:val="00B132D2"/>
    <w:rsid w:val="00B1348A"/>
    <w:rsid w:val="00B13561"/>
    <w:rsid w:val="00B13635"/>
    <w:rsid w:val="00B13895"/>
    <w:rsid w:val="00B1390E"/>
    <w:rsid w:val="00B13B00"/>
    <w:rsid w:val="00B13C1E"/>
    <w:rsid w:val="00B13C66"/>
    <w:rsid w:val="00B13C68"/>
    <w:rsid w:val="00B13C86"/>
    <w:rsid w:val="00B13DB5"/>
    <w:rsid w:val="00B13DDE"/>
    <w:rsid w:val="00B13F2A"/>
    <w:rsid w:val="00B143AA"/>
    <w:rsid w:val="00B145EA"/>
    <w:rsid w:val="00B14602"/>
    <w:rsid w:val="00B14660"/>
    <w:rsid w:val="00B147CD"/>
    <w:rsid w:val="00B147E8"/>
    <w:rsid w:val="00B14835"/>
    <w:rsid w:val="00B148D1"/>
    <w:rsid w:val="00B14952"/>
    <w:rsid w:val="00B149D8"/>
    <w:rsid w:val="00B14C20"/>
    <w:rsid w:val="00B14CCA"/>
    <w:rsid w:val="00B152BF"/>
    <w:rsid w:val="00B15311"/>
    <w:rsid w:val="00B15580"/>
    <w:rsid w:val="00B157E9"/>
    <w:rsid w:val="00B15888"/>
    <w:rsid w:val="00B15A27"/>
    <w:rsid w:val="00B15C36"/>
    <w:rsid w:val="00B15D5F"/>
    <w:rsid w:val="00B15D7B"/>
    <w:rsid w:val="00B161FE"/>
    <w:rsid w:val="00B1657C"/>
    <w:rsid w:val="00B168A4"/>
    <w:rsid w:val="00B168C6"/>
    <w:rsid w:val="00B168E4"/>
    <w:rsid w:val="00B16D52"/>
    <w:rsid w:val="00B16D7D"/>
    <w:rsid w:val="00B1706C"/>
    <w:rsid w:val="00B172E8"/>
    <w:rsid w:val="00B1738B"/>
    <w:rsid w:val="00B17391"/>
    <w:rsid w:val="00B173F3"/>
    <w:rsid w:val="00B177B1"/>
    <w:rsid w:val="00B178AF"/>
    <w:rsid w:val="00B17F55"/>
    <w:rsid w:val="00B17FE9"/>
    <w:rsid w:val="00B2033A"/>
    <w:rsid w:val="00B2049E"/>
    <w:rsid w:val="00B2051C"/>
    <w:rsid w:val="00B20837"/>
    <w:rsid w:val="00B2086E"/>
    <w:rsid w:val="00B20CF8"/>
    <w:rsid w:val="00B20D6D"/>
    <w:rsid w:val="00B20E47"/>
    <w:rsid w:val="00B2119C"/>
    <w:rsid w:val="00B21223"/>
    <w:rsid w:val="00B21568"/>
    <w:rsid w:val="00B21929"/>
    <w:rsid w:val="00B21C87"/>
    <w:rsid w:val="00B21E97"/>
    <w:rsid w:val="00B21F67"/>
    <w:rsid w:val="00B220B3"/>
    <w:rsid w:val="00B22257"/>
    <w:rsid w:val="00B222D8"/>
    <w:rsid w:val="00B22670"/>
    <w:rsid w:val="00B226C3"/>
    <w:rsid w:val="00B22AC0"/>
    <w:rsid w:val="00B22C20"/>
    <w:rsid w:val="00B22C48"/>
    <w:rsid w:val="00B230AC"/>
    <w:rsid w:val="00B2344C"/>
    <w:rsid w:val="00B234D7"/>
    <w:rsid w:val="00B234DA"/>
    <w:rsid w:val="00B2378B"/>
    <w:rsid w:val="00B23926"/>
    <w:rsid w:val="00B23FFA"/>
    <w:rsid w:val="00B240A7"/>
    <w:rsid w:val="00B24304"/>
    <w:rsid w:val="00B243B7"/>
    <w:rsid w:val="00B24CAF"/>
    <w:rsid w:val="00B24FCE"/>
    <w:rsid w:val="00B2556C"/>
    <w:rsid w:val="00B255FF"/>
    <w:rsid w:val="00B25658"/>
    <w:rsid w:val="00B257C4"/>
    <w:rsid w:val="00B259F2"/>
    <w:rsid w:val="00B25AC3"/>
    <w:rsid w:val="00B25B09"/>
    <w:rsid w:val="00B25B1B"/>
    <w:rsid w:val="00B25B40"/>
    <w:rsid w:val="00B25D6A"/>
    <w:rsid w:val="00B25D87"/>
    <w:rsid w:val="00B25EC7"/>
    <w:rsid w:val="00B2603B"/>
    <w:rsid w:val="00B265F4"/>
    <w:rsid w:val="00B2675A"/>
    <w:rsid w:val="00B268AC"/>
    <w:rsid w:val="00B26AC0"/>
    <w:rsid w:val="00B26D42"/>
    <w:rsid w:val="00B26DA9"/>
    <w:rsid w:val="00B27069"/>
    <w:rsid w:val="00B272A0"/>
    <w:rsid w:val="00B274BC"/>
    <w:rsid w:val="00B275C2"/>
    <w:rsid w:val="00B27761"/>
    <w:rsid w:val="00B2789E"/>
    <w:rsid w:val="00B278B9"/>
    <w:rsid w:val="00B27B06"/>
    <w:rsid w:val="00B27CBC"/>
    <w:rsid w:val="00B27D68"/>
    <w:rsid w:val="00B27FE7"/>
    <w:rsid w:val="00B300D5"/>
    <w:rsid w:val="00B303DF"/>
    <w:rsid w:val="00B30701"/>
    <w:rsid w:val="00B307F3"/>
    <w:rsid w:val="00B30886"/>
    <w:rsid w:val="00B30887"/>
    <w:rsid w:val="00B3094C"/>
    <w:rsid w:val="00B309D0"/>
    <w:rsid w:val="00B30AC3"/>
    <w:rsid w:val="00B30D10"/>
    <w:rsid w:val="00B3107C"/>
    <w:rsid w:val="00B31551"/>
    <w:rsid w:val="00B318A3"/>
    <w:rsid w:val="00B31C26"/>
    <w:rsid w:val="00B31E9B"/>
    <w:rsid w:val="00B31FD5"/>
    <w:rsid w:val="00B32084"/>
    <w:rsid w:val="00B3215B"/>
    <w:rsid w:val="00B32239"/>
    <w:rsid w:val="00B322C4"/>
    <w:rsid w:val="00B32360"/>
    <w:rsid w:val="00B324D6"/>
    <w:rsid w:val="00B32596"/>
    <w:rsid w:val="00B327EE"/>
    <w:rsid w:val="00B32934"/>
    <w:rsid w:val="00B32A14"/>
    <w:rsid w:val="00B32C5C"/>
    <w:rsid w:val="00B32E67"/>
    <w:rsid w:val="00B32EBC"/>
    <w:rsid w:val="00B32EC2"/>
    <w:rsid w:val="00B331C7"/>
    <w:rsid w:val="00B332F7"/>
    <w:rsid w:val="00B33525"/>
    <w:rsid w:val="00B33680"/>
    <w:rsid w:val="00B33828"/>
    <w:rsid w:val="00B33980"/>
    <w:rsid w:val="00B33A92"/>
    <w:rsid w:val="00B33D5E"/>
    <w:rsid w:val="00B33E7E"/>
    <w:rsid w:val="00B33F82"/>
    <w:rsid w:val="00B33FA7"/>
    <w:rsid w:val="00B3404D"/>
    <w:rsid w:val="00B343E5"/>
    <w:rsid w:val="00B34454"/>
    <w:rsid w:val="00B34455"/>
    <w:rsid w:val="00B347FF"/>
    <w:rsid w:val="00B34826"/>
    <w:rsid w:val="00B350DF"/>
    <w:rsid w:val="00B35149"/>
    <w:rsid w:val="00B355D1"/>
    <w:rsid w:val="00B35EED"/>
    <w:rsid w:val="00B35F58"/>
    <w:rsid w:val="00B35FC3"/>
    <w:rsid w:val="00B36117"/>
    <w:rsid w:val="00B3613E"/>
    <w:rsid w:val="00B362AB"/>
    <w:rsid w:val="00B36356"/>
    <w:rsid w:val="00B36A3E"/>
    <w:rsid w:val="00B36A99"/>
    <w:rsid w:val="00B36DF8"/>
    <w:rsid w:val="00B370EA"/>
    <w:rsid w:val="00B370FA"/>
    <w:rsid w:val="00B37107"/>
    <w:rsid w:val="00B3713D"/>
    <w:rsid w:val="00B37160"/>
    <w:rsid w:val="00B3728C"/>
    <w:rsid w:val="00B37489"/>
    <w:rsid w:val="00B3761B"/>
    <w:rsid w:val="00B376BD"/>
    <w:rsid w:val="00B37753"/>
    <w:rsid w:val="00B379D1"/>
    <w:rsid w:val="00B37C53"/>
    <w:rsid w:val="00B37D36"/>
    <w:rsid w:val="00B37D5C"/>
    <w:rsid w:val="00B37E12"/>
    <w:rsid w:val="00B400EE"/>
    <w:rsid w:val="00B4025E"/>
    <w:rsid w:val="00B40704"/>
    <w:rsid w:val="00B40721"/>
    <w:rsid w:val="00B4098B"/>
    <w:rsid w:val="00B40B14"/>
    <w:rsid w:val="00B40C20"/>
    <w:rsid w:val="00B40C4F"/>
    <w:rsid w:val="00B40C7D"/>
    <w:rsid w:val="00B40E10"/>
    <w:rsid w:val="00B40EE7"/>
    <w:rsid w:val="00B4122F"/>
    <w:rsid w:val="00B4136C"/>
    <w:rsid w:val="00B41427"/>
    <w:rsid w:val="00B414C5"/>
    <w:rsid w:val="00B41A39"/>
    <w:rsid w:val="00B41AA1"/>
    <w:rsid w:val="00B41D7C"/>
    <w:rsid w:val="00B41ED7"/>
    <w:rsid w:val="00B4212C"/>
    <w:rsid w:val="00B4213A"/>
    <w:rsid w:val="00B4262B"/>
    <w:rsid w:val="00B42782"/>
    <w:rsid w:val="00B42A83"/>
    <w:rsid w:val="00B42B01"/>
    <w:rsid w:val="00B42BC7"/>
    <w:rsid w:val="00B42CE9"/>
    <w:rsid w:val="00B43067"/>
    <w:rsid w:val="00B430D3"/>
    <w:rsid w:val="00B43112"/>
    <w:rsid w:val="00B4324D"/>
    <w:rsid w:val="00B43752"/>
    <w:rsid w:val="00B43992"/>
    <w:rsid w:val="00B43D42"/>
    <w:rsid w:val="00B43D77"/>
    <w:rsid w:val="00B43F36"/>
    <w:rsid w:val="00B43F40"/>
    <w:rsid w:val="00B44187"/>
    <w:rsid w:val="00B44491"/>
    <w:rsid w:val="00B44790"/>
    <w:rsid w:val="00B44840"/>
    <w:rsid w:val="00B44A9D"/>
    <w:rsid w:val="00B44BC4"/>
    <w:rsid w:val="00B44BDF"/>
    <w:rsid w:val="00B44EB5"/>
    <w:rsid w:val="00B45015"/>
    <w:rsid w:val="00B4551D"/>
    <w:rsid w:val="00B45854"/>
    <w:rsid w:val="00B45AFE"/>
    <w:rsid w:val="00B45B52"/>
    <w:rsid w:val="00B45B98"/>
    <w:rsid w:val="00B45CF0"/>
    <w:rsid w:val="00B45D73"/>
    <w:rsid w:val="00B45DF2"/>
    <w:rsid w:val="00B45EF9"/>
    <w:rsid w:val="00B464C9"/>
    <w:rsid w:val="00B469D9"/>
    <w:rsid w:val="00B46A81"/>
    <w:rsid w:val="00B473CD"/>
    <w:rsid w:val="00B475E6"/>
    <w:rsid w:val="00B4776E"/>
    <w:rsid w:val="00B47870"/>
    <w:rsid w:val="00B478F1"/>
    <w:rsid w:val="00B47C11"/>
    <w:rsid w:val="00B47DF7"/>
    <w:rsid w:val="00B47EE7"/>
    <w:rsid w:val="00B501E5"/>
    <w:rsid w:val="00B50230"/>
    <w:rsid w:val="00B5056B"/>
    <w:rsid w:val="00B50575"/>
    <w:rsid w:val="00B50584"/>
    <w:rsid w:val="00B5074A"/>
    <w:rsid w:val="00B509EB"/>
    <w:rsid w:val="00B50AD2"/>
    <w:rsid w:val="00B50B73"/>
    <w:rsid w:val="00B50BD7"/>
    <w:rsid w:val="00B50E06"/>
    <w:rsid w:val="00B515A6"/>
    <w:rsid w:val="00B516AB"/>
    <w:rsid w:val="00B5187A"/>
    <w:rsid w:val="00B51935"/>
    <w:rsid w:val="00B519CA"/>
    <w:rsid w:val="00B51D55"/>
    <w:rsid w:val="00B51F40"/>
    <w:rsid w:val="00B52201"/>
    <w:rsid w:val="00B52286"/>
    <w:rsid w:val="00B5228D"/>
    <w:rsid w:val="00B5230C"/>
    <w:rsid w:val="00B52732"/>
    <w:rsid w:val="00B529C5"/>
    <w:rsid w:val="00B52A6A"/>
    <w:rsid w:val="00B52B34"/>
    <w:rsid w:val="00B52D29"/>
    <w:rsid w:val="00B52FF1"/>
    <w:rsid w:val="00B53E8F"/>
    <w:rsid w:val="00B542DC"/>
    <w:rsid w:val="00B54504"/>
    <w:rsid w:val="00B54523"/>
    <w:rsid w:val="00B5453A"/>
    <w:rsid w:val="00B54669"/>
    <w:rsid w:val="00B549DC"/>
    <w:rsid w:val="00B54A41"/>
    <w:rsid w:val="00B54A4F"/>
    <w:rsid w:val="00B54DBF"/>
    <w:rsid w:val="00B54F13"/>
    <w:rsid w:val="00B550EF"/>
    <w:rsid w:val="00B551E2"/>
    <w:rsid w:val="00B55293"/>
    <w:rsid w:val="00B552FA"/>
    <w:rsid w:val="00B55369"/>
    <w:rsid w:val="00B55682"/>
    <w:rsid w:val="00B55D57"/>
    <w:rsid w:val="00B55D92"/>
    <w:rsid w:val="00B55EE6"/>
    <w:rsid w:val="00B56052"/>
    <w:rsid w:val="00B560F2"/>
    <w:rsid w:val="00B56446"/>
    <w:rsid w:val="00B565B2"/>
    <w:rsid w:val="00B566C9"/>
    <w:rsid w:val="00B56770"/>
    <w:rsid w:val="00B567A8"/>
    <w:rsid w:val="00B56A4C"/>
    <w:rsid w:val="00B56A84"/>
    <w:rsid w:val="00B56CE7"/>
    <w:rsid w:val="00B56DAF"/>
    <w:rsid w:val="00B56E9F"/>
    <w:rsid w:val="00B57445"/>
    <w:rsid w:val="00B575B8"/>
    <w:rsid w:val="00B5777C"/>
    <w:rsid w:val="00B57780"/>
    <w:rsid w:val="00B578DB"/>
    <w:rsid w:val="00B579D8"/>
    <w:rsid w:val="00B57B38"/>
    <w:rsid w:val="00B57D1B"/>
    <w:rsid w:val="00B57DEE"/>
    <w:rsid w:val="00B60060"/>
    <w:rsid w:val="00B6026C"/>
    <w:rsid w:val="00B6032F"/>
    <w:rsid w:val="00B60454"/>
    <w:rsid w:val="00B608F9"/>
    <w:rsid w:val="00B60ABB"/>
    <w:rsid w:val="00B60AE4"/>
    <w:rsid w:val="00B60B9B"/>
    <w:rsid w:val="00B6104B"/>
    <w:rsid w:val="00B613E5"/>
    <w:rsid w:val="00B61484"/>
    <w:rsid w:val="00B614A2"/>
    <w:rsid w:val="00B61508"/>
    <w:rsid w:val="00B6154B"/>
    <w:rsid w:val="00B61592"/>
    <w:rsid w:val="00B61680"/>
    <w:rsid w:val="00B617AC"/>
    <w:rsid w:val="00B61817"/>
    <w:rsid w:val="00B61C1E"/>
    <w:rsid w:val="00B61D04"/>
    <w:rsid w:val="00B61E44"/>
    <w:rsid w:val="00B61EEA"/>
    <w:rsid w:val="00B61F69"/>
    <w:rsid w:val="00B62047"/>
    <w:rsid w:val="00B6228D"/>
    <w:rsid w:val="00B6242B"/>
    <w:rsid w:val="00B62469"/>
    <w:rsid w:val="00B6248E"/>
    <w:rsid w:val="00B627E7"/>
    <w:rsid w:val="00B62AE7"/>
    <w:rsid w:val="00B62B04"/>
    <w:rsid w:val="00B62BA7"/>
    <w:rsid w:val="00B62C3A"/>
    <w:rsid w:val="00B62DCA"/>
    <w:rsid w:val="00B63651"/>
    <w:rsid w:val="00B63697"/>
    <w:rsid w:val="00B636D5"/>
    <w:rsid w:val="00B63819"/>
    <w:rsid w:val="00B63975"/>
    <w:rsid w:val="00B63A79"/>
    <w:rsid w:val="00B63C43"/>
    <w:rsid w:val="00B63D4A"/>
    <w:rsid w:val="00B63DD1"/>
    <w:rsid w:val="00B63FA3"/>
    <w:rsid w:val="00B641C4"/>
    <w:rsid w:val="00B642EE"/>
    <w:rsid w:val="00B6451E"/>
    <w:rsid w:val="00B646D1"/>
    <w:rsid w:val="00B6486E"/>
    <w:rsid w:val="00B648E3"/>
    <w:rsid w:val="00B64CED"/>
    <w:rsid w:val="00B64D93"/>
    <w:rsid w:val="00B64D97"/>
    <w:rsid w:val="00B64DA9"/>
    <w:rsid w:val="00B65124"/>
    <w:rsid w:val="00B6515C"/>
    <w:rsid w:val="00B65359"/>
    <w:rsid w:val="00B6631A"/>
    <w:rsid w:val="00B6658D"/>
    <w:rsid w:val="00B66780"/>
    <w:rsid w:val="00B66794"/>
    <w:rsid w:val="00B667EE"/>
    <w:rsid w:val="00B6698C"/>
    <w:rsid w:val="00B66EA1"/>
    <w:rsid w:val="00B66EEB"/>
    <w:rsid w:val="00B66F25"/>
    <w:rsid w:val="00B67432"/>
    <w:rsid w:val="00B674D7"/>
    <w:rsid w:val="00B67578"/>
    <w:rsid w:val="00B67609"/>
    <w:rsid w:val="00B67826"/>
    <w:rsid w:val="00B67845"/>
    <w:rsid w:val="00B67A42"/>
    <w:rsid w:val="00B67A5C"/>
    <w:rsid w:val="00B70566"/>
    <w:rsid w:val="00B70788"/>
    <w:rsid w:val="00B70955"/>
    <w:rsid w:val="00B70964"/>
    <w:rsid w:val="00B70A84"/>
    <w:rsid w:val="00B70A94"/>
    <w:rsid w:val="00B70E15"/>
    <w:rsid w:val="00B710C3"/>
    <w:rsid w:val="00B71105"/>
    <w:rsid w:val="00B71163"/>
    <w:rsid w:val="00B711B4"/>
    <w:rsid w:val="00B7121F"/>
    <w:rsid w:val="00B712FC"/>
    <w:rsid w:val="00B71573"/>
    <w:rsid w:val="00B715E0"/>
    <w:rsid w:val="00B7180C"/>
    <w:rsid w:val="00B71BED"/>
    <w:rsid w:val="00B71DDA"/>
    <w:rsid w:val="00B71DE6"/>
    <w:rsid w:val="00B71F37"/>
    <w:rsid w:val="00B72028"/>
    <w:rsid w:val="00B7210D"/>
    <w:rsid w:val="00B7217B"/>
    <w:rsid w:val="00B7230E"/>
    <w:rsid w:val="00B725C0"/>
    <w:rsid w:val="00B727F9"/>
    <w:rsid w:val="00B72D24"/>
    <w:rsid w:val="00B73335"/>
    <w:rsid w:val="00B73459"/>
    <w:rsid w:val="00B73562"/>
    <w:rsid w:val="00B73571"/>
    <w:rsid w:val="00B737C4"/>
    <w:rsid w:val="00B73898"/>
    <w:rsid w:val="00B7389C"/>
    <w:rsid w:val="00B73AC3"/>
    <w:rsid w:val="00B73B85"/>
    <w:rsid w:val="00B73C77"/>
    <w:rsid w:val="00B73CF5"/>
    <w:rsid w:val="00B74094"/>
    <w:rsid w:val="00B745C7"/>
    <w:rsid w:val="00B74997"/>
    <w:rsid w:val="00B749EF"/>
    <w:rsid w:val="00B74BB7"/>
    <w:rsid w:val="00B75023"/>
    <w:rsid w:val="00B7515E"/>
    <w:rsid w:val="00B75519"/>
    <w:rsid w:val="00B75686"/>
    <w:rsid w:val="00B757D9"/>
    <w:rsid w:val="00B75A78"/>
    <w:rsid w:val="00B75E18"/>
    <w:rsid w:val="00B75EA2"/>
    <w:rsid w:val="00B75EDD"/>
    <w:rsid w:val="00B75F40"/>
    <w:rsid w:val="00B761DD"/>
    <w:rsid w:val="00B7638C"/>
    <w:rsid w:val="00B7648F"/>
    <w:rsid w:val="00B766B2"/>
    <w:rsid w:val="00B7670E"/>
    <w:rsid w:val="00B7671B"/>
    <w:rsid w:val="00B768BA"/>
    <w:rsid w:val="00B76BC3"/>
    <w:rsid w:val="00B76BFF"/>
    <w:rsid w:val="00B76C75"/>
    <w:rsid w:val="00B7702F"/>
    <w:rsid w:val="00B77041"/>
    <w:rsid w:val="00B77087"/>
    <w:rsid w:val="00B77111"/>
    <w:rsid w:val="00B77289"/>
    <w:rsid w:val="00B775B1"/>
    <w:rsid w:val="00B775BC"/>
    <w:rsid w:val="00B775E1"/>
    <w:rsid w:val="00B7766E"/>
    <w:rsid w:val="00B7770B"/>
    <w:rsid w:val="00B77968"/>
    <w:rsid w:val="00B77A76"/>
    <w:rsid w:val="00B77B23"/>
    <w:rsid w:val="00B77C1E"/>
    <w:rsid w:val="00B77CC5"/>
    <w:rsid w:val="00B77DE6"/>
    <w:rsid w:val="00B77FC5"/>
    <w:rsid w:val="00B77FDD"/>
    <w:rsid w:val="00B800B3"/>
    <w:rsid w:val="00B80368"/>
    <w:rsid w:val="00B80697"/>
    <w:rsid w:val="00B80715"/>
    <w:rsid w:val="00B80981"/>
    <w:rsid w:val="00B80DA8"/>
    <w:rsid w:val="00B8103F"/>
    <w:rsid w:val="00B81677"/>
    <w:rsid w:val="00B817CE"/>
    <w:rsid w:val="00B82077"/>
    <w:rsid w:val="00B8209E"/>
    <w:rsid w:val="00B820E2"/>
    <w:rsid w:val="00B824DD"/>
    <w:rsid w:val="00B826B5"/>
    <w:rsid w:val="00B828E1"/>
    <w:rsid w:val="00B829EA"/>
    <w:rsid w:val="00B82DF2"/>
    <w:rsid w:val="00B8323A"/>
    <w:rsid w:val="00B833BB"/>
    <w:rsid w:val="00B836CB"/>
    <w:rsid w:val="00B838AB"/>
    <w:rsid w:val="00B839BE"/>
    <w:rsid w:val="00B83A29"/>
    <w:rsid w:val="00B83F26"/>
    <w:rsid w:val="00B83FE6"/>
    <w:rsid w:val="00B84412"/>
    <w:rsid w:val="00B84454"/>
    <w:rsid w:val="00B845DC"/>
    <w:rsid w:val="00B846EA"/>
    <w:rsid w:val="00B84AE6"/>
    <w:rsid w:val="00B84DB2"/>
    <w:rsid w:val="00B84F63"/>
    <w:rsid w:val="00B84F71"/>
    <w:rsid w:val="00B8500D"/>
    <w:rsid w:val="00B855DF"/>
    <w:rsid w:val="00B85CB6"/>
    <w:rsid w:val="00B85DDB"/>
    <w:rsid w:val="00B85F48"/>
    <w:rsid w:val="00B85FE9"/>
    <w:rsid w:val="00B86321"/>
    <w:rsid w:val="00B865B3"/>
    <w:rsid w:val="00B86B5F"/>
    <w:rsid w:val="00B86FB0"/>
    <w:rsid w:val="00B8700D"/>
    <w:rsid w:val="00B8721D"/>
    <w:rsid w:val="00B872AB"/>
    <w:rsid w:val="00B875D6"/>
    <w:rsid w:val="00B8785A"/>
    <w:rsid w:val="00B87A68"/>
    <w:rsid w:val="00B87AD8"/>
    <w:rsid w:val="00B87DE8"/>
    <w:rsid w:val="00B87FF3"/>
    <w:rsid w:val="00B90619"/>
    <w:rsid w:val="00B90781"/>
    <w:rsid w:val="00B90D48"/>
    <w:rsid w:val="00B91063"/>
    <w:rsid w:val="00B91322"/>
    <w:rsid w:val="00B9147C"/>
    <w:rsid w:val="00B91913"/>
    <w:rsid w:val="00B91CAA"/>
    <w:rsid w:val="00B91EB1"/>
    <w:rsid w:val="00B91F21"/>
    <w:rsid w:val="00B92084"/>
    <w:rsid w:val="00B920E6"/>
    <w:rsid w:val="00B92158"/>
    <w:rsid w:val="00B9235E"/>
    <w:rsid w:val="00B923D1"/>
    <w:rsid w:val="00B9242A"/>
    <w:rsid w:val="00B92503"/>
    <w:rsid w:val="00B92676"/>
    <w:rsid w:val="00B92759"/>
    <w:rsid w:val="00B9283A"/>
    <w:rsid w:val="00B92BF6"/>
    <w:rsid w:val="00B92E0D"/>
    <w:rsid w:val="00B92E3C"/>
    <w:rsid w:val="00B92EA1"/>
    <w:rsid w:val="00B9307C"/>
    <w:rsid w:val="00B930FB"/>
    <w:rsid w:val="00B93134"/>
    <w:rsid w:val="00B931EA"/>
    <w:rsid w:val="00B931F9"/>
    <w:rsid w:val="00B933CB"/>
    <w:rsid w:val="00B9349C"/>
    <w:rsid w:val="00B935CA"/>
    <w:rsid w:val="00B93669"/>
    <w:rsid w:val="00B939A0"/>
    <w:rsid w:val="00B93B71"/>
    <w:rsid w:val="00B93D32"/>
    <w:rsid w:val="00B93DC5"/>
    <w:rsid w:val="00B93ECF"/>
    <w:rsid w:val="00B93F61"/>
    <w:rsid w:val="00B9407B"/>
    <w:rsid w:val="00B94113"/>
    <w:rsid w:val="00B944E2"/>
    <w:rsid w:val="00B94535"/>
    <w:rsid w:val="00B94569"/>
    <w:rsid w:val="00B945AB"/>
    <w:rsid w:val="00B9466F"/>
    <w:rsid w:val="00B947B6"/>
    <w:rsid w:val="00B9481B"/>
    <w:rsid w:val="00B948AE"/>
    <w:rsid w:val="00B94C5F"/>
    <w:rsid w:val="00B94CFB"/>
    <w:rsid w:val="00B9508D"/>
    <w:rsid w:val="00B950D2"/>
    <w:rsid w:val="00B950D7"/>
    <w:rsid w:val="00B952E0"/>
    <w:rsid w:val="00B952EA"/>
    <w:rsid w:val="00B953B5"/>
    <w:rsid w:val="00B953EC"/>
    <w:rsid w:val="00B95471"/>
    <w:rsid w:val="00B9553B"/>
    <w:rsid w:val="00B95716"/>
    <w:rsid w:val="00B957EC"/>
    <w:rsid w:val="00B958AA"/>
    <w:rsid w:val="00B95940"/>
    <w:rsid w:val="00B95A43"/>
    <w:rsid w:val="00B95A70"/>
    <w:rsid w:val="00B95C45"/>
    <w:rsid w:val="00B95DD6"/>
    <w:rsid w:val="00B95F20"/>
    <w:rsid w:val="00B95FE1"/>
    <w:rsid w:val="00B95FE3"/>
    <w:rsid w:val="00B96722"/>
    <w:rsid w:val="00B96995"/>
    <w:rsid w:val="00B96A7F"/>
    <w:rsid w:val="00B96ACD"/>
    <w:rsid w:val="00B96C12"/>
    <w:rsid w:val="00B96D8B"/>
    <w:rsid w:val="00B96EEA"/>
    <w:rsid w:val="00B96F45"/>
    <w:rsid w:val="00B97035"/>
    <w:rsid w:val="00B9717C"/>
    <w:rsid w:val="00B9744F"/>
    <w:rsid w:val="00B976C7"/>
    <w:rsid w:val="00B977E0"/>
    <w:rsid w:val="00B97A22"/>
    <w:rsid w:val="00B97AC6"/>
    <w:rsid w:val="00B97B76"/>
    <w:rsid w:val="00B97BFA"/>
    <w:rsid w:val="00B97C37"/>
    <w:rsid w:val="00B97D30"/>
    <w:rsid w:val="00BA00D6"/>
    <w:rsid w:val="00BA0101"/>
    <w:rsid w:val="00BA0188"/>
    <w:rsid w:val="00BA0282"/>
    <w:rsid w:val="00BA0342"/>
    <w:rsid w:val="00BA04A2"/>
    <w:rsid w:val="00BA069B"/>
    <w:rsid w:val="00BA070D"/>
    <w:rsid w:val="00BA0B9F"/>
    <w:rsid w:val="00BA0E53"/>
    <w:rsid w:val="00BA0E60"/>
    <w:rsid w:val="00BA129F"/>
    <w:rsid w:val="00BA16D0"/>
    <w:rsid w:val="00BA1DE1"/>
    <w:rsid w:val="00BA1EE3"/>
    <w:rsid w:val="00BA24FC"/>
    <w:rsid w:val="00BA2780"/>
    <w:rsid w:val="00BA2AE2"/>
    <w:rsid w:val="00BA2C3E"/>
    <w:rsid w:val="00BA2D69"/>
    <w:rsid w:val="00BA2D71"/>
    <w:rsid w:val="00BA2D9F"/>
    <w:rsid w:val="00BA2FC8"/>
    <w:rsid w:val="00BA3078"/>
    <w:rsid w:val="00BA31F9"/>
    <w:rsid w:val="00BA331A"/>
    <w:rsid w:val="00BA35AD"/>
    <w:rsid w:val="00BA35C1"/>
    <w:rsid w:val="00BA374B"/>
    <w:rsid w:val="00BA3933"/>
    <w:rsid w:val="00BA3C55"/>
    <w:rsid w:val="00BA417B"/>
    <w:rsid w:val="00BA4219"/>
    <w:rsid w:val="00BA4512"/>
    <w:rsid w:val="00BA471E"/>
    <w:rsid w:val="00BA4810"/>
    <w:rsid w:val="00BA494D"/>
    <w:rsid w:val="00BA494F"/>
    <w:rsid w:val="00BA4C2D"/>
    <w:rsid w:val="00BA4DC5"/>
    <w:rsid w:val="00BA506A"/>
    <w:rsid w:val="00BA5219"/>
    <w:rsid w:val="00BA54D9"/>
    <w:rsid w:val="00BA5658"/>
    <w:rsid w:val="00BA582C"/>
    <w:rsid w:val="00BA5896"/>
    <w:rsid w:val="00BA5CF6"/>
    <w:rsid w:val="00BA5D0C"/>
    <w:rsid w:val="00BA603E"/>
    <w:rsid w:val="00BA6295"/>
    <w:rsid w:val="00BA6428"/>
    <w:rsid w:val="00BA6499"/>
    <w:rsid w:val="00BA678A"/>
    <w:rsid w:val="00BA6916"/>
    <w:rsid w:val="00BA6917"/>
    <w:rsid w:val="00BA6C70"/>
    <w:rsid w:val="00BA6D35"/>
    <w:rsid w:val="00BA6F25"/>
    <w:rsid w:val="00BA7027"/>
    <w:rsid w:val="00BA76FC"/>
    <w:rsid w:val="00BA7719"/>
    <w:rsid w:val="00BA782D"/>
    <w:rsid w:val="00BA7956"/>
    <w:rsid w:val="00BA7A30"/>
    <w:rsid w:val="00BA7B08"/>
    <w:rsid w:val="00BA7BC5"/>
    <w:rsid w:val="00BA7F9C"/>
    <w:rsid w:val="00BB0139"/>
    <w:rsid w:val="00BB0183"/>
    <w:rsid w:val="00BB050C"/>
    <w:rsid w:val="00BB0647"/>
    <w:rsid w:val="00BB074B"/>
    <w:rsid w:val="00BB096D"/>
    <w:rsid w:val="00BB09AC"/>
    <w:rsid w:val="00BB0CA0"/>
    <w:rsid w:val="00BB0CA2"/>
    <w:rsid w:val="00BB0E36"/>
    <w:rsid w:val="00BB0EA0"/>
    <w:rsid w:val="00BB1057"/>
    <w:rsid w:val="00BB1081"/>
    <w:rsid w:val="00BB120C"/>
    <w:rsid w:val="00BB1258"/>
    <w:rsid w:val="00BB178D"/>
    <w:rsid w:val="00BB17C8"/>
    <w:rsid w:val="00BB1934"/>
    <w:rsid w:val="00BB1BA3"/>
    <w:rsid w:val="00BB1EB2"/>
    <w:rsid w:val="00BB1F6C"/>
    <w:rsid w:val="00BB20C8"/>
    <w:rsid w:val="00BB21E4"/>
    <w:rsid w:val="00BB21E6"/>
    <w:rsid w:val="00BB2406"/>
    <w:rsid w:val="00BB24C6"/>
    <w:rsid w:val="00BB287B"/>
    <w:rsid w:val="00BB2892"/>
    <w:rsid w:val="00BB29A4"/>
    <w:rsid w:val="00BB2A25"/>
    <w:rsid w:val="00BB2B81"/>
    <w:rsid w:val="00BB2C75"/>
    <w:rsid w:val="00BB3355"/>
    <w:rsid w:val="00BB35C1"/>
    <w:rsid w:val="00BB35EF"/>
    <w:rsid w:val="00BB3C01"/>
    <w:rsid w:val="00BB4232"/>
    <w:rsid w:val="00BB44AD"/>
    <w:rsid w:val="00BB454B"/>
    <w:rsid w:val="00BB4653"/>
    <w:rsid w:val="00BB48DF"/>
    <w:rsid w:val="00BB4C3D"/>
    <w:rsid w:val="00BB4CDE"/>
    <w:rsid w:val="00BB4DD8"/>
    <w:rsid w:val="00BB4F33"/>
    <w:rsid w:val="00BB4F41"/>
    <w:rsid w:val="00BB500A"/>
    <w:rsid w:val="00BB519C"/>
    <w:rsid w:val="00BB53B9"/>
    <w:rsid w:val="00BB5A6F"/>
    <w:rsid w:val="00BB5B89"/>
    <w:rsid w:val="00BB5D32"/>
    <w:rsid w:val="00BB5F74"/>
    <w:rsid w:val="00BB60BB"/>
    <w:rsid w:val="00BB60E6"/>
    <w:rsid w:val="00BB626C"/>
    <w:rsid w:val="00BB6418"/>
    <w:rsid w:val="00BB6445"/>
    <w:rsid w:val="00BB6795"/>
    <w:rsid w:val="00BB6B2D"/>
    <w:rsid w:val="00BB6B60"/>
    <w:rsid w:val="00BB6E1D"/>
    <w:rsid w:val="00BB716B"/>
    <w:rsid w:val="00BB7189"/>
    <w:rsid w:val="00BB720E"/>
    <w:rsid w:val="00BB7515"/>
    <w:rsid w:val="00BB7670"/>
    <w:rsid w:val="00BB76A7"/>
    <w:rsid w:val="00BB76AB"/>
    <w:rsid w:val="00BB7737"/>
    <w:rsid w:val="00BB788F"/>
    <w:rsid w:val="00BB79F0"/>
    <w:rsid w:val="00BB7AFD"/>
    <w:rsid w:val="00BC005F"/>
    <w:rsid w:val="00BC007E"/>
    <w:rsid w:val="00BC0555"/>
    <w:rsid w:val="00BC084F"/>
    <w:rsid w:val="00BC0B5C"/>
    <w:rsid w:val="00BC0E51"/>
    <w:rsid w:val="00BC0F53"/>
    <w:rsid w:val="00BC10E8"/>
    <w:rsid w:val="00BC1420"/>
    <w:rsid w:val="00BC15A4"/>
    <w:rsid w:val="00BC17FA"/>
    <w:rsid w:val="00BC1843"/>
    <w:rsid w:val="00BC1DD1"/>
    <w:rsid w:val="00BC23C6"/>
    <w:rsid w:val="00BC2804"/>
    <w:rsid w:val="00BC292B"/>
    <w:rsid w:val="00BC2971"/>
    <w:rsid w:val="00BC2B76"/>
    <w:rsid w:val="00BC3020"/>
    <w:rsid w:val="00BC31E0"/>
    <w:rsid w:val="00BC338D"/>
    <w:rsid w:val="00BC350E"/>
    <w:rsid w:val="00BC3576"/>
    <w:rsid w:val="00BC368F"/>
    <w:rsid w:val="00BC3762"/>
    <w:rsid w:val="00BC37E9"/>
    <w:rsid w:val="00BC3818"/>
    <w:rsid w:val="00BC3AE3"/>
    <w:rsid w:val="00BC3B08"/>
    <w:rsid w:val="00BC3C6A"/>
    <w:rsid w:val="00BC3DA8"/>
    <w:rsid w:val="00BC41E4"/>
    <w:rsid w:val="00BC435D"/>
    <w:rsid w:val="00BC4656"/>
    <w:rsid w:val="00BC4861"/>
    <w:rsid w:val="00BC49FE"/>
    <w:rsid w:val="00BC4C87"/>
    <w:rsid w:val="00BC52B2"/>
    <w:rsid w:val="00BC5338"/>
    <w:rsid w:val="00BC533A"/>
    <w:rsid w:val="00BC53C7"/>
    <w:rsid w:val="00BC53DE"/>
    <w:rsid w:val="00BC5500"/>
    <w:rsid w:val="00BC584A"/>
    <w:rsid w:val="00BC5852"/>
    <w:rsid w:val="00BC592F"/>
    <w:rsid w:val="00BC5B56"/>
    <w:rsid w:val="00BC5B89"/>
    <w:rsid w:val="00BC5B9E"/>
    <w:rsid w:val="00BC5C05"/>
    <w:rsid w:val="00BC5D4E"/>
    <w:rsid w:val="00BC5D77"/>
    <w:rsid w:val="00BC6095"/>
    <w:rsid w:val="00BC6198"/>
    <w:rsid w:val="00BC6527"/>
    <w:rsid w:val="00BC6536"/>
    <w:rsid w:val="00BC6700"/>
    <w:rsid w:val="00BC6768"/>
    <w:rsid w:val="00BC699F"/>
    <w:rsid w:val="00BC69DE"/>
    <w:rsid w:val="00BC6A84"/>
    <w:rsid w:val="00BC6C49"/>
    <w:rsid w:val="00BC6CA5"/>
    <w:rsid w:val="00BC6DBA"/>
    <w:rsid w:val="00BC6DD2"/>
    <w:rsid w:val="00BC6E15"/>
    <w:rsid w:val="00BC6E28"/>
    <w:rsid w:val="00BC6F2D"/>
    <w:rsid w:val="00BC71C2"/>
    <w:rsid w:val="00BC7366"/>
    <w:rsid w:val="00BC7545"/>
    <w:rsid w:val="00BC78FC"/>
    <w:rsid w:val="00BC79AA"/>
    <w:rsid w:val="00BC7D14"/>
    <w:rsid w:val="00BC7DAA"/>
    <w:rsid w:val="00BC7E07"/>
    <w:rsid w:val="00BD00BD"/>
    <w:rsid w:val="00BD0468"/>
    <w:rsid w:val="00BD063B"/>
    <w:rsid w:val="00BD0732"/>
    <w:rsid w:val="00BD092E"/>
    <w:rsid w:val="00BD096F"/>
    <w:rsid w:val="00BD0C2A"/>
    <w:rsid w:val="00BD0CA7"/>
    <w:rsid w:val="00BD0F05"/>
    <w:rsid w:val="00BD0FB0"/>
    <w:rsid w:val="00BD110A"/>
    <w:rsid w:val="00BD11E3"/>
    <w:rsid w:val="00BD120B"/>
    <w:rsid w:val="00BD13AE"/>
    <w:rsid w:val="00BD1492"/>
    <w:rsid w:val="00BD159E"/>
    <w:rsid w:val="00BD161E"/>
    <w:rsid w:val="00BD1620"/>
    <w:rsid w:val="00BD18C5"/>
    <w:rsid w:val="00BD1A5A"/>
    <w:rsid w:val="00BD1C6A"/>
    <w:rsid w:val="00BD2168"/>
    <w:rsid w:val="00BD2304"/>
    <w:rsid w:val="00BD23E0"/>
    <w:rsid w:val="00BD24F4"/>
    <w:rsid w:val="00BD275C"/>
    <w:rsid w:val="00BD2A42"/>
    <w:rsid w:val="00BD2C95"/>
    <w:rsid w:val="00BD2CB8"/>
    <w:rsid w:val="00BD2D71"/>
    <w:rsid w:val="00BD311C"/>
    <w:rsid w:val="00BD33DA"/>
    <w:rsid w:val="00BD34BA"/>
    <w:rsid w:val="00BD353C"/>
    <w:rsid w:val="00BD371C"/>
    <w:rsid w:val="00BD3AA1"/>
    <w:rsid w:val="00BD3ACD"/>
    <w:rsid w:val="00BD3CD9"/>
    <w:rsid w:val="00BD3EB1"/>
    <w:rsid w:val="00BD3FD4"/>
    <w:rsid w:val="00BD4524"/>
    <w:rsid w:val="00BD45B0"/>
    <w:rsid w:val="00BD45CF"/>
    <w:rsid w:val="00BD495E"/>
    <w:rsid w:val="00BD499B"/>
    <w:rsid w:val="00BD4CCB"/>
    <w:rsid w:val="00BD4D97"/>
    <w:rsid w:val="00BD4DC8"/>
    <w:rsid w:val="00BD517E"/>
    <w:rsid w:val="00BD53A0"/>
    <w:rsid w:val="00BD55DE"/>
    <w:rsid w:val="00BD583A"/>
    <w:rsid w:val="00BD5918"/>
    <w:rsid w:val="00BD5BF8"/>
    <w:rsid w:val="00BD63D9"/>
    <w:rsid w:val="00BD683A"/>
    <w:rsid w:val="00BD697A"/>
    <w:rsid w:val="00BD6A7B"/>
    <w:rsid w:val="00BD6AAB"/>
    <w:rsid w:val="00BD6AB0"/>
    <w:rsid w:val="00BD6BE2"/>
    <w:rsid w:val="00BD6F57"/>
    <w:rsid w:val="00BD713C"/>
    <w:rsid w:val="00BD71CB"/>
    <w:rsid w:val="00BD71F7"/>
    <w:rsid w:val="00BD74A6"/>
    <w:rsid w:val="00BD74FE"/>
    <w:rsid w:val="00BD75B0"/>
    <w:rsid w:val="00BD7632"/>
    <w:rsid w:val="00BD767D"/>
    <w:rsid w:val="00BD7A65"/>
    <w:rsid w:val="00BD7E31"/>
    <w:rsid w:val="00BD7E3D"/>
    <w:rsid w:val="00BD7F71"/>
    <w:rsid w:val="00BE0072"/>
    <w:rsid w:val="00BE00A0"/>
    <w:rsid w:val="00BE041C"/>
    <w:rsid w:val="00BE0613"/>
    <w:rsid w:val="00BE0730"/>
    <w:rsid w:val="00BE07CA"/>
    <w:rsid w:val="00BE0AD9"/>
    <w:rsid w:val="00BE0B1C"/>
    <w:rsid w:val="00BE0C68"/>
    <w:rsid w:val="00BE0D0F"/>
    <w:rsid w:val="00BE167D"/>
    <w:rsid w:val="00BE1892"/>
    <w:rsid w:val="00BE191B"/>
    <w:rsid w:val="00BE1979"/>
    <w:rsid w:val="00BE1AAF"/>
    <w:rsid w:val="00BE1B22"/>
    <w:rsid w:val="00BE1B5D"/>
    <w:rsid w:val="00BE1B90"/>
    <w:rsid w:val="00BE1C11"/>
    <w:rsid w:val="00BE1DC6"/>
    <w:rsid w:val="00BE1FB2"/>
    <w:rsid w:val="00BE1FD3"/>
    <w:rsid w:val="00BE2038"/>
    <w:rsid w:val="00BE2551"/>
    <w:rsid w:val="00BE2779"/>
    <w:rsid w:val="00BE2865"/>
    <w:rsid w:val="00BE29D0"/>
    <w:rsid w:val="00BE2E6B"/>
    <w:rsid w:val="00BE3019"/>
    <w:rsid w:val="00BE3055"/>
    <w:rsid w:val="00BE376A"/>
    <w:rsid w:val="00BE378C"/>
    <w:rsid w:val="00BE3792"/>
    <w:rsid w:val="00BE385A"/>
    <w:rsid w:val="00BE388E"/>
    <w:rsid w:val="00BE3FFA"/>
    <w:rsid w:val="00BE4164"/>
    <w:rsid w:val="00BE4418"/>
    <w:rsid w:val="00BE4445"/>
    <w:rsid w:val="00BE4A8F"/>
    <w:rsid w:val="00BE4CAF"/>
    <w:rsid w:val="00BE4E09"/>
    <w:rsid w:val="00BE5248"/>
    <w:rsid w:val="00BE52D4"/>
    <w:rsid w:val="00BE5317"/>
    <w:rsid w:val="00BE554A"/>
    <w:rsid w:val="00BE57BC"/>
    <w:rsid w:val="00BE5C6A"/>
    <w:rsid w:val="00BE5E0B"/>
    <w:rsid w:val="00BE5E84"/>
    <w:rsid w:val="00BE5F91"/>
    <w:rsid w:val="00BE6009"/>
    <w:rsid w:val="00BE60F6"/>
    <w:rsid w:val="00BE660F"/>
    <w:rsid w:val="00BE6705"/>
    <w:rsid w:val="00BE6772"/>
    <w:rsid w:val="00BE6773"/>
    <w:rsid w:val="00BE68F5"/>
    <w:rsid w:val="00BE6B78"/>
    <w:rsid w:val="00BE703C"/>
    <w:rsid w:val="00BE7330"/>
    <w:rsid w:val="00BE765B"/>
    <w:rsid w:val="00BE771B"/>
    <w:rsid w:val="00BE79F5"/>
    <w:rsid w:val="00BF014C"/>
    <w:rsid w:val="00BF0380"/>
    <w:rsid w:val="00BF044A"/>
    <w:rsid w:val="00BF04B9"/>
    <w:rsid w:val="00BF0965"/>
    <w:rsid w:val="00BF0D7C"/>
    <w:rsid w:val="00BF113B"/>
    <w:rsid w:val="00BF1240"/>
    <w:rsid w:val="00BF12C4"/>
    <w:rsid w:val="00BF14F4"/>
    <w:rsid w:val="00BF1593"/>
    <w:rsid w:val="00BF15C1"/>
    <w:rsid w:val="00BF1678"/>
    <w:rsid w:val="00BF17DA"/>
    <w:rsid w:val="00BF18EC"/>
    <w:rsid w:val="00BF1924"/>
    <w:rsid w:val="00BF1D69"/>
    <w:rsid w:val="00BF255B"/>
    <w:rsid w:val="00BF2638"/>
    <w:rsid w:val="00BF266E"/>
    <w:rsid w:val="00BF26CD"/>
    <w:rsid w:val="00BF286A"/>
    <w:rsid w:val="00BF287F"/>
    <w:rsid w:val="00BF2956"/>
    <w:rsid w:val="00BF2EE9"/>
    <w:rsid w:val="00BF2F05"/>
    <w:rsid w:val="00BF32CE"/>
    <w:rsid w:val="00BF3406"/>
    <w:rsid w:val="00BF35CE"/>
    <w:rsid w:val="00BF38AD"/>
    <w:rsid w:val="00BF38C3"/>
    <w:rsid w:val="00BF4171"/>
    <w:rsid w:val="00BF4218"/>
    <w:rsid w:val="00BF429F"/>
    <w:rsid w:val="00BF42BE"/>
    <w:rsid w:val="00BF4405"/>
    <w:rsid w:val="00BF44FD"/>
    <w:rsid w:val="00BF46E8"/>
    <w:rsid w:val="00BF478E"/>
    <w:rsid w:val="00BF4BFE"/>
    <w:rsid w:val="00BF4C69"/>
    <w:rsid w:val="00BF4D19"/>
    <w:rsid w:val="00BF5025"/>
    <w:rsid w:val="00BF51E9"/>
    <w:rsid w:val="00BF52F9"/>
    <w:rsid w:val="00BF556B"/>
    <w:rsid w:val="00BF5680"/>
    <w:rsid w:val="00BF5723"/>
    <w:rsid w:val="00BF5A26"/>
    <w:rsid w:val="00BF6095"/>
    <w:rsid w:val="00BF6283"/>
    <w:rsid w:val="00BF65E6"/>
    <w:rsid w:val="00BF660B"/>
    <w:rsid w:val="00BF6652"/>
    <w:rsid w:val="00BF669F"/>
    <w:rsid w:val="00BF66CC"/>
    <w:rsid w:val="00BF67BF"/>
    <w:rsid w:val="00BF67F5"/>
    <w:rsid w:val="00BF67F8"/>
    <w:rsid w:val="00BF6B09"/>
    <w:rsid w:val="00BF6CB5"/>
    <w:rsid w:val="00BF6F4C"/>
    <w:rsid w:val="00BF76D7"/>
    <w:rsid w:val="00BF780D"/>
    <w:rsid w:val="00BF798A"/>
    <w:rsid w:val="00BF7A27"/>
    <w:rsid w:val="00BF7C39"/>
    <w:rsid w:val="00BF7CA8"/>
    <w:rsid w:val="00BF7CCD"/>
    <w:rsid w:val="00BF7CD6"/>
    <w:rsid w:val="00C000C4"/>
    <w:rsid w:val="00C003D1"/>
    <w:rsid w:val="00C004E2"/>
    <w:rsid w:val="00C00769"/>
    <w:rsid w:val="00C0084E"/>
    <w:rsid w:val="00C00959"/>
    <w:rsid w:val="00C00A7A"/>
    <w:rsid w:val="00C00B76"/>
    <w:rsid w:val="00C00BD9"/>
    <w:rsid w:val="00C00D32"/>
    <w:rsid w:val="00C01127"/>
    <w:rsid w:val="00C01169"/>
    <w:rsid w:val="00C01292"/>
    <w:rsid w:val="00C012B2"/>
    <w:rsid w:val="00C014C5"/>
    <w:rsid w:val="00C015B7"/>
    <w:rsid w:val="00C01802"/>
    <w:rsid w:val="00C018BD"/>
    <w:rsid w:val="00C01CCC"/>
    <w:rsid w:val="00C01E73"/>
    <w:rsid w:val="00C01F50"/>
    <w:rsid w:val="00C023BB"/>
    <w:rsid w:val="00C02484"/>
    <w:rsid w:val="00C025CB"/>
    <w:rsid w:val="00C02882"/>
    <w:rsid w:val="00C02962"/>
    <w:rsid w:val="00C0299C"/>
    <w:rsid w:val="00C02A39"/>
    <w:rsid w:val="00C02E23"/>
    <w:rsid w:val="00C0314D"/>
    <w:rsid w:val="00C0326D"/>
    <w:rsid w:val="00C0346D"/>
    <w:rsid w:val="00C03477"/>
    <w:rsid w:val="00C035A0"/>
    <w:rsid w:val="00C03600"/>
    <w:rsid w:val="00C03672"/>
    <w:rsid w:val="00C03791"/>
    <w:rsid w:val="00C038BE"/>
    <w:rsid w:val="00C03941"/>
    <w:rsid w:val="00C03981"/>
    <w:rsid w:val="00C039A9"/>
    <w:rsid w:val="00C040A3"/>
    <w:rsid w:val="00C04192"/>
    <w:rsid w:val="00C041A0"/>
    <w:rsid w:val="00C0428F"/>
    <w:rsid w:val="00C042B6"/>
    <w:rsid w:val="00C0448D"/>
    <w:rsid w:val="00C0473C"/>
    <w:rsid w:val="00C047D9"/>
    <w:rsid w:val="00C04A7E"/>
    <w:rsid w:val="00C04D65"/>
    <w:rsid w:val="00C04D7E"/>
    <w:rsid w:val="00C04FB7"/>
    <w:rsid w:val="00C05142"/>
    <w:rsid w:val="00C051F9"/>
    <w:rsid w:val="00C05312"/>
    <w:rsid w:val="00C053C8"/>
    <w:rsid w:val="00C053D1"/>
    <w:rsid w:val="00C05483"/>
    <w:rsid w:val="00C0569C"/>
    <w:rsid w:val="00C057B3"/>
    <w:rsid w:val="00C05953"/>
    <w:rsid w:val="00C05ADF"/>
    <w:rsid w:val="00C05CFB"/>
    <w:rsid w:val="00C05D70"/>
    <w:rsid w:val="00C0602B"/>
    <w:rsid w:val="00C06435"/>
    <w:rsid w:val="00C0645B"/>
    <w:rsid w:val="00C06758"/>
    <w:rsid w:val="00C0675A"/>
    <w:rsid w:val="00C0679B"/>
    <w:rsid w:val="00C06C66"/>
    <w:rsid w:val="00C06C72"/>
    <w:rsid w:val="00C06DC8"/>
    <w:rsid w:val="00C06EF0"/>
    <w:rsid w:val="00C06FB6"/>
    <w:rsid w:val="00C07314"/>
    <w:rsid w:val="00C0732C"/>
    <w:rsid w:val="00C07395"/>
    <w:rsid w:val="00C074DA"/>
    <w:rsid w:val="00C0757B"/>
    <w:rsid w:val="00C07C38"/>
    <w:rsid w:val="00C07F5F"/>
    <w:rsid w:val="00C07F69"/>
    <w:rsid w:val="00C1002C"/>
    <w:rsid w:val="00C10160"/>
    <w:rsid w:val="00C101F8"/>
    <w:rsid w:val="00C102E8"/>
    <w:rsid w:val="00C1055B"/>
    <w:rsid w:val="00C10723"/>
    <w:rsid w:val="00C10850"/>
    <w:rsid w:val="00C1088B"/>
    <w:rsid w:val="00C10B37"/>
    <w:rsid w:val="00C10EC9"/>
    <w:rsid w:val="00C10FC3"/>
    <w:rsid w:val="00C10FFF"/>
    <w:rsid w:val="00C110C2"/>
    <w:rsid w:val="00C111C7"/>
    <w:rsid w:val="00C111FD"/>
    <w:rsid w:val="00C11226"/>
    <w:rsid w:val="00C112E9"/>
    <w:rsid w:val="00C115CF"/>
    <w:rsid w:val="00C11865"/>
    <w:rsid w:val="00C11900"/>
    <w:rsid w:val="00C11948"/>
    <w:rsid w:val="00C11D6C"/>
    <w:rsid w:val="00C11EC8"/>
    <w:rsid w:val="00C122A1"/>
    <w:rsid w:val="00C122A2"/>
    <w:rsid w:val="00C1259B"/>
    <w:rsid w:val="00C12630"/>
    <w:rsid w:val="00C127AB"/>
    <w:rsid w:val="00C128C7"/>
    <w:rsid w:val="00C12D05"/>
    <w:rsid w:val="00C12D79"/>
    <w:rsid w:val="00C12E66"/>
    <w:rsid w:val="00C131CA"/>
    <w:rsid w:val="00C134D8"/>
    <w:rsid w:val="00C136AF"/>
    <w:rsid w:val="00C1371E"/>
    <w:rsid w:val="00C137AB"/>
    <w:rsid w:val="00C138B7"/>
    <w:rsid w:val="00C13A16"/>
    <w:rsid w:val="00C13D57"/>
    <w:rsid w:val="00C13E37"/>
    <w:rsid w:val="00C140CE"/>
    <w:rsid w:val="00C14180"/>
    <w:rsid w:val="00C14331"/>
    <w:rsid w:val="00C14515"/>
    <w:rsid w:val="00C14CA5"/>
    <w:rsid w:val="00C14DB0"/>
    <w:rsid w:val="00C14DD9"/>
    <w:rsid w:val="00C15099"/>
    <w:rsid w:val="00C150D6"/>
    <w:rsid w:val="00C150F8"/>
    <w:rsid w:val="00C1542F"/>
    <w:rsid w:val="00C155E8"/>
    <w:rsid w:val="00C156F7"/>
    <w:rsid w:val="00C1570D"/>
    <w:rsid w:val="00C157AB"/>
    <w:rsid w:val="00C15ECA"/>
    <w:rsid w:val="00C15FE8"/>
    <w:rsid w:val="00C16058"/>
    <w:rsid w:val="00C1609A"/>
    <w:rsid w:val="00C161A8"/>
    <w:rsid w:val="00C16262"/>
    <w:rsid w:val="00C16362"/>
    <w:rsid w:val="00C1645B"/>
    <w:rsid w:val="00C164AF"/>
    <w:rsid w:val="00C1656A"/>
    <w:rsid w:val="00C1665D"/>
    <w:rsid w:val="00C166C3"/>
    <w:rsid w:val="00C169CF"/>
    <w:rsid w:val="00C16ECC"/>
    <w:rsid w:val="00C16F69"/>
    <w:rsid w:val="00C170F6"/>
    <w:rsid w:val="00C17129"/>
    <w:rsid w:val="00C1728B"/>
    <w:rsid w:val="00C172BD"/>
    <w:rsid w:val="00C173FB"/>
    <w:rsid w:val="00C17519"/>
    <w:rsid w:val="00C17574"/>
    <w:rsid w:val="00C17889"/>
    <w:rsid w:val="00C17B59"/>
    <w:rsid w:val="00C17CDE"/>
    <w:rsid w:val="00C17D32"/>
    <w:rsid w:val="00C200A2"/>
    <w:rsid w:val="00C202B0"/>
    <w:rsid w:val="00C207D4"/>
    <w:rsid w:val="00C20809"/>
    <w:rsid w:val="00C20B6D"/>
    <w:rsid w:val="00C20BB9"/>
    <w:rsid w:val="00C20F43"/>
    <w:rsid w:val="00C20FBC"/>
    <w:rsid w:val="00C21386"/>
    <w:rsid w:val="00C21446"/>
    <w:rsid w:val="00C21577"/>
    <w:rsid w:val="00C21596"/>
    <w:rsid w:val="00C2162B"/>
    <w:rsid w:val="00C21823"/>
    <w:rsid w:val="00C21988"/>
    <w:rsid w:val="00C21D47"/>
    <w:rsid w:val="00C21E74"/>
    <w:rsid w:val="00C22127"/>
    <w:rsid w:val="00C224B3"/>
    <w:rsid w:val="00C227DA"/>
    <w:rsid w:val="00C2280A"/>
    <w:rsid w:val="00C22C05"/>
    <w:rsid w:val="00C22C10"/>
    <w:rsid w:val="00C22CAD"/>
    <w:rsid w:val="00C22D3D"/>
    <w:rsid w:val="00C22DBF"/>
    <w:rsid w:val="00C23091"/>
    <w:rsid w:val="00C23227"/>
    <w:rsid w:val="00C23262"/>
    <w:rsid w:val="00C23654"/>
    <w:rsid w:val="00C23734"/>
    <w:rsid w:val="00C237AF"/>
    <w:rsid w:val="00C237D9"/>
    <w:rsid w:val="00C238B6"/>
    <w:rsid w:val="00C23921"/>
    <w:rsid w:val="00C23958"/>
    <w:rsid w:val="00C239E5"/>
    <w:rsid w:val="00C23B0E"/>
    <w:rsid w:val="00C23B8B"/>
    <w:rsid w:val="00C2439B"/>
    <w:rsid w:val="00C243EE"/>
    <w:rsid w:val="00C244B2"/>
    <w:rsid w:val="00C244FE"/>
    <w:rsid w:val="00C24536"/>
    <w:rsid w:val="00C245C1"/>
    <w:rsid w:val="00C2463B"/>
    <w:rsid w:val="00C2474F"/>
    <w:rsid w:val="00C24A8D"/>
    <w:rsid w:val="00C24AAC"/>
    <w:rsid w:val="00C24C7D"/>
    <w:rsid w:val="00C24F4D"/>
    <w:rsid w:val="00C25044"/>
    <w:rsid w:val="00C2519A"/>
    <w:rsid w:val="00C257AA"/>
    <w:rsid w:val="00C2584A"/>
    <w:rsid w:val="00C25C26"/>
    <w:rsid w:val="00C25CAD"/>
    <w:rsid w:val="00C25CC9"/>
    <w:rsid w:val="00C25F71"/>
    <w:rsid w:val="00C25F8E"/>
    <w:rsid w:val="00C25FE7"/>
    <w:rsid w:val="00C2629C"/>
    <w:rsid w:val="00C26551"/>
    <w:rsid w:val="00C26755"/>
    <w:rsid w:val="00C267B7"/>
    <w:rsid w:val="00C2680F"/>
    <w:rsid w:val="00C26956"/>
    <w:rsid w:val="00C26BE1"/>
    <w:rsid w:val="00C26C5C"/>
    <w:rsid w:val="00C26D3F"/>
    <w:rsid w:val="00C26D8E"/>
    <w:rsid w:val="00C27054"/>
    <w:rsid w:val="00C27454"/>
    <w:rsid w:val="00C27649"/>
    <w:rsid w:val="00C27AA4"/>
    <w:rsid w:val="00C27B90"/>
    <w:rsid w:val="00C27D8C"/>
    <w:rsid w:val="00C27DF0"/>
    <w:rsid w:val="00C27E0D"/>
    <w:rsid w:val="00C27ED1"/>
    <w:rsid w:val="00C3018B"/>
    <w:rsid w:val="00C30230"/>
    <w:rsid w:val="00C307EE"/>
    <w:rsid w:val="00C30845"/>
    <w:rsid w:val="00C30BE9"/>
    <w:rsid w:val="00C30F20"/>
    <w:rsid w:val="00C31272"/>
    <w:rsid w:val="00C31319"/>
    <w:rsid w:val="00C3156E"/>
    <w:rsid w:val="00C315B7"/>
    <w:rsid w:val="00C31757"/>
    <w:rsid w:val="00C31BF7"/>
    <w:rsid w:val="00C31EE7"/>
    <w:rsid w:val="00C320A0"/>
    <w:rsid w:val="00C3228A"/>
    <w:rsid w:val="00C326CA"/>
    <w:rsid w:val="00C3276B"/>
    <w:rsid w:val="00C329A9"/>
    <w:rsid w:val="00C32A72"/>
    <w:rsid w:val="00C32BD8"/>
    <w:rsid w:val="00C32D42"/>
    <w:rsid w:val="00C330D2"/>
    <w:rsid w:val="00C3334A"/>
    <w:rsid w:val="00C338B1"/>
    <w:rsid w:val="00C33CC1"/>
    <w:rsid w:val="00C33F13"/>
    <w:rsid w:val="00C34169"/>
    <w:rsid w:val="00C341FA"/>
    <w:rsid w:val="00C34517"/>
    <w:rsid w:val="00C345C7"/>
    <w:rsid w:val="00C34AE1"/>
    <w:rsid w:val="00C3522D"/>
    <w:rsid w:val="00C35230"/>
    <w:rsid w:val="00C352CB"/>
    <w:rsid w:val="00C3551F"/>
    <w:rsid w:val="00C3556E"/>
    <w:rsid w:val="00C35652"/>
    <w:rsid w:val="00C35A19"/>
    <w:rsid w:val="00C35BAC"/>
    <w:rsid w:val="00C35DFC"/>
    <w:rsid w:val="00C360CF"/>
    <w:rsid w:val="00C36436"/>
    <w:rsid w:val="00C3665A"/>
    <w:rsid w:val="00C36725"/>
    <w:rsid w:val="00C367E4"/>
    <w:rsid w:val="00C367F0"/>
    <w:rsid w:val="00C368DC"/>
    <w:rsid w:val="00C36D95"/>
    <w:rsid w:val="00C36ED8"/>
    <w:rsid w:val="00C36F70"/>
    <w:rsid w:val="00C3712B"/>
    <w:rsid w:val="00C3719B"/>
    <w:rsid w:val="00C371E0"/>
    <w:rsid w:val="00C372B9"/>
    <w:rsid w:val="00C374AD"/>
    <w:rsid w:val="00C374B9"/>
    <w:rsid w:val="00C37543"/>
    <w:rsid w:val="00C37976"/>
    <w:rsid w:val="00C3797C"/>
    <w:rsid w:val="00C40142"/>
    <w:rsid w:val="00C40195"/>
    <w:rsid w:val="00C40241"/>
    <w:rsid w:val="00C405EE"/>
    <w:rsid w:val="00C40781"/>
    <w:rsid w:val="00C40799"/>
    <w:rsid w:val="00C407A2"/>
    <w:rsid w:val="00C40803"/>
    <w:rsid w:val="00C4093A"/>
    <w:rsid w:val="00C40999"/>
    <w:rsid w:val="00C40D4F"/>
    <w:rsid w:val="00C40E21"/>
    <w:rsid w:val="00C40E37"/>
    <w:rsid w:val="00C41471"/>
    <w:rsid w:val="00C415D1"/>
    <w:rsid w:val="00C4174C"/>
    <w:rsid w:val="00C4183E"/>
    <w:rsid w:val="00C4185C"/>
    <w:rsid w:val="00C41AFF"/>
    <w:rsid w:val="00C41D11"/>
    <w:rsid w:val="00C41D2C"/>
    <w:rsid w:val="00C41D38"/>
    <w:rsid w:val="00C41D50"/>
    <w:rsid w:val="00C41DCC"/>
    <w:rsid w:val="00C41F63"/>
    <w:rsid w:val="00C42371"/>
    <w:rsid w:val="00C424A1"/>
    <w:rsid w:val="00C42599"/>
    <w:rsid w:val="00C429A6"/>
    <w:rsid w:val="00C42A49"/>
    <w:rsid w:val="00C42C1D"/>
    <w:rsid w:val="00C42D4B"/>
    <w:rsid w:val="00C42FA1"/>
    <w:rsid w:val="00C431BE"/>
    <w:rsid w:val="00C43371"/>
    <w:rsid w:val="00C433AA"/>
    <w:rsid w:val="00C437BE"/>
    <w:rsid w:val="00C43ACC"/>
    <w:rsid w:val="00C43FC7"/>
    <w:rsid w:val="00C4421F"/>
    <w:rsid w:val="00C442A5"/>
    <w:rsid w:val="00C443EC"/>
    <w:rsid w:val="00C44528"/>
    <w:rsid w:val="00C446F0"/>
    <w:rsid w:val="00C44AEA"/>
    <w:rsid w:val="00C44FAA"/>
    <w:rsid w:val="00C44FE2"/>
    <w:rsid w:val="00C452B1"/>
    <w:rsid w:val="00C456B0"/>
    <w:rsid w:val="00C45798"/>
    <w:rsid w:val="00C459B4"/>
    <w:rsid w:val="00C45BE1"/>
    <w:rsid w:val="00C45C3A"/>
    <w:rsid w:val="00C45CC5"/>
    <w:rsid w:val="00C45E23"/>
    <w:rsid w:val="00C45EF8"/>
    <w:rsid w:val="00C4607A"/>
    <w:rsid w:val="00C46376"/>
    <w:rsid w:val="00C46548"/>
    <w:rsid w:val="00C466AA"/>
    <w:rsid w:val="00C46858"/>
    <w:rsid w:val="00C46891"/>
    <w:rsid w:val="00C468E5"/>
    <w:rsid w:val="00C46D04"/>
    <w:rsid w:val="00C46E1E"/>
    <w:rsid w:val="00C46EDA"/>
    <w:rsid w:val="00C46F5D"/>
    <w:rsid w:val="00C46F84"/>
    <w:rsid w:val="00C4710F"/>
    <w:rsid w:val="00C472C4"/>
    <w:rsid w:val="00C47361"/>
    <w:rsid w:val="00C4738D"/>
    <w:rsid w:val="00C47708"/>
    <w:rsid w:val="00C477C5"/>
    <w:rsid w:val="00C479DC"/>
    <w:rsid w:val="00C47A6D"/>
    <w:rsid w:val="00C47ADA"/>
    <w:rsid w:val="00C47DEB"/>
    <w:rsid w:val="00C47E30"/>
    <w:rsid w:val="00C50470"/>
    <w:rsid w:val="00C50482"/>
    <w:rsid w:val="00C505E3"/>
    <w:rsid w:val="00C50905"/>
    <w:rsid w:val="00C509BF"/>
    <w:rsid w:val="00C50AC6"/>
    <w:rsid w:val="00C50B70"/>
    <w:rsid w:val="00C50C62"/>
    <w:rsid w:val="00C51086"/>
    <w:rsid w:val="00C51202"/>
    <w:rsid w:val="00C513AD"/>
    <w:rsid w:val="00C517A3"/>
    <w:rsid w:val="00C517DA"/>
    <w:rsid w:val="00C5184B"/>
    <w:rsid w:val="00C5190C"/>
    <w:rsid w:val="00C5191A"/>
    <w:rsid w:val="00C51AC5"/>
    <w:rsid w:val="00C51CA3"/>
    <w:rsid w:val="00C51E69"/>
    <w:rsid w:val="00C521BD"/>
    <w:rsid w:val="00C522ED"/>
    <w:rsid w:val="00C5230E"/>
    <w:rsid w:val="00C52684"/>
    <w:rsid w:val="00C5289B"/>
    <w:rsid w:val="00C52F86"/>
    <w:rsid w:val="00C530AB"/>
    <w:rsid w:val="00C5314B"/>
    <w:rsid w:val="00C535EA"/>
    <w:rsid w:val="00C53750"/>
    <w:rsid w:val="00C53AEB"/>
    <w:rsid w:val="00C53BFC"/>
    <w:rsid w:val="00C53C60"/>
    <w:rsid w:val="00C53CE3"/>
    <w:rsid w:val="00C53F16"/>
    <w:rsid w:val="00C53FB1"/>
    <w:rsid w:val="00C5421F"/>
    <w:rsid w:val="00C54462"/>
    <w:rsid w:val="00C547CE"/>
    <w:rsid w:val="00C54CB5"/>
    <w:rsid w:val="00C54ED1"/>
    <w:rsid w:val="00C551CA"/>
    <w:rsid w:val="00C55202"/>
    <w:rsid w:val="00C55221"/>
    <w:rsid w:val="00C5523C"/>
    <w:rsid w:val="00C55376"/>
    <w:rsid w:val="00C5565A"/>
    <w:rsid w:val="00C55845"/>
    <w:rsid w:val="00C55874"/>
    <w:rsid w:val="00C558B2"/>
    <w:rsid w:val="00C559BD"/>
    <w:rsid w:val="00C55B32"/>
    <w:rsid w:val="00C55B47"/>
    <w:rsid w:val="00C55BF2"/>
    <w:rsid w:val="00C5635D"/>
    <w:rsid w:val="00C563B4"/>
    <w:rsid w:val="00C56753"/>
    <w:rsid w:val="00C567A1"/>
    <w:rsid w:val="00C56952"/>
    <w:rsid w:val="00C56961"/>
    <w:rsid w:val="00C569CC"/>
    <w:rsid w:val="00C56CCB"/>
    <w:rsid w:val="00C5713C"/>
    <w:rsid w:val="00C57326"/>
    <w:rsid w:val="00C575CE"/>
    <w:rsid w:val="00C57747"/>
    <w:rsid w:val="00C5780C"/>
    <w:rsid w:val="00C57839"/>
    <w:rsid w:val="00C57950"/>
    <w:rsid w:val="00C57A2E"/>
    <w:rsid w:val="00C57BE7"/>
    <w:rsid w:val="00C57C65"/>
    <w:rsid w:val="00C6001F"/>
    <w:rsid w:val="00C6004A"/>
    <w:rsid w:val="00C60507"/>
    <w:rsid w:val="00C6064F"/>
    <w:rsid w:val="00C607B4"/>
    <w:rsid w:val="00C609FD"/>
    <w:rsid w:val="00C60A83"/>
    <w:rsid w:val="00C60EA0"/>
    <w:rsid w:val="00C611C7"/>
    <w:rsid w:val="00C6133F"/>
    <w:rsid w:val="00C6139E"/>
    <w:rsid w:val="00C61484"/>
    <w:rsid w:val="00C614E3"/>
    <w:rsid w:val="00C6178E"/>
    <w:rsid w:val="00C617D4"/>
    <w:rsid w:val="00C619D2"/>
    <w:rsid w:val="00C61B0A"/>
    <w:rsid w:val="00C61B4F"/>
    <w:rsid w:val="00C61C04"/>
    <w:rsid w:val="00C61CE8"/>
    <w:rsid w:val="00C61CF3"/>
    <w:rsid w:val="00C61E00"/>
    <w:rsid w:val="00C61F04"/>
    <w:rsid w:val="00C621A8"/>
    <w:rsid w:val="00C6238B"/>
    <w:rsid w:val="00C624CD"/>
    <w:rsid w:val="00C6256E"/>
    <w:rsid w:val="00C62614"/>
    <w:rsid w:val="00C62D1F"/>
    <w:rsid w:val="00C62EFA"/>
    <w:rsid w:val="00C635CB"/>
    <w:rsid w:val="00C63708"/>
    <w:rsid w:val="00C638F9"/>
    <w:rsid w:val="00C63918"/>
    <w:rsid w:val="00C63957"/>
    <w:rsid w:val="00C63A44"/>
    <w:rsid w:val="00C63F71"/>
    <w:rsid w:val="00C640CF"/>
    <w:rsid w:val="00C641A3"/>
    <w:rsid w:val="00C6429A"/>
    <w:rsid w:val="00C644B0"/>
    <w:rsid w:val="00C64AF7"/>
    <w:rsid w:val="00C64D58"/>
    <w:rsid w:val="00C64D97"/>
    <w:rsid w:val="00C64DF4"/>
    <w:rsid w:val="00C64E35"/>
    <w:rsid w:val="00C64FCF"/>
    <w:rsid w:val="00C65138"/>
    <w:rsid w:val="00C651D7"/>
    <w:rsid w:val="00C652E0"/>
    <w:rsid w:val="00C654DE"/>
    <w:rsid w:val="00C6580B"/>
    <w:rsid w:val="00C65A7F"/>
    <w:rsid w:val="00C65C02"/>
    <w:rsid w:val="00C65CF1"/>
    <w:rsid w:val="00C65DAB"/>
    <w:rsid w:val="00C65E9F"/>
    <w:rsid w:val="00C65F4C"/>
    <w:rsid w:val="00C65F75"/>
    <w:rsid w:val="00C65F9D"/>
    <w:rsid w:val="00C65FF0"/>
    <w:rsid w:val="00C66381"/>
    <w:rsid w:val="00C66513"/>
    <w:rsid w:val="00C66679"/>
    <w:rsid w:val="00C66793"/>
    <w:rsid w:val="00C66833"/>
    <w:rsid w:val="00C66834"/>
    <w:rsid w:val="00C67164"/>
    <w:rsid w:val="00C67649"/>
    <w:rsid w:val="00C6771E"/>
    <w:rsid w:val="00C677EE"/>
    <w:rsid w:val="00C67AD8"/>
    <w:rsid w:val="00C67AFF"/>
    <w:rsid w:val="00C67BFC"/>
    <w:rsid w:val="00C701BE"/>
    <w:rsid w:val="00C701BF"/>
    <w:rsid w:val="00C7021B"/>
    <w:rsid w:val="00C704CE"/>
    <w:rsid w:val="00C70AC4"/>
    <w:rsid w:val="00C70AEC"/>
    <w:rsid w:val="00C70BD0"/>
    <w:rsid w:val="00C70C8C"/>
    <w:rsid w:val="00C70E7C"/>
    <w:rsid w:val="00C70EA0"/>
    <w:rsid w:val="00C71298"/>
    <w:rsid w:val="00C713AF"/>
    <w:rsid w:val="00C71455"/>
    <w:rsid w:val="00C7147F"/>
    <w:rsid w:val="00C717D2"/>
    <w:rsid w:val="00C71861"/>
    <w:rsid w:val="00C71880"/>
    <w:rsid w:val="00C7190D"/>
    <w:rsid w:val="00C71A12"/>
    <w:rsid w:val="00C71B57"/>
    <w:rsid w:val="00C71D7A"/>
    <w:rsid w:val="00C71EC3"/>
    <w:rsid w:val="00C72318"/>
    <w:rsid w:val="00C72535"/>
    <w:rsid w:val="00C725E6"/>
    <w:rsid w:val="00C72675"/>
    <w:rsid w:val="00C72958"/>
    <w:rsid w:val="00C7295D"/>
    <w:rsid w:val="00C72BE1"/>
    <w:rsid w:val="00C72CDA"/>
    <w:rsid w:val="00C72CEC"/>
    <w:rsid w:val="00C72D63"/>
    <w:rsid w:val="00C7323C"/>
    <w:rsid w:val="00C732E1"/>
    <w:rsid w:val="00C7357C"/>
    <w:rsid w:val="00C73591"/>
    <w:rsid w:val="00C7367A"/>
    <w:rsid w:val="00C73A10"/>
    <w:rsid w:val="00C73B99"/>
    <w:rsid w:val="00C73CA6"/>
    <w:rsid w:val="00C73E55"/>
    <w:rsid w:val="00C73E91"/>
    <w:rsid w:val="00C73F18"/>
    <w:rsid w:val="00C73F37"/>
    <w:rsid w:val="00C743DC"/>
    <w:rsid w:val="00C7446A"/>
    <w:rsid w:val="00C747D0"/>
    <w:rsid w:val="00C74856"/>
    <w:rsid w:val="00C748DC"/>
    <w:rsid w:val="00C74A2A"/>
    <w:rsid w:val="00C74A95"/>
    <w:rsid w:val="00C74BF4"/>
    <w:rsid w:val="00C74BF7"/>
    <w:rsid w:val="00C74D5C"/>
    <w:rsid w:val="00C74E1A"/>
    <w:rsid w:val="00C7537F"/>
    <w:rsid w:val="00C754D2"/>
    <w:rsid w:val="00C754D4"/>
    <w:rsid w:val="00C7559B"/>
    <w:rsid w:val="00C756D6"/>
    <w:rsid w:val="00C756E8"/>
    <w:rsid w:val="00C7573A"/>
    <w:rsid w:val="00C75A8D"/>
    <w:rsid w:val="00C75B1F"/>
    <w:rsid w:val="00C75D07"/>
    <w:rsid w:val="00C75D5A"/>
    <w:rsid w:val="00C75ECF"/>
    <w:rsid w:val="00C7636E"/>
    <w:rsid w:val="00C765E2"/>
    <w:rsid w:val="00C7687E"/>
    <w:rsid w:val="00C76969"/>
    <w:rsid w:val="00C7710F"/>
    <w:rsid w:val="00C7718B"/>
    <w:rsid w:val="00C77290"/>
    <w:rsid w:val="00C773C2"/>
    <w:rsid w:val="00C77565"/>
    <w:rsid w:val="00C77597"/>
    <w:rsid w:val="00C775A4"/>
    <w:rsid w:val="00C776EA"/>
    <w:rsid w:val="00C77722"/>
    <w:rsid w:val="00C7772D"/>
    <w:rsid w:val="00C77DC6"/>
    <w:rsid w:val="00C77FF4"/>
    <w:rsid w:val="00C80109"/>
    <w:rsid w:val="00C80A6E"/>
    <w:rsid w:val="00C80B7B"/>
    <w:rsid w:val="00C80DBD"/>
    <w:rsid w:val="00C8102A"/>
    <w:rsid w:val="00C813B7"/>
    <w:rsid w:val="00C8150A"/>
    <w:rsid w:val="00C81696"/>
    <w:rsid w:val="00C816D5"/>
    <w:rsid w:val="00C81770"/>
    <w:rsid w:val="00C81B4A"/>
    <w:rsid w:val="00C81C63"/>
    <w:rsid w:val="00C81ECC"/>
    <w:rsid w:val="00C81FA3"/>
    <w:rsid w:val="00C82117"/>
    <w:rsid w:val="00C821EF"/>
    <w:rsid w:val="00C8228E"/>
    <w:rsid w:val="00C822A2"/>
    <w:rsid w:val="00C82553"/>
    <w:rsid w:val="00C82647"/>
    <w:rsid w:val="00C826C7"/>
    <w:rsid w:val="00C826D8"/>
    <w:rsid w:val="00C8281D"/>
    <w:rsid w:val="00C82B3F"/>
    <w:rsid w:val="00C82C01"/>
    <w:rsid w:val="00C82CE9"/>
    <w:rsid w:val="00C82CF3"/>
    <w:rsid w:val="00C82D28"/>
    <w:rsid w:val="00C82D98"/>
    <w:rsid w:val="00C82E84"/>
    <w:rsid w:val="00C82FF9"/>
    <w:rsid w:val="00C83058"/>
    <w:rsid w:val="00C8323D"/>
    <w:rsid w:val="00C832C0"/>
    <w:rsid w:val="00C832F6"/>
    <w:rsid w:val="00C834A3"/>
    <w:rsid w:val="00C83772"/>
    <w:rsid w:val="00C83EF6"/>
    <w:rsid w:val="00C840D6"/>
    <w:rsid w:val="00C84346"/>
    <w:rsid w:val="00C84362"/>
    <w:rsid w:val="00C843D9"/>
    <w:rsid w:val="00C8443C"/>
    <w:rsid w:val="00C845D1"/>
    <w:rsid w:val="00C8465A"/>
    <w:rsid w:val="00C846DF"/>
    <w:rsid w:val="00C84958"/>
    <w:rsid w:val="00C84AAD"/>
    <w:rsid w:val="00C84C24"/>
    <w:rsid w:val="00C84CBE"/>
    <w:rsid w:val="00C84F26"/>
    <w:rsid w:val="00C84FE6"/>
    <w:rsid w:val="00C84FFF"/>
    <w:rsid w:val="00C8530D"/>
    <w:rsid w:val="00C8533C"/>
    <w:rsid w:val="00C8537B"/>
    <w:rsid w:val="00C8539D"/>
    <w:rsid w:val="00C854F2"/>
    <w:rsid w:val="00C8570E"/>
    <w:rsid w:val="00C85E66"/>
    <w:rsid w:val="00C86142"/>
    <w:rsid w:val="00C86180"/>
    <w:rsid w:val="00C861C1"/>
    <w:rsid w:val="00C866E5"/>
    <w:rsid w:val="00C8671F"/>
    <w:rsid w:val="00C86752"/>
    <w:rsid w:val="00C869FD"/>
    <w:rsid w:val="00C86ADE"/>
    <w:rsid w:val="00C86AFA"/>
    <w:rsid w:val="00C86D46"/>
    <w:rsid w:val="00C8703D"/>
    <w:rsid w:val="00C87214"/>
    <w:rsid w:val="00C87231"/>
    <w:rsid w:val="00C87247"/>
    <w:rsid w:val="00C8749C"/>
    <w:rsid w:val="00C87722"/>
    <w:rsid w:val="00C8796C"/>
    <w:rsid w:val="00C879DF"/>
    <w:rsid w:val="00C87A71"/>
    <w:rsid w:val="00C87BDA"/>
    <w:rsid w:val="00C87C16"/>
    <w:rsid w:val="00C87C1F"/>
    <w:rsid w:val="00C87D1B"/>
    <w:rsid w:val="00C9021F"/>
    <w:rsid w:val="00C90356"/>
    <w:rsid w:val="00C904E4"/>
    <w:rsid w:val="00C90501"/>
    <w:rsid w:val="00C9074B"/>
    <w:rsid w:val="00C90759"/>
    <w:rsid w:val="00C9088E"/>
    <w:rsid w:val="00C908F5"/>
    <w:rsid w:val="00C90B47"/>
    <w:rsid w:val="00C91253"/>
    <w:rsid w:val="00C91256"/>
    <w:rsid w:val="00C91298"/>
    <w:rsid w:val="00C912F9"/>
    <w:rsid w:val="00C9168E"/>
    <w:rsid w:val="00C91698"/>
    <w:rsid w:val="00C918E8"/>
    <w:rsid w:val="00C91D2B"/>
    <w:rsid w:val="00C91DC6"/>
    <w:rsid w:val="00C91FF9"/>
    <w:rsid w:val="00C920C5"/>
    <w:rsid w:val="00C921D2"/>
    <w:rsid w:val="00C92201"/>
    <w:rsid w:val="00C92321"/>
    <w:rsid w:val="00C92491"/>
    <w:rsid w:val="00C92B9F"/>
    <w:rsid w:val="00C92EEF"/>
    <w:rsid w:val="00C93284"/>
    <w:rsid w:val="00C935B2"/>
    <w:rsid w:val="00C9385F"/>
    <w:rsid w:val="00C938AF"/>
    <w:rsid w:val="00C93B61"/>
    <w:rsid w:val="00C93C3C"/>
    <w:rsid w:val="00C93EB3"/>
    <w:rsid w:val="00C942E5"/>
    <w:rsid w:val="00C9440D"/>
    <w:rsid w:val="00C9446A"/>
    <w:rsid w:val="00C945B9"/>
    <w:rsid w:val="00C94A3D"/>
    <w:rsid w:val="00C94C04"/>
    <w:rsid w:val="00C94C47"/>
    <w:rsid w:val="00C94D91"/>
    <w:rsid w:val="00C94E4F"/>
    <w:rsid w:val="00C94F90"/>
    <w:rsid w:val="00C951AA"/>
    <w:rsid w:val="00C951F9"/>
    <w:rsid w:val="00C95585"/>
    <w:rsid w:val="00C95C90"/>
    <w:rsid w:val="00C960FA"/>
    <w:rsid w:val="00C9631B"/>
    <w:rsid w:val="00C9653D"/>
    <w:rsid w:val="00C96548"/>
    <w:rsid w:val="00C9678A"/>
    <w:rsid w:val="00C967F8"/>
    <w:rsid w:val="00C9682E"/>
    <w:rsid w:val="00C96874"/>
    <w:rsid w:val="00C96B0A"/>
    <w:rsid w:val="00C96C6E"/>
    <w:rsid w:val="00C96D5B"/>
    <w:rsid w:val="00C97211"/>
    <w:rsid w:val="00C97426"/>
    <w:rsid w:val="00C97547"/>
    <w:rsid w:val="00C97640"/>
    <w:rsid w:val="00C977DC"/>
    <w:rsid w:val="00C97850"/>
    <w:rsid w:val="00C97951"/>
    <w:rsid w:val="00C97C30"/>
    <w:rsid w:val="00C97CD8"/>
    <w:rsid w:val="00C97F7E"/>
    <w:rsid w:val="00CA02B9"/>
    <w:rsid w:val="00CA051C"/>
    <w:rsid w:val="00CA0758"/>
    <w:rsid w:val="00CA084B"/>
    <w:rsid w:val="00CA0B46"/>
    <w:rsid w:val="00CA0C63"/>
    <w:rsid w:val="00CA0DB7"/>
    <w:rsid w:val="00CA108F"/>
    <w:rsid w:val="00CA10C2"/>
    <w:rsid w:val="00CA119F"/>
    <w:rsid w:val="00CA1504"/>
    <w:rsid w:val="00CA1655"/>
    <w:rsid w:val="00CA168C"/>
    <w:rsid w:val="00CA1A12"/>
    <w:rsid w:val="00CA1E48"/>
    <w:rsid w:val="00CA25F4"/>
    <w:rsid w:val="00CA264C"/>
    <w:rsid w:val="00CA29C7"/>
    <w:rsid w:val="00CA2EDB"/>
    <w:rsid w:val="00CA30A2"/>
    <w:rsid w:val="00CA31A7"/>
    <w:rsid w:val="00CA32E4"/>
    <w:rsid w:val="00CA34E4"/>
    <w:rsid w:val="00CA3635"/>
    <w:rsid w:val="00CA366E"/>
    <w:rsid w:val="00CA3858"/>
    <w:rsid w:val="00CA3A8B"/>
    <w:rsid w:val="00CA3A92"/>
    <w:rsid w:val="00CA3BDA"/>
    <w:rsid w:val="00CA3CEA"/>
    <w:rsid w:val="00CA3F89"/>
    <w:rsid w:val="00CA3FE1"/>
    <w:rsid w:val="00CA413C"/>
    <w:rsid w:val="00CA433A"/>
    <w:rsid w:val="00CA4362"/>
    <w:rsid w:val="00CA4626"/>
    <w:rsid w:val="00CA4B60"/>
    <w:rsid w:val="00CA4B96"/>
    <w:rsid w:val="00CA4CF3"/>
    <w:rsid w:val="00CA4DB9"/>
    <w:rsid w:val="00CA512B"/>
    <w:rsid w:val="00CA5337"/>
    <w:rsid w:val="00CA53CC"/>
    <w:rsid w:val="00CA53D3"/>
    <w:rsid w:val="00CA5484"/>
    <w:rsid w:val="00CA56D7"/>
    <w:rsid w:val="00CA5871"/>
    <w:rsid w:val="00CA58FC"/>
    <w:rsid w:val="00CA5AE2"/>
    <w:rsid w:val="00CA5B65"/>
    <w:rsid w:val="00CA5CBA"/>
    <w:rsid w:val="00CA5D7C"/>
    <w:rsid w:val="00CA6043"/>
    <w:rsid w:val="00CA630C"/>
    <w:rsid w:val="00CA63A2"/>
    <w:rsid w:val="00CA64B2"/>
    <w:rsid w:val="00CA65AD"/>
    <w:rsid w:val="00CA6652"/>
    <w:rsid w:val="00CA67CA"/>
    <w:rsid w:val="00CA6D17"/>
    <w:rsid w:val="00CA6F0A"/>
    <w:rsid w:val="00CA706F"/>
    <w:rsid w:val="00CA722D"/>
    <w:rsid w:val="00CA7516"/>
    <w:rsid w:val="00CA759F"/>
    <w:rsid w:val="00CA767F"/>
    <w:rsid w:val="00CA7704"/>
    <w:rsid w:val="00CA77FD"/>
    <w:rsid w:val="00CA7BF4"/>
    <w:rsid w:val="00CA7C7E"/>
    <w:rsid w:val="00CA7E14"/>
    <w:rsid w:val="00CA7E45"/>
    <w:rsid w:val="00CB0205"/>
    <w:rsid w:val="00CB025B"/>
    <w:rsid w:val="00CB02DD"/>
    <w:rsid w:val="00CB0605"/>
    <w:rsid w:val="00CB06FF"/>
    <w:rsid w:val="00CB078C"/>
    <w:rsid w:val="00CB0812"/>
    <w:rsid w:val="00CB08C2"/>
    <w:rsid w:val="00CB09C3"/>
    <w:rsid w:val="00CB0ABD"/>
    <w:rsid w:val="00CB0B32"/>
    <w:rsid w:val="00CB0FC9"/>
    <w:rsid w:val="00CB1018"/>
    <w:rsid w:val="00CB1099"/>
    <w:rsid w:val="00CB10A3"/>
    <w:rsid w:val="00CB11A2"/>
    <w:rsid w:val="00CB11E4"/>
    <w:rsid w:val="00CB12FC"/>
    <w:rsid w:val="00CB1740"/>
    <w:rsid w:val="00CB1752"/>
    <w:rsid w:val="00CB17B4"/>
    <w:rsid w:val="00CB1906"/>
    <w:rsid w:val="00CB1ABB"/>
    <w:rsid w:val="00CB1ADB"/>
    <w:rsid w:val="00CB1AF0"/>
    <w:rsid w:val="00CB1B0D"/>
    <w:rsid w:val="00CB1C61"/>
    <w:rsid w:val="00CB1D02"/>
    <w:rsid w:val="00CB1D96"/>
    <w:rsid w:val="00CB1E4E"/>
    <w:rsid w:val="00CB2397"/>
    <w:rsid w:val="00CB27BD"/>
    <w:rsid w:val="00CB2969"/>
    <w:rsid w:val="00CB29E1"/>
    <w:rsid w:val="00CB2CC2"/>
    <w:rsid w:val="00CB31DA"/>
    <w:rsid w:val="00CB3225"/>
    <w:rsid w:val="00CB3492"/>
    <w:rsid w:val="00CB3565"/>
    <w:rsid w:val="00CB3607"/>
    <w:rsid w:val="00CB3722"/>
    <w:rsid w:val="00CB39FC"/>
    <w:rsid w:val="00CB3A04"/>
    <w:rsid w:val="00CB3B1C"/>
    <w:rsid w:val="00CB3BC3"/>
    <w:rsid w:val="00CB4234"/>
    <w:rsid w:val="00CB4296"/>
    <w:rsid w:val="00CB4869"/>
    <w:rsid w:val="00CB4A24"/>
    <w:rsid w:val="00CB4A87"/>
    <w:rsid w:val="00CB4D74"/>
    <w:rsid w:val="00CB4E9D"/>
    <w:rsid w:val="00CB51F5"/>
    <w:rsid w:val="00CB537A"/>
    <w:rsid w:val="00CB560C"/>
    <w:rsid w:val="00CB572C"/>
    <w:rsid w:val="00CB5B7A"/>
    <w:rsid w:val="00CB5C76"/>
    <w:rsid w:val="00CB5C77"/>
    <w:rsid w:val="00CB62EE"/>
    <w:rsid w:val="00CB6321"/>
    <w:rsid w:val="00CB66D5"/>
    <w:rsid w:val="00CB6731"/>
    <w:rsid w:val="00CB6AA4"/>
    <w:rsid w:val="00CB6AD9"/>
    <w:rsid w:val="00CB6D59"/>
    <w:rsid w:val="00CB7000"/>
    <w:rsid w:val="00CB749D"/>
    <w:rsid w:val="00CB74E1"/>
    <w:rsid w:val="00CB762C"/>
    <w:rsid w:val="00CB76CE"/>
    <w:rsid w:val="00CB776B"/>
    <w:rsid w:val="00CB7936"/>
    <w:rsid w:val="00CB7A86"/>
    <w:rsid w:val="00CB7E1A"/>
    <w:rsid w:val="00CB7F4D"/>
    <w:rsid w:val="00CC0042"/>
    <w:rsid w:val="00CC0076"/>
    <w:rsid w:val="00CC02C0"/>
    <w:rsid w:val="00CC0362"/>
    <w:rsid w:val="00CC0417"/>
    <w:rsid w:val="00CC06EF"/>
    <w:rsid w:val="00CC08EA"/>
    <w:rsid w:val="00CC0CEC"/>
    <w:rsid w:val="00CC0EC7"/>
    <w:rsid w:val="00CC1289"/>
    <w:rsid w:val="00CC141A"/>
    <w:rsid w:val="00CC1679"/>
    <w:rsid w:val="00CC1D3A"/>
    <w:rsid w:val="00CC1D7B"/>
    <w:rsid w:val="00CC1D89"/>
    <w:rsid w:val="00CC1EC2"/>
    <w:rsid w:val="00CC1F95"/>
    <w:rsid w:val="00CC2016"/>
    <w:rsid w:val="00CC2123"/>
    <w:rsid w:val="00CC22A5"/>
    <w:rsid w:val="00CC23C7"/>
    <w:rsid w:val="00CC246F"/>
    <w:rsid w:val="00CC24DF"/>
    <w:rsid w:val="00CC259C"/>
    <w:rsid w:val="00CC26CF"/>
    <w:rsid w:val="00CC2BB1"/>
    <w:rsid w:val="00CC2DBF"/>
    <w:rsid w:val="00CC335A"/>
    <w:rsid w:val="00CC33E9"/>
    <w:rsid w:val="00CC35E2"/>
    <w:rsid w:val="00CC3629"/>
    <w:rsid w:val="00CC374C"/>
    <w:rsid w:val="00CC38FF"/>
    <w:rsid w:val="00CC3B67"/>
    <w:rsid w:val="00CC3C15"/>
    <w:rsid w:val="00CC3CBC"/>
    <w:rsid w:val="00CC3CD3"/>
    <w:rsid w:val="00CC3F0B"/>
    <w:rsid w:val="00CC3F11"/>
    <w:rsid w:val="00CC4036"/>
    <w:rsid w:val="00CC42A9"/>
    <w:rsid w:val="00CC4745"/>
    <w:rsid w:val="00CC488A"/>
    <w:rsid w:val="00CC4987"/>
    <w:rsid w:val="00CC4C40"/>
    <w:rsid w:val="00CC4D52"/>
    <w:rsid w:val="00CC4F16"/>
    <w:rsid w:val="00CC51D7"/>
    <w:rsid w:val="00CC56FC"/>
    <w:rsid w:val="00CC57A1"/>
    <w:rsid w:val="00CC5828"/>
    <w:rsid w:val="00CC5AF2"/>
    <w:rsid w:val="00CC5BE1"/>
    <w:rsid w:val="00CC610A"/>
    <w:rsid w:val="00CC621E"/>
    <w:rsid w:val="00CC646C"/>
    <w:rsid w:val="00CC6548"/>
    <w:rsid w:val="00CC6620"/>
    <w:rsid w:val="00CC6770"/>
    <w:rsid w:val="00CC68CE"/>
    <w:rsid w:val="00CC6A54"/>
    <w:rsid w:val="00CC6A66"/>
    <w:rsid w:val="00CC6E02"/>
    <w:rsid w:val="00CC7098"/>
    <w:rsid w:val="00CC7403"/>
    <w:rsid w:val="00CC75C4"/>
    <w:rsid w:val="00CC7822"/>
    <w:rsid w:val="00CC79F8"/>
    <w:rsid w:val="00CC7B59"/>
    <w:rsid w:val="00CC7D10"/>
    <w:rsid w:val="00CC7E12"/>
    <w:rsid w:val="00CD0015"/>
    <w:rsid w:val="00CD0093"/>
    <w:rsid w:val="00CD033B"/>
    <w:rsid w:val="00CD037F"/>
    <w:rsid w:val="00CD0536"/>
    <w:rsid w:val="00CD06B0"/>
    <w:rsid w:val="00CD0793"/>
    <w:rsid w:val="00CD08FB"/>
    <w:rsid w:val="00CD0BDD"/>
    <w:rsid w:val="00CD0C30"/>
    <w:rsid w:val="00CD1002"/>
    <w:rsid w:val="00CD1067"/>
    <w:rsid w:val="00CD1132"/>
    <w:rsid w:val="00CD148C"/>
    <w:rsid w:val="00CD1572"/>
    <w:rsid w:val="00CD1924"/>
    <w:rsid w:val="00CD1D6D"/>
    <w:rsid w:val="00CD25E9"/>
    <w:rsid w:val="00CD263F"/>
    <w:rsid w:val="00CD266B"/>
    <w:rsid w:val="00CD26B1"/>
    <w:rsid w:val="00CD2A81"/>
    <w:rsid w:val="00CD2D29"/>
    <w:rsid w:val="00CD2D59"/>
    <w:rsid w:val="00CD2E8E"/>
    <w:rsid w:val="00CD2F25"/>
    <w:rsid w:val="00CD2F41"/>
    <w:rsid w:val="00CD31DC"/>
    <w:rsid w:val="00CD31F4"/>
    <w:rsid w:val="00CD3266"/>
    <w:rsid w:val="00CD3372"/>
    <w:rsid w:val="00CD3435"/>
    <w:rsid w:val="00CD38F6"/>
    <w:rsid w:val="00CD393E"/>
    <w:rsid w:val="00CD3A94"/>
    <w:rsid w:val="00CD3BCD"/>
    <w:rsid w:val="00CD3D5A"/>
    <w:rsid w:val="00CD3D64"/>
    <w:rsid w:val="00CD3EB2"/>
    <w:rsid w:val="00CD3EDA"/>
    <w:rsid w:val="00CD3F45"/>
    <w:rsid w:val="00CD3FB0"/>
    <w:rsid w:val="00CD42B4"/>
    <w:rsid w:val="00CD4646"/>
    <w:rsid w:val="00CD469F"/>
    <w:rsid w:val="00CD474C"/>
    <w:rsid w:val="00CD4915"/>
    <w:rsid w:val="00CD49A1"/>
    <w:rsid w:val="00CD4A48"/>
    <w:rsid w:val="00CD4B9C"/>
    <w:rsid w:val="00CD50B1"/>
    <w:rsid w:val="00CD5403"/>
    <w:rsid w:val="00CD5616"/>
    <w:rsid w:val="00CD567E"/>
    <w:rsid w:val="00CD597F"/>
    <w:rsid w:val="00CD59AD"/>
    <w:rsid w:val="00CD5B31"/>
    <w:rsid w:val="00CD5C06"/>
    <w:rsid w:val="00CD5D61"/>
    <w:rsid w:val="00CD5E34"/>
    <w:rsid w:val="00CD65D9"/>
    <w:rsid w:val="00CD685E"/>
    <w:rsid w:val="00CD6AAF"/>
    <w:rsid w:val="00CD6CBE"/>
    <w:rsid w:val="00CD6E29"/>
    <w:rsid w:val="00CD6EFC"/>
    <w:rsid w:val="00CD722A"/>
    <w:rsid w:val="00CD7321"/>
    <w:rsid w:val="00CD7365"/>
    <w:rsid w:val="00CD74B2"/>
    <w:rsid w:val="00CD75B8"/>
    <w:rsid w:val="00CD7610"/>
    <w:rsid w:val="00CD7747"/>
    <w:rsid w:val="00CD78CE"/>
    <w:rsid w:val="00CD79D3"/>
    <w:rsid w:val="00CD7AAC"/>
    <w:rsid w:val="00CD7AFB"/>
    <w:rsid w:val="00CD7CB8"/>
    <w:rsid w:val="00CE02A5"/>
    <w:rsid w:val="00CE0393"/>
    <w:rsid w:val="00CE081A"/>
    <w:rsid w:val="00CE0B2F"/>
    <w:rsid w:val="00CE0B41"/>
    <w:rsid w:val="00CE0B64"/>
    <w:rsid w:val="00CE0C4C"/>
    <w:rsid w:val="00CE0D16"/>
    <w:rsid w:val="00CE1238"/>
    <w:rsid w:val="00CE1535"/>
    <w:rsid w:val="00CE16DB"/>
    <w:rsid w:val="00CE1A49"/>
    <w:rsid w:val="00CE1ACA"/>
    <w:rsid w:val="00CE1B15"/>
    <w:rsid w:val="00CE1B1B"/>
    <w:rsid w:val="00CE1BB3"/>
    <w:rsid w:val="00CE1C9F"/>
    <w:rsid w:val="00CE2467"/>
    <w:rsid w:val="00CE2608"/>
    <w:rsid w:val="00CE2690"/>
    <w:rsid w:val="00CE2C46"/>
    <w:rsid w:val="00CE2CB5"/>
    <w:rsid w:val="00CE2F4A"/>
    <w:rsid w:val="00CE3060"/>
    <w:rsid w:val="00CE3163"/>
    <w:rsid w:val="00CE3254"/>
    <w:rsid w:val="00CE331E"/>
    <w:rsid w:val="00CE34C4"/>
    <w:rsid w:val="00CE35A1"/>
    <w:rsid w:val="00CE3607"/>
    <w:rsid w:val="00CE38F2"/>
    <w:rsid w:val="00CE3949"/>
    <w:rsid w:val="00CE3E5F"/>
    <w:rsid w:val="00CE3E81"/>
    <w:rsid w:val="00CE3E8D"/>
    <w:rsid w:val="00CE45E2"/>
    <w:rsid w:val="00CE468D"/>
    <w:rsid w:val="00CE48E4"/>
    <w:rsid w:val="00CE49AA"/>
    <w:rsid w:val="00CE49BF"/>
    <w:rsid w:val="00CE4D5C"/>
    <w:rsid w:val="00CE5080"/>
    <w:rsid w:val="00CE55F0"/>
    <w:rsid w:val="00CE5707"/>
    <w:rsid w:val="00CE59DE"/>
    <w:rsid w:val="00CE5BFA"/>
    <w:rsid w:val="00CE5DA3"/>
    <w:rsid w:val="00CE5EAA"/>
    <w:rsid w:val="00CE5F23"/>
    <w:rsid w:val="00CE6094"/>
    <w:rsid w:val="00CE6122"/>
    <w:rsid w:val="00CE6294"/>
    <w:rsid w:val="00CE62D8"/>
    <w:rsid w:val="00CE64A8"/>
    <w:rsid w:val="00CE664F"/>
    <w:rsid w:val="00CE6ABB"/>
    <w:rsid w:val="00CE6BCA"/>
    <w:rsid w:val="00CE6C38"/>
    <w:rsid w:val="00CE6D46"/>
    <w:rsid w:val="00CE7207"/>
    <w:rsid w:val="00CE7328"/>
    <w:rsid w:val="00CE7442"/>
    <w:rsid w:val="00CE74F4"/>
    <w:rsid w:val="00CE7611"/>
    <w:rsid w:val="00CE7739"/>
    <w:rsid w:val="00CE77E5"/>
    <w:rsid w:val="00CE79C9"/>
    <w:rsid w:val="00CE7A28"/>
    <w:rsid w:val="00CE7C3C"/>
    <w:rsid w:val="00CE7D2F"/>
    <w:rsid w:val="00CE7D5D"/>
    <w:rsid w:val="00CE7ED2"/>
    <w:rsid w:val="00CE7FC1"/>
    <w:rsid w:val="00CE7FE3"/>
    <w:rsid w:val="00CF00D4"/>
    <w:rsid w:val="00CF04D6"/>
    <w:rsid w:val="00CF0506"/>
    <w:rsid w:val="00CF0589"/>
    <w:rsid w:val="00CF06BC"/>
    <w:rsid w:val="00CF072A"/>
    <w:rsid w:val="00CF0816"/>
    <w:rsid w:val="00CF0947"/>
    <w:rsid w:val="00CF0CD5"/>
    <w:rsid w:val="00CF1034"/>
    <w:rsid w:val="00CF1040"/>
    <w:rsid w:val="00CF112D"/>
    <w:rsid w:val="00CF12C4"/>
    <w:rsid w:val="00CF1344"/>
    <w:rsid w:val="00CF155E"/>
    <w:rsid w:val="00CF15AF"/>
    <w:rsid w:val="00CF1731"/>
    <w:rsid w:val="00CF1939"/>
    <w:rsid w:val="00CF1B3C"/>
    <w:rsid w:val="00CF1BA7"/>
    <w:rsid w:val="00CF1F1B"/>
    <w:rsid w:val="00CF1F87"/>
    <w:rsid w:val="00CF2009"/>
    <w:rsid w:val="00CF2271"/>
    <w:rsid w:val="00CF24BB"/>
    <w:rsid w:val="00CF2750"/>
    <w:rsid w:val="00CF275B"/>
    <w:rsid w:val="00CF2A87"/>
    <w:rsid w:val="00CF2BE2"/>
    <w:rsid w:val="00CF2D78"/>
    <w:rsid w:val="00CF2F73"/>
    <w:rsid w:val="00CF2FC9"/>
    <w:rsid w:val="00CF3000"/>
    <w:rsid w:val="00CF32E3"/>
    <w:rsid w:val="00CF3A59"/>
    <w:rsid w:val="00CF3BCD"/>
    <w:rsid w:val="00CF3BD5"/>
    <w:rsid w:val="00CF3CF3"/>
    <w:rsid w:val="00CF3D72"/>
    <w:rsid w:val="00CF3DD1"/>
    <w:rsid w:val="00CF3EA6"/>
    <w:rsid w:val="00CF3F9F"/>
    <w:rsid w:val="00CF40CD"/>
    <w:rsid w:val="00CF4322"/>
    <w:rsid w:val="00CF4393"/>
    <w:rsid w:val="00CF448B"/>
    <w:rsid w:val="00CF44C3"/>
    <w:rsid w:val="00CF490B"/>
    <w:rsid w:val="00CF4A45"/>
    <w:rsid w:val="00CF4B23"/>
    <w:rsid w:val="00CF4DB2"/>
    <w:rsid w:val="00CF4DFB"/>
    <w:rsid w:val="00CF5096"/>
    <w:rsid w:val="00CF5188"/>
    <w:rsid w:val="00CF527E"/>
    <w:rsid w:val="00CF55BC"/>
    <w:rsid w:val="00CF5694"/>
    <w:rsid w:val="00CF58E7"/>
    <w:rsid w:val="00CF5C8B"/>
    <w:rsid w:val="00CF5DA3"/>
    <w:rsid w:val="00CF5F0B"/>
    <w:rsid w:val="00CF5F2F"/>
    <w:rsid w:val="00CF5FDD"/>
    <w:rsid w:val="00CF60D1"/>
    <w:rsid w:val="00CF65C7"/>
    <w:rsid w:val="00CF6632"/>
    <w:rsid w:val="00CF6721"/>
    <w:rsid w:val="00CF68A8"/>
    <w:rsid w:val="00CF6994"/>
    <w:rsid w:val="00CF6F96"/>
    <w:rsid w:val="00CF71A2"/>
    <w:rsid w:val="00CF7430"/>
    <w:rsid w:val="00CF753E"/>
    <w:rsid w:val="00CF761E"/>
    <w:rsid w:val="00CF78FC"/>
    <w:rsid w:val="00CF7BA1"/>
    <w:rsid w:val="00CF7EF0"/>
    <w:rsid w:val="00D000AF"/>
    <w:rsid w:val="00D00260"/>
    <w:rsid w:val="00D00563"/>
    <w:rsid w:val="00D00580"/>
    <w:rsid w:val="00D0082D"/>
    <w:rsid w:val="00D0096F"/>
    <w:rsid w:val="00D00AF1"/>
    <w:rsid w:val="00D00B16"/>
    <w:rsid w:val="00D00C75"/>
    <w:rsid w:val="00D00C90"/>
    <w:rsid w:val="00D00DB7"/>
    <w:rsid w:val="00D00DC0"/>
    <w:rsid w:val="00D01217"/>
    <w:rsid w:val="00D01711"/>
    <w:rsid w:val="00D0199E"/>
    <w:rsid w:val="00D01A0B"/>
    <w:rsid w:val="00D01D60"/>
    <w:rsid w:val="00D01F37"/>
    <w:rsid w:val="00D0227A"/>
    <w:rsid w:val="00D02463"/>
    <w:rsid w:val="00D0255B"/>
    <w:rsid w:val="00D025F6"/>
    <w:rsid w:val="00D02769"/>
    <w:rsid w:val="00D02A28"/>
    <w:rsid w:val="00D02B05"/>
    <w:rsid w:val="00D02B2A"/>
    <w:rsid w:val="00D02B7F"/>
    <w:rsid w:val="00D02E92"/>
    <w:rsid w:val="00D030D0"/>
    <w:rsid w:val="00D034C6"/>
    <w:rsid w:val="00D03625"/>
    <w:rsid w:val="00D036AC"/>
    <w:rsid w:val="00D0386D"/>
    <w:rsid w:val="00D03C97"/>
    <w:rsid w:val="00D03CB1"/>
    <w:rsid w:val="00D03D04"/>
    <w:rsid w:val="00D03EDA"/>
    <w:rsid w:val="00D03FE7"/>
    <w:rsid w:val="00D0417E"/>
    <w:rsid w:val="00D041DD"/>
    <w:rsid w:val="00D04267"/>
    <w:rsid w:val="00D042A9"/>
    <w:rsid w:val="00D042AA"/>
    <w:rsid w:val="00D045B5"/>
    <w:rsid w:val="00D047CC"/>
    <w:rsid w:val="00D048AE"/>
    <w:rsid w:val="00D04966"/>
    <w:rsid w:val="00D049D8"/>
    <w:rsid w:val="00D04A7E"/>
    <w:rsid w:val="00D04C00"/>
    <w:rsid w:val="00D0563C"/>
    <w:rsid w:val="00D059C8"/>
    <w:rsid w:val="00D05B4E"/>
    <w:rsid w:val="00D05C99"/>
    <w:rsid w:val="00D05EEF"/>
    <w:rsid w:val="00D05F04"/>
    <w:rsid w:val="00D060EC"/>
    <w:rsid w:val="00D062FE"/>
    <w:rsid w:val="00D066AC"/>
    <w:rsid w:val="00D06889"/>
    <w:rsid w:val="00D068DB"/>
    <w:rsid w:val="00D06B37"/>
    <w:rsid w:val="00D06BBA"/>
    <w:rsid w:val="00D0702F"/>
    <w:rsid w:val="00D07437"/>
    <w:rsid w:val="00D076C1"/>
    <w:rsid w:val="00D07758"/>
    <w:rsid w:val="00D07956"/>
    <w:rsid w:val="00D07ABB"/>
    <w:rsid w:val="00D07AD0"/>
    <w:rsid w:val="00D07C29"/>
    <w:rsid w:val="00D07CFF"/>
    <w:rsid w:val="00D1008C"/>
    <w:rsid w:val="00D1021F"/>
    <w:rsid w:val="00D1082C"/>
    <w:rsid w:val="00D10B18"/>
    <w:rsid w:val="00D10D2C"/>
    <w:rsid w:val="00D1124C"/>
    <w:rsid w:val="00D112C4"/>
    <w:rsid w:val="00D1150A"/>
    <w:rsid w:val="00D1153F"/>
    <w:rsid w:val="00D11C89"/>
    <w:rsid w:val="00D11F4D"/>
    <w:rsid w:val="00D1202D"/>
    <w:rsid w:val="00D1237E"/>
    <w:rsid w:val="00D124DC"/>
    <w:rsid w:val="00D12AA1"/>
    <w:rsid w:val="00D13263"/>
    <w:rsid w:val="00D13382"/>
    <w:rsid w:val="00D135C3"/>
    <w:rsid w:val="00D1364C"/>
    <w:rsid w:val="00D136B1"/>
    <w:rsid w:val="00D13703"/>
    <w:rsid w:val="00D13769"/>
    <w:rsid w:val="00D13B7C"/>
    <w:rsid w:val="00D13C68"/>
    <w:rsid w:val="00D13EAC"/>
    <w:rsid w:val="00D13FB3"/>
    <w:rsid w:val="00D1439A"/>
    <w:rsid w:val="00D143D3"/>
    <w:rsid w:val="00D147E3"/>
    <w:rsid w:val="00D14979"/>
    <w:rsid w:val="00D14BA0"/>
    <w:rsid w:val="00D14D4C"/>
    <w:rsid w:val="00D150A9"/>
    <w:rsid w:val="00D152F8"/>
    <w:rsid w:val="00D154DD"/>
    <w:rsid w:val="00D157DA"/>
    <w:rsid w:val="00D157E4"/>
    <w:rsid w:val="00D15A46"/>
    <w:rsid w:val="00D15E5C"/>
    <w:rsid w:val="00D15EDE"/>
    <w:rsid w:val="00D15F4A"/>
    <w:rsid w:val="00D161D5"/>
    <w:rsid w:val="00D162B2"/>
    <w:rsid w:val="00D163B0"/>
    <w:rsid w:val="00D16655"/>
    <w:rsid w:val="00D16741"/>
    <w:rsid w:val="00D168FC"/>
    <w:rsid w:val="00D1697D"/>
    <w:rsid w:val="00D16985"/>
    <w:rsid w:val="00D16BC0"/>
    <w:rsid w:val="00D16C45"/>
    <w:rsid w:val="00D16ED7"/>
    <w:rsid w:val="00D172CA"/>
    <w:rsid w:val="00D173BF"/>
    <w:rsid w:val="00D17645"/>
    <w:rsid w:val="00D1770B"/>
    <w:rsid w:val="00D1783C"/>
    <w:rsid w:val="00D1793B"/>
    <w:rsid w:val="00D1796F"/>
    <w:rsid w:val="00D17F33"/>
    <w:rsid w:val="00D200A9"/>
    <w:rsid w:val="00D201EB"/>
    <w:rsid w:val="00D202C5"/>
    <w:rsid w:val="00D202DD"/>
    <w:rsid w:val="00D2048B"/>
    <w:rsid w:val="00D20577"/>
    <w:rsid w:val="00D207C3"/>
    <w:rsid w:val="00D20A43"/>
    <w:rsid w:val="00D20B15"/>
    <w:rsid w:val="00D20B27"/>
    <w:rsid w:val="00D20B49"/>
    <w:rsid w:val="00D20B8D"/>
    <w:rsid w:val="00D20CEC"/>
    <w:rsid w:val="00D20D54"/>
    <w:rsid w:val="00D20D77"/>
    <w:rsid w:val="00D20E88"/>
    <w:rsid w:val="00D20EDF"/>
    <w:rsid w:val="00D20EE0"/>
    <w:rsid w:val="00D20F10"/>
    <w:rsid w:val="00D215EF"/>
    <w:rsid w:val="00D21610"/>
    <w:rsid w:val="00D21643"/>
    <w:rsid w:val="00D21ADB"/>
    <w:rsid w:val="00D21FE3"/>
    <w:rsid w:val="00D21FE6"/>
    <w:rsid w:val="00D22192"/>
    <w:rsid w:val="00D22239"/>
    <w:rsid w:val="00D225A6"/>
    <w:rsid w:val="00D22616"/>
    <w:rsid w:val="00D2268B"/>
    <w:rsid w:val="00D226A3"/>
    <w:rsid w:val="00D22948"/>
    <w:rsid w:val="00D229B5"/>
    <w:rsid w:val="00D229D6"/>
    <w:rsid w:val="00D22A9F"/>
    <w:rsid w:val="00D22BB3"/>
    <w:rsid w:val="00D22D16"/>
    <w:rsid w:val="00D22F58"/>
    <w:rsid w:val="00D22F5A"/>
    <w:rsid w:val="00D23019"/>
    <w:rsid w:val="00D23BE3"/>
    <w:rsid w:val="00D23CD2"/>
    <w:rsid w:val="00D23FC4"/>
    <w:rsid w:val="00D24051"/>
    <w:rsid w:val="00D241C8"/>
    <w:rsid w:val="00D241D3"/>
    <w:rsid w:val="00D24611"/>
    <w:rsid w:val="00D2488A"/>
    <w:rsid w:val="00D248A2"/>
    <w:rsid w:val="00D24922"/>
    <w:rsid w:val="00D2494E"/>
    <w:rsid w:val="00D24AC2"/>
    <w:rsid w:val="00D24B4A"/>
    <w:rsid w:val="00D24B60"/>
    <w:rsid w:val="00D24B69"/>
    <w:rsid w:val="00D24BE3"/>
    <w:rsid w:val="00D24E8C"/>
    <w:rsid w:val="00D25036"/>
    <w:rsid w:val="00D2503D"/>
    <w:rsid w:val="00D25207"/>
    <w:rsid w:val="00D255B1"/>
    <w:rsid w:val="00D256FE"/>
    <w:rsid w:val="00D25828"/>
    <w:rsid w:val="00D25C1F"/>
    <w:rsid w:val="00D25C95"/>
    <w:rsid w:val="00D25DF2"/>
    <w:rsid w:val="00D25F7C"/>
    <w:rsid w:val="00D26148"/>
    <w:rsid w:val="00D2634C"/>
    <w:rsid w:val="00D26435"/>
    <w:rsid w:val="00D2652E"/>
    <w:rsid w:val="00D26819"/>
    <w:rsid w:val="00D2685E"/>
    <w:rsid w:val="00D26ABC"/>
    <w:rsid w:val="00D26CFB"/>
    <w:rsid w:val="00D26E08"/>
    <w:rsid w:val="00D26FB2"/>
    <w:rsid w:val="00D27239"/>
    <w:rsid w:val="00D2723A"/>
    <w:rsid w:val="00D272AF"/>
    <w:rsid w:val="00D272B2"/>
    <w:rsid w:val="00D27342"/>
    <w:rsid w:val="00D27373"/>
    <w:rsid w:val="00D27574"/>
    <w:rsid w:val="00D2763F"/>
    <w:rsid w:val="00D27A33"/>
    <w:rsid w:val="00D27A4C"/>
    <w:rsid w:val="00D27C93"/>
    <w:rsid w:val="00D27CAF"/>
    <w:rsid w:val="00D27DAB"/>
    <w:rsid w:val="00D302CB"/>
    <w:rsid w:val="00D30351"/>
    <w:rsid w:val="00D3049C"/>
    <w:rsid w:val="00D30863"/>
    <w:rsid w:val="00D30955"/>
    <w:rsid w:val="00D30CAE"/>
    <w:rsid w:val="00D3102C"/>
    <w:rsid w:val="00D3121B"/>
    <w:rsid w:val="00D317D0"/>
    <w:rsid w:val="00D31AF4"/>
    <w:rsid w:val="00D3232D"/>
    <w:rsid w:val="00D3237B"/>
    <w:rsid w:val="00D32403"/>
    <w:rsid w:val="00D3241A"/>
    <w:rsid w:val="00D324F2"/>
    <w:rsid w:val="00D32533"/>
    <w:rsid w:val="00D32592"/>
    <w:rsid w:val="00D3273A"/>
    <w:rsid w:val="00D32824"/>
    <w:rsid w:val="00D32B44"/>
    <w:rsid w:val="00D32CA6"/>
    <w:rsid w:val="00D33031"/>
    <w:rsid w:val="00D330B6"/>
    <w:rsid w:val="00D334EB"/>
    <w:rsid w:val="00D33547"/>
    <w:rsid w:val="00D336FA"/>
    <w:rsid w:val="00D3379A"/>
    <w:rsid w:val="00D337FB"/>
    <w:rsid w:val="00D33B95"/>
    <w:rsid w:val="00D33CAD"/>
    <w:rsid w:val="00D33CD0"/>
    <w:rsid w:val="00D33CD7"/>
    <w:rsid w:val="00D33E97"/>
    <w:rsid w:val="00D34081"/>
    <w:rsid w:val="00D341E3"/>
    <w:rsid w:val="00D342DF"/>
    <w:rsid w:val="00D34360"/>
    <w:rsid w:val="00D3449A"/>
    <w:rsid w:val="00D347E5"/>
    <w:rsid w:val="00D3488F"/>
    <w:rsid w:val="00D3508D"/>
    <w:rsid w:val="00D35339"/>
    <w:rsid w:val="00D35343"/>
    <w:rsid w:val="00D35370"/>
    <w:rsid w:val="00D354E2"/>
    <w:rsid w:val="00D356D3"/>
    <w:rsid w:val="00D357F7"/>
    <w:rsid w:val="00D35923"/>
    <w:rsid w:val="00D35996"/>
    <w:rsid w:val="00D35B6C"/>
    <w:rsid w:val="00D35C56"/>
    <w:rsid w:val="00D360E5"/>
    <w:rsid w:val="00D3611A"/>
    <w:rsid w:val="00D361B1"/>
    <w:rsid w:val="00D36351"/>
    <w:rsid w:val="00D36552"/>
    <w:rsid w:val="00D3666F"/>
    <w:rsid w:val="00D36739"/>
    <w:rsid w:val="00D36854"/>
    <w:rsid w:val="00D36BA0"/>
    <w:rsid w:val="00D36BDB"/>
    <w:rsid w:val="00D36CC4"/>
    <w:rsid w:val="00D36FE6"/>
    <w:rsid w:val="00D36FFF"/>
    <w:rsid w:val="00D370A8"/>
    <w:rsid w:val="00D3797F"/>
    <w:rsid w:val="00D37BA2"/>
    <w:rsid w:val="00D37BBD"/>
    <w:rsid w:val="00D37CA3"/>
    <w:rsid w:val="00D37D54"/>
    <w:rsid w:val="00D37E54"/>
    <w:rsid w:val="00D4034A"/>
    <w:rsid w:val="00D404C0"/>
    <w:rsid w:val="00D406F4"/>
    <w:rsid w:val="00D40912"/>
    <w:rsid w:val="00D409F2"/>
    <w:rsid w:val="00D40A4F"/>
    <w:rsid w:val="00D40B2E"/>
    <w:rsid w:val="00D40CCF"/>
    <w:rsid w:val="00D40F67"/>
    <w:rsid w:val="00D41116"/>
    <w:rsid w:val="00D41126"/>
    <w:rsid w:val="00D41316"/>
    <w:rsid w:val="00D4140E"/>
    <w:rsid w:val="00D41508"/>
    <w:rsid w:val="00D4159A"/>
    <w:rsid w:val="00D41955"/>
    <w:rsid w:val="00D41C69"/>
    <w:rsid w:val="00D422CF"/>
    <w:rsid w:val="00D4246D"/>
    <w:rsid w:val="00D42528"/>
    <w:rsid w:val="00D42B55"/>
    <w:rsid w:val="00D42C5E"/>
    <w:rsid w:val="00D42D92"/>
    <w:rsid w:val="00D42E17"/>
    <w:rsid w:val="00D42ECF"/>
    <w:rsid w:val="00D4318A"/>
    <w:rsid w:val="00D432D4"/>
    <w:rsid w:val="00D433CD"/>
    <w:rsid w:val="00D43607"/>
    <w:rsid w:val="00D437D4"/>
    <w:rsid w:val="00D439DA"/>
    <w:rsid w:val="00D43CF9"/>
    <w:rsid w:val="00D44243"/>
    <w:rsid w:val="00D443E6"/>
    <w:rsid w:val="00D44442"/>
    <w:rsid w:val="00D44460"/>
    <w:rsid w:val="00D447B7"/>
    <w:rsid w:val="00D4487F"/>
    <w:rsid w:val="00D44AA7"/>
    <w:rsid w:val="00D44DFA"/>
    <w:rsid w:val="00D44DFF"/>
    <w:rsid w:val="00D44F34"/>
    <w:rsid w:val="00D44FBA"/>
    <w:rsid w:val="00D44FDE"/>
    <w:rsid w:val="00D45638"/>
    <w:rsid w:val="00D45778"/>
    <w:rsid w:val="00D459CA"/>
    <w:rsid w:val="00D45A33"/>
    <w:rsid w:val="00D45D90"/>
    <w:rsid w:val="00D45ED2"/>
    <w:rsid w:val="00D45F4A"/>
    <w:rsid w:val="00D464D8"/>
    <w:rsid w:val="00D465B5"/>
    <w:rsid w:val="00D466E0"/>
    <w:rsid w:val="00D46771"/>
    <w:rsid w:val="00D46B91"/>
    <w:rsid w:val="00D46BF0"/>
    <w:rsid w:val="00D46D66"/>
    <w:rsid w:val="00D46F50"/>
    <w:rsid w:val="00D4717A"/>
    <w:rsid w:val="00D47411"/>
    <w:rsid w:val="00D4745F"/>
    <w:rsid w:val="00D4755C"/>
    <w:rsid w:val="00D47573"/>
    <w:rsid w:val="00D478FF"/>
    <w:rsid w:val="00D47A18"/>
    <w:rsid w:val="00D47A33"/>
    <w:rsid w:val="00D47C45"/>
    <w:rsid w:val="00D47ED6"/>
    <w:rsid w:val="00D47F3D"/>
    <w:rsid w:val="00D47F6A"/>
    <w:rsid w:val="00D50072"/>
    <w:rsid w:val="00D5015E"/>
    <w:rsid w:val="00D50161"/>
    <w:rsid w:val="00D502B4"/>
    <w:rsid w:val="00D503E6"/>
    <w:rsid w:val="00D50413"/>
    <w:rsid w:val="00D5047A"/>
    <w:rsid w:val="00D504CE"/>
    <w:rsid w:val="00D505F7"/>
    <w:rsid w:val="00D50775"/>
    <w:rsid w:val="00D50884"/>
    <w:rsid w:val="00D50A53"/>
    <w:rsid w:val="00D50AD8"/>
    <w:rsid w:val="00D50AD9"/>
    <w:rsid w:val="00D50C8A"/>
    <w:rsid w:val="00D50FBF"/>
    <w:rsid w:val="00D5102C"/>
    <w:rsid w:val="00D5174C"/>
    <w:rsid w:val="00D51771"/>
    <w:rsid w:val="00D518B4"/>
    <w:rsid w:val="00D5190B"/>
    <w:rsid w:val="00D51A5A"/>
    <w:rsid w:val="00D51C4A"/>
    <w:rsid w:val="00D51C7D"/>
    <w:rsid w:val="00D51E63"/>
    <w:rsid w:val="00D51E65"/>
    <w:rsid w:val="00D52006"/>
    <w:rsid w:val="00D52029"/>
    <w:rsid w:val="00D52147"/>
    <w:rsid w:val="00D524D2"/>
    <w:rsid w:val="00D527FA"/>
    <w:rsid w:val="00D52893"/>
    <w:rsid w:val="00D528C2"/>
    <w:rsid w:val="00D52A78"/>
    <w:rsid w:val="00D52DEE"/>
    <w:rsid w:val="00D52F25"/>
    <w:rsid w:val="00D531A8"/>
    <w:rsid w:val="00D53433"/>
    <w:rsid w:val="00D53C61"/>
    <w:rsid w:val="00D53D7A"/>
    <w:rsid w:val="00D53DF4"/>
    <w:rsid w:val="00D53F43"/>
    <w:rsid w:val="00D54112"/>
    <w:rsid w:val="00D5445C"/>
    <w:rsid w:val="00D54546"/>
    <w:rsid w:val="00D54BB1"/>
    <w:rsid w:val="00D54DBC"/>
    <w:rsid w:val="00D54FAD"/>
    <w:rsid w:val="00D550F0"/>
    <w:rsid w:val="00D5526A"/>
    <w:rsid w:val="00D552C3"/>
    <w:rsid w:val="00D5553C"/>
    <w:rsid w:val="00D55660"/>
    <w:rsid w:val="00D558C2"/>
    <w:rsid w:val="00D559B6"/>
    <w:rsid w:val="00D55E22"/>
    <w:rsid w:val="00D560E4"/>
    <w:rsid w:val="00D5646B"/>
    <w:rsid w:val="00D5648E"/>
    <w:rsid w:val="00D56798"/>
    <w:rsid w:val="00D5697D"/>
    <w:rsid w:val="00D569CD"/>
    <w:rsid w:val="00D56A1B"/>
    <w:rsid w:val="00D56A39"/>
    <w:rsid w:val="00D56AD7"/>
    <w:rsid w:val="00D56AE9"/>
    <w:rsid w:val="00D56C71"/>
    <w:rsid w:val="00D56FA2"/>
    <w:rsid w:val="00D570DA"/>
    <w:rsid w:val="00D5726C"/>
    <w:rsid w:val="00D57341"/>
    <w:rsid w:val="00D57355"/>
    <w:rsid w:val="00D576DD"/>
    <w:rsid w:val="00D577BB"/>
    <w:rsid w:val="00D5786C"/>
    <w:rsid w:val="00D579BF"/>
    <w:rsid w:val="00D57ADF"/>
    <w:rsid w:val="00D57C82"/>
    <w:rsid w:val="00D57CE6"/>
    <w:rsid w:val="00D57F1C"/>
    <w:rsid w:val="00D601D9"/>
    <w:rsid w:val="00D6054A"/>
    <w:rsid w:val="00D60570"/>
    <w:rsid w:val="00D60591"/>
    <w:rsid w:val="00D60836"/>
    <w:rsid w:val="00D608B2"/>
    <w:rsid w:val="00D60A79"/>
    <w:rsid w:val="00D60ACE"/>
    <w:rsid w:val="00D60C49"/>
    <w:rsid w:val="00D60E3F"/>
    <w:rsid w:val="00D61450"/>
    <w:rsid w:val="00D61582"/>
    <w:rsid w:val="00D61595"/>
    <w:rsid w:val="00D6196F"/>
    <w:rsid w:val="00D61B00"/>
    <w:rsid w:val="00D61E46"/>
    <w:rsid w:val="00D622B5"/>
    <w:rsid w:val="00D628F3"/>
    <w:rsid w:val="00D62A85"/>
    <w:rsid w:val="00D62B7F"/>
    <w:rsid w:val="00D62C16"/>
    <w:rsid w:val="00D62C55"/>
    <w:rsid w:val="00D62F0E"/>
    <w:rsid w:val="00D62F58"/>
    <w:rsid w:val="00D630DE"/>
    <w:rsid w:val="00D6312B"/>
    <w:rsid w:val="00D6315B"/>
    <w:rsid w:val="00D63380"/>
    <w:rsid w:val="00D634F5"/>
    <w:rsid w:val="00D6358F"/>
    <w:rsid w:val="00D63767"/>
    <w:rsid w:val="00D637FA"/>
    <w:rsid w:val="00D63807"/>
    <w:rsid w:val="00D638C9"/>
    <w:rsid w:val="00D638FB"/>
    <w:rsid w:val="00D63D68"/>
    <w:rsid w:val="00D63F8E"/>
    <w:rsid w:val="00D640AB"/>
    <w:rsid w:val="00D64164"/>
    <w:rsid w:val="00D64335"/>
    <w:rsid w:val="00D64568"/>
    <w:rsid w:val="00D645BE"/>
    <w:rsid w:val="00D646EB"/>
    <w:rsid w:val="00D64857"/>
    <w:rsid w:val="00D64874"/>
    <w:rsid w:val="00D6498B"/>
    <w:rsid w:val="00D64DB2"/>
    <w:rsid w:val="00D64DC0"/>
    <w:rsid w:val="00D64F68"/>
    <w:rsid w:val="00D64FB7"/>
    <w:rsid w:val="00D650B9"/>
    <w:rsid w:val="00D65133"/>
    <w:rsid w:val="00D6532D"/>
    <w:rsid w:val="00D659E9"/>
    <w:rsid w:val="00D65B2D"/>
    <w:rsid w:val="00D65C7A"/>
    <w:rsid w:val="00D65DEB"/>
    <w:rsid w:val="00D65E61"/>
    <w:rsid w:val="00D65EE9"/>
    <w:rsid w:val="00D66298"/>
    <w:rsid w:val="00D662FD"/>
    <w:rsid w:val="00D6644E"/>
    <w:rsid w:val="00D66467"/>
    <w:rsid w:val="00D66606"/>
    <w:rsid w:val="00D66703"/>
    <w:rsid w:val="00D667A1"/>
    <w:rsid w:val="00D66A7D"/>
    <w:rsid w:val="00D66AE4"/>
    <w:rsid w:val="00D66B99"/>
    <w:rsid w:val="00D66C4A"/>
    <w:rsid w:val="00D66CCD"/>
    <w:rsid w:val="00D66CDC"/>
    <w:rsid w:val="00D66D82"/>
    <w:rsid w:val="00D66D8B"/>
    <w:rsid w:val="00D670C0"/>
    <w:rsid w:val="00D67183"/>
    <w:rsid w:val="00D67455"/>
    <w:rsid w:val="00D676E5"/>
    <w:rsid w:val="00D67740"/>
    <w:rsid w:val="00D678C6"/>
    <w:rsid w:val="00D67B41"/>
    <w:rsid w:val="00D67D0F"/>
    <w:rsid w:val="00D67F05"/>
    <w:rsid w:val="00D67F39"/>
    <w:rsid w:val="00D70090"/>
    <w:rsid w:val="00D7010E"/>
    <w:rsid w:val="00D701A3"/>
    <w:rsid w:val="00D705FF"/>
    <w:rsid w:val="00D70665"/>
    <w:rsid w:val="00D706EB"/>
    <w:rsid w:val="00D70758"/>
    <w:rsid w:val="00D70813"/>
    <w:rsid w:val="00D7081C"/>
    <w:rsid w:val="00D709C0"/>
    <w:rsid w:val="00D70C39"/>
    <w:rsid w:val="00D70CEE"/>
    <w:rsid w:val="00D70E09"/>
    <w:rsid w:val="00D71167"/>
    <w:rsid w:val="00D711D6"/>
    <w:rsid w:val="00D715B9"/>
    <w:rsid w:val="00D715D3"/>
    <w:rsid w:val="00D716B8"/>
    <w:rsid w:val="00D717EE"/>
    <w:rsid w:val="00D71824"/>
    <w:rsid w:val="00D718B5"/>
    <w:rsid w:val="00D71C0B"/>
    <w:rsid w:val="00D71C4C"/>
    <w:rsid w:val="00D71CFF"/>
    <w:rsid w:val="00D71DB3"/>
    <w:rsid w:val="00D71F74"/>
    <w:rsid w:val="00D71FBD"/>
    <w:rsid w:val="00D72053"/>
    <w:rsid w:val="00D7211C"/>
    <w:rsid w:val="00D7258E"/>
    <w:rsid w:val="00D7261E"/>
    <w:rsid w:val="00D727C3"/>
    <w:rsid w:val="00D7289B"/>
    <w:rsid w:val="00D728D9"/>
    <w:rsid w:val="00D728F4"/>
    <w:rsid w:val="00D72A89"/>
    <w:rsid w:val="00D72F65"/>
    <w:rsid w:val="00D73065"/>
    <w:rsid w:val="00D73181"/>
    <w:rsid w:val="00D732DA"/>
    <w:rsid w:val="00D732F1"/>
    <w:rsid w:val="00D73821"/>
    <w:rsid w:val="00D73EA9"/>
    <w:rsid w:val="00D74021"/>
    <w:rsid w:val="00D7402E"/>
    <w:rsid w:val="00D7411B"/>
    <w:rsid w:val="00D74147"/>
    <w:rsid w:val="00D74450"/>
    <w:rsid w:val="00D74857"/>
    <w:rsid w:val="00D74922"/>
    <w:rsid w:val="00D74A63"/>
    <w:rsid w:val="00D74AED"/>
    <w:rsid w:val="00D74B21"/>
    <w:rsid w:val="00D74B6A"/>
    <w:rsid w:val="00D74E69"/>
    <w:rsid w:val="00D74F21"/>
    <w:rsid w:val="00D754D9"/>
    <w:rsid w:val="00D756CC"/>
    <w:rsid w:val="00D756FA"/>
    <w:rsid w:val="00D75906"/>
    <w:rsid w:val="00D75A3F"/>
    <w:rsid w:val="00D7621E"/>
    <w:rsid w:val="00D765A6"/>
    <w:rsid w:val="00D7669F"/>
    <w:rsid w:val="00D76940"/>
    <w:rsid w:val="00D76B2A"/>
    <w:rsid w:val="00D76F80"/>
    <w:rsid w:val="00D77005"/>
    <w:rsid w:val="00D7704C"/>
    <w:rsid w:val="00D773B6"/>
    <w:rsid w:val="00D77400"/>
    <w:rsid w:val="00D7773C"/>
    <w:rsid w:val="00D7774C"/>
    <w:rsid w:val="00D778F5"/>
    <w:rsid w:val="00D77913"/>
    <w:rsid w:val="00D77EAF"/>
    <w:rsid w:val="00D8017B"/>
    <w:rsid w:val="00D8023B"/>
    <w:rsid w:val="00D802BD"/>
    <w:rsid w:val="00D80494"/>
    <w:rsid w:val="00D805B1"/>
    <w:rsid w:val="00D806BE"/>
    <w:rsid w:val="00D8080F"/>
    <w:rsid w:val="00D80A27"/>
    <w:rsid w:val="00D80A30"/>
    <w:rsid w:val="00D80B16"/>
    <w:rsid w:val="00D80D8C"/>
    <w:rsid w:val="00D80DDA"/>
    <w:rsid w:val="00D81210"/>
    <w:rsid w:val="00D8132D"/>
    <w:rsid w:val="00D815E8"/>
    <w:rsid w:val="00D816B4"/>
    <w:rsid w:val="00D8170B"/>
    <w:rsid w:val="00D81766"/>
    <w:rsid w:val="00D8194F"/>
    <w:rsid w:val="00D81C4E"/>
    <w:rsid w:val="00D81E33"/>
    <w:rsid w:val="00D81E9B"/>
    <w:rsid w:val="00D82134"/>
    <w:rsid w:val="00D821E8"/>
    <w:rsid w:val="00D8227E"/>
    <w:rsid w:val="00D82287"/>
    <w:rsid w:val="00D824C7"/>
    <w:rsid w:val="00D8266C"/>
    <w:rsid w:val="00D828E3"/>
    <w:rsid w:val="00D82ACB"/>
    <w:rsid w:val="00D82B0D"/>
    <w:rsid w:val="00D82B74"/>
    <w:rsid w:val="00D82F94"/>
    <w:rsid w:val="00D8301F"/>
    <w:rsid w:val="00D83023"/>
    <w:rsid w:val="00D830BB"/>
    <w:rsid w:val="00D8314F"/>
    <w:rsid w:val="00D83197"/>
    <w:rsid w:val="00D83281"/>
    <w:rsid w:val="00D8337F"/>
    <w:rsid w:val="00D83425"/>
    <w:rsid w:val="00D83430"/>
    <w:rsid w:val="00D83487"/>
    <w:rsid w:val="00D8379E"/>
    <w:rsid w:val="00D83AC5"/>
    <w:rsid w:val="00D83B11"/>
    <w:rsid w:val="00D83B3D"/>
    <w:rsid w:val="00D83D32"/>
    <w:rsid w:val="00D84398"/>
    <w:rsid w:val="00D847E0"/>
    <w:rsid w:val="00D84866"/>
    <w:rsid w:val="00D84C8C"/>
    <w:rsid w:val="00D84C9D"/>
    <w:rsid w:val="00D84F72"/>
    <w:rsid w:val="00D85049"/>
    <w:rsid w:val="00D8507D"/>
    <w:rsid w:val="00D851E3"/>
    <w:rsid w:val="00D855D3"/>
    <w:rsid w:val="00D855EA"/>
    <w:rsid w:val="00D85632"/>
    <w:rsid w:val="00D85819"/>
    <w:rsid w:val="00D8588B"/>
    <w:rsid w:val="00D85954"/>
    <w:rsid w:val="00D859E5"/>
    <w:rsid w:val="00D85DDC"/>
    <w:rsid w:val="00D86259"/>
    <w:rsid w:val="00D86450"/>
    <w:rsid w:val="00D865E6"/>
    <w:rsid w:val="00D869B1"/>
    <w:rsid w:val="00D86C0F"/>
    <w:rsid w:val="00D86F0D"/>
    <w:rsid w:val="00D86FD4"/>
    <w:rsid w:val="00D871A3"/>
    <w:rsid w:val="00D87217"/>
    <w:rsid w:val="00D872EE"/>
    <w:rsid w:val="00D87BA0"/>
    <w:rsid w:val="00D9071E"/>
    <w:rsid w:val="00D90A07"/>
    <w:rsid w:val="00D90ADF"/>
    <w:rsid w:val="00D90D0D"/>
    <w:rsid w:val="00D91260"/>
    <w:rsid w:val="00D91458"/>
    <w:rsid w:val="00D914CD"/>
    <w:rsid w:val="00D916EF"/>
    <w:rsid w:val="00D918E0"/>
    <w:rsid w:val="00D9199F"/>
    <w:rsid w:val="00D91B60"/>
    <w:rsid w:val="00D91C9D"/>
    <w:rsid w:val="00D91CFB"/>
    <w:rsid w:val="00D91D72"/>
    <w:rsid w:val="00D923A9"/>
    <w:rsid w:val="00D9246F"/>
    <w:rsid w:val="00D9276F"/>
    <w:rsid w:val="00D9287E"/>
    <w:rsid w:val="00D92900"/>
    <w:rsid w:val="00D9297A"/>
    <w:rsid w:val="00D92B0F"/>
    <w:rsid w:val="00D92BBC"/>
    <w:rsid w:val="00D92C96"/>
    <w:rsid w:val="00D92D63"/>
    <w:rsid w:val="00D92F20"/>
    <w:rsid w:val="00D93016"/>
    <w:rsid w:val="00D9321F"/>
    <w:rsid w:val="00D938B0"/>
    <w:rsid w:val="00D93945"/>
    <w:rsid w:val="00D93A31"/>
    <w:rsid w:val="00D93A51"/>
    <w:rsid w:val="00D93AA0"/>
    <w:rsid w:val="00D93DD1"/>
    <w:rsid w:val="00D93EF2"/>
    <w:rsid w:val="00D9435A"/>
    <w:rsid w:val="00D944AF"/>
    <w:rsid w:val="00D9488C"/>
    <w:rsid w:val="00D94BD7"/>
    <w:rsid w:val="00D94BED"/>
    <w:rsid w:val="00D94EA5"/>
    <w:rsid w:val="00D94F32"/>
    <w:rsid w:val="00D94F52"/>
    <w:rsid w:val="00D95190"/>
    <w:rsid w:val="00D9531C"/>
    <w:rsid w:val="00D95610"/>
    <w:rsid w:val="00D95661"/>
    <w:rsid w:val="00D956CB"/>
    <w:rsid w:val="00D95915"/>
    <w:rsid w:val="00D95E3C"/>
    <w:rsid w:val="00D95E50"/>
    <w:rsid w:val="00D9619E"/>
    <w:rsid w:val="00D961A3"/>
    <w:rsid w:val="00D96445"/>
    <w:rsid w:val="00D966E6"/>
    <w:rsid w:val="00D9686D"/>
    <w:rsid w:val="00D96A33"/>
    <w:rsid w:val="00D96B84"/>
    <w:rsid w:val="00D97115"/>
    <w:rsid w:val="00D97153"/>
    <w:rsid w:val="00D974CB"/>
    <w:rsid w:val="00D97721"/>
    <w:rsid w:val="00D97A2F"/>
    <w:rsid w:val="00D97D82"/>
    <w:rsid w:val="00D97D8D"/>
    <w:rsid w:val="00D97DC7"/>
    <w:rsid w:val="00D97F45"/>
    <w:rsid w:val="00DA056C"/>
    <w:rsid w:val="00DA05A7"/>
    <w:rsid w:val="00DA09A5"/>
    <w:rsid w:val="00DA0E05"/>
    <w:rsid w:val="00DA0F04"/>
    <w:rsid w:val="00DA0F63"/>
    <w:rsid w:val="00DA0FE2"/>
    <w:rsid w:val="00DA1082"/>
    <w:rsid w:val="00DA13C8"/>
    <w:rsid w:val="00DA141D"/>
    <w:rsid w:val="00DA1561"/>
    <w:rsid w:val="00DA1617"/>
    <w:rsid w:val="00DA1758"/>
    <w:rsid w:val="00DA1771"/>
    <w:rsid w:val="00DA1776"/>
    <w:rsid w:val="00DA1A66"/>
    <w:rsid w:val="00DA1AB5"/>
    <w:rsid w:val="00DA1B6E"/>
    <w:rsid w:val="00DA22D5"/>
    <w:rsid w:val="00DA23F8"/>
    <w:rsid w:val="00DA2746"/>
    <w:rsid w:val="00DA2773"/>
    <w:rsid w:val="00DA27B8"/>
    <w:rsid w:val="00DA27FC"/>
    <w:rsid w:val="00DA2A55"/>
    <w:rsid w:val="00DA2AE8"/>
    <w:rsid w:val="00DA2F98"/>
    <w:rsid w:val="00DA31CD"/>
    <w:rsid w:val="00DA33C8"/>
    <w:rsid w:val="00DA35CC"/>
    <w:rsid w:val="00DA37C5"/>
    <w:rsid w:val="00DA3871"/>
    <w:rsid w:val="00DA38DF"/>
    <w:rsid w:val="00DA3949"/>
    <w:rsid w:val="00DA3A83"/>
    <w:rsid w:val="00DA3B4D"/>
    <w:rsid w:val="00DA3B81"/>
    <w:rsid w:val="00DA3C2F"/>
    <w:rsid w:val="00DA3F12"/>
    <w:rsid w:val="00DA3FCA"/>
    <w:rsid w:val="00DA42A5"/>
    <w:rsid w:val="00DA436A"/>
    <w:rsid w:val="00DA43DF"/>
    <w:rsid w:val="00DA45A0"/>
    <w:rsid w:val="00DA48AF"/>
    <w:rsid w:val="00DA4927"/>
    <w:rsid w:val="00DA4B6F"/>
    <w:rsid w:val="00DA4D2D"/>
    <w:rsid w:val="00DA4D86"/>
    <w:rsid w:val="00DA4D95"/>
    <w:rsid w:val="00DA4E80"/>
    <w:rsid w:val="00DA4F79"/>
    <w:rsid w:val="00DA546A"/>
    <w:rsid w:val="00DA553C"/>
    <w:rsid w:val="00DA56AD"/>
    <w:rsid w:val="00DA5806"/>
    <w:rsid w:val="00DA58D7"/>
    <w:rsid w:val="00DA5B93"/>
    <w:rsid w:val="00DA5D39"/>
    <w:rsid w:val="00DA5E03"/>
    <w:rsid w:val="00DA5F17"/>
    <w:rsid w:val="00DA6037"/>
    <w:rsid w:val="00DA61A0"/>
    <w:rsid w:val="00DA61EB"/>
    <w:rsid w:val="00DA626F"/>
    <w:rsid w:val="00DA6288"/>
    <w:rsid w:val="00DA65F8"/>
    <w:rsid w:val="00DA66EA"/>
    <w:rsid w:val="00DA6723"/>
    <w:rsid w:val="00DA688A"/>
    <w:rsid w:val="00DA68DE"/>
    <w:rsid w:val="00DA699C"/>
    <w:rsid w:val="00DA6A55"/>
    <w:rsid w:val="00DA6C94"/>
    <w:rsid w:val="00DA6E7D"/>
    <w:rsid w:val="00DA7437"/>
    <w:rsid w:val="00DA75CF"/>
    <w:rsid w:val="00DA7669"/>
    <w:rsid w:val="00DA7817"/>
    <w:rsid w:val="00DA7A94"/>
    <w:rsid w:val="00DA7AC5"/>
    <w:rsid w:val="00DA7BC6"/>
    <w:rsid w:val="00DB030B"/>
    <w:rsid w:val="00DB075E"/>
    <w:rsid w:val="00DB079A"/>
    <w:rsid w:val="00DB0932"/>
    <w:rsid w:val="00DB0A06"/>
    <w:rsid w:val="00DB0B6E"/>
    <w:rsid w:val="00DB0CC8"/>
    <w:rsid w:val="00DB10C0"/>
    <w:rsid w:val="00DB11CF"/>
    <w:rsid w:val="00DB1279"/>
    <w:rsid w:val="00DB1357"/>
    <w:rsid w:val="00DB1790"/>
    <w:rsid w:val="00DB1855"/>
    <w:rsid w:val="00DB1D5E"/>
    <w:rsid w:val="00DB1DF3"/>
    <w:rsid w:val="00DB1F96"/>
    <w:rsid w:val="00DB1FF0"/>
    <w:rsid w:val="00DB2112"/>
    <w:rsid w:val="00DB2489"/>
    <w:rsid w:val="00DB249C"/>
    <w:rsid w:val="00DB2614"/>
    <w:rsid w:val="00DB2615"/>
    <w:rsid w:val="00DB2AFE"/>
    <w:rsid w:val="00DB2B1C"/>
    <w:rsid w:val="00DB2C89"/>
    <w:rsid w:val="00DB2CF4"/>
    <w:rsid w:val="00DB2CF6"/>
    <w:rsid w:val="00DB3101"/>
    <w:rsid w:val="00DB3358"/>
    <w:rsid w:val="00DB351B"/>
    <w:rsid w:val="00DB3555"/>
    <w:rsid w:val="00DB3777"/>
    <w:rsid w:val="00DB3891"/>
    <w:rsid w:val="00DB3937"/>
    <w:rsid w:val="00DB3AE4"/>
    <w:rsid w:val="00DB3F07"/>
    <w:rsid w:val="00DB418F"/>
    <w:rsid w:val="00DB456F"/>
    <w:rsid w:val="00DB4AFD"/>
    <w:rsid w:val="00DB4B99"/>
    <w:rsid w:val="00DB4BE1"/>
    <w:rsid w:val="00DB4CD6"/>
    <w:rsid w:val="00DB4DF0"/>
    <w:rsid w:val="00DB50DE"/>
    <w:rsid w:val="00DB5175"/>
    <w:rsid w:val="00DB51BA"/>
    <w:rsid w:val="00DB566E"/>
    <w:rsid w:val="00DB5782"/>
    <w:rsid w:val="00DB57A3"/>
    <w:rsid w:val="00DB58C8"/>
    <w:rsid w:val="00DB5C75"/>
    <w:rsid w:val="00DB5CD1"/>
    <w:rsid w:val="00DB5E62"/>
    <w:rsid w:val="00DB5EEB"/>
    <w:rsid w:val="00DB611F"/>
    <w:rsid w:val="00DB6933"/>
    <w:rsid w:val="00DB69A5"/>
    <w:rsid w:val="00DB6BBF"/>
    <w:rsid w:val="00DB6C87"/>
    <w:rsid w:val="00DB6E47"/>
    <w:rsid w:val="00DB73F2"/>
    <w:rsid w:val="00DB7468"/>
    <w:rsid w:val="00DB74C2"/>
    <w:rsid w:val="00DB766B"/>
    <w:rsid w:val="00DB787F"/>
    <w:rsid w:val="00DB7ABC"/>
    <w:rsid w:val="00DB7B65"/>
    <w:rsid w:val="00DB7BED"/>
    <w:rsid w:val="00DB7ED8"/>
    <w:rsid w:val="00DC00D6"/>
    <w:rsid w:val="00DC0774"/>
    <w:rsid w:val="00DC0D2B"/>
    <w:rsid w:val="00DC0F09"/>
    <w:rsid w:val="00DC1068"/>
    <w:rsid w:val="00DC106C"/>
    <w:rsid w:val="00DC10D9"/>
    <w:rsid w:val="00DC10F5"/>
    <w:rsid w:val="00DC12B2"/>
    <w:rsid w:val="00DC12B5"/>
    <w:rsid w:val="00DC12EC"/>
    <w:rsid w:val="00DC147F"/>
    <w:rsid w:val="00DC18C4"/>
    <w:rsid w:val="00DC1B70"/>
    <w:rsid w:val="00DC1C25"/>
    <w:rsid w:val="00DC2030"/>
    <w:rsid w:val="00DC24ED"/>
    <w:rsid w:val="00DC2560"/>
    <w:rsid w:val="00DC25C8"/>
    <w:rsid w:val="00DC28FB"/>
    <w:rsid w:val="00DC29D1"/>
    <w:rsid w:val="00DC2AD0"/>
    <w:rsid w:val="00DC2CBD"/>
    <w:rsid w:val="00DC2D08"/>
    <w:rsid w:val="00DC2EF6"/>
    <w:rsid w:val="00DC3145"/>
    <w:rsid w:val="00DC314E"/>
    <w:rsid w:val="00DC39B3"/>
    <w:rsid w:val="00DC3C41"/>
    <w:rsid w:val="00DC3D47"/>
    <w:rsid w:val="00DC3DA2"/>
    <w:rsid w:val="00DC3E4C"/>
    <w:rsid w:val="00DC40B8"/>
    <w:rsid w:val="00DC4321"/>
    <w:rsid w:val="00DC4669"/>
    <w:rsid w:val="00DC46F4"/>
    <w:rsid w:val="00DC47FB"/>
    <w:rsid w:val="00DC48A1"/>
    <w:rsid w:val="00DC49C8"/>
    <w:rsid w:val="00DC4B55"/>
    <w:rsid w:val="00DC4B99"/>
    <w:rsid w:val="00DC4F2D"/>
    <w:rsid w:val="00DC50DB"/>
    <w:rsid w:val="00DC512C"/>
    <w:rsid w:val="00DC5203"/>
    <w:rsid w:val="00DC5221"/>
    <w:rsid w:val="00DC53C5"/>
    <w:rsid w:val="00DC57F6"/>
    <w:rsid w:val="00DC5826"/>
    <w:rsid w:val="00DC58DD"/>
    <w:rsid w:val="00DC5A4F"/>
    <w:rsid w:val="00DC5C68"/>
    <w:rsid w:val="00DC5D4F"/>
    <w:rsid w:val="00DC5DFE"/>
    <w:rsid w:val="00DC62AD"/>
    <w:rsid w:val="00DC637E"/>
    <w:rsid w:val="00DC64BC"/>
    <w:rsid w:val="00DC66E6"/>
    <w:rsid w:val="00DC6C80"/>
    <w:rsid w:val="00DC6CAB"/>
    <w:rsid w:val="00DC6F46"/>
    <w:rsid w:val="00DC7177"/>
    <w:rsid w:val="00DC7477"/>
    <w:rsid w:val="00DC74F1"/>
    <w:rsid w:val="00DC757A"/>
    <w:rsid w:val="00DC7866"/>
    <w:rsid w:val="00DC7986"/>
    <w:rsid w:val="00DC7A87"/>
    <w:rsid w:val="00DC7A95"/>
    <w:rsid w:val="00DC7C93"/>
    <w:rsid w:val="00DC7DD0"/>
    <w:rsid w:val="00DC7DE0"/>
    <w:rsid w:val="00DC7F39"/>
    <w:rsid w:val="00DC7FD7"/>
    <w:rsid w:val="00DD0264"/>
    <w:rsid w:val="00DD03D6"/>
    <w:rsid w:val="00DD0527"/>
    <w:rsid w:val="00DD0542"/>
    <w:rsid w:val="00DD0755"/>
    <w:rsid w:val="00DD0CEB"/>
    <w:rsid w:val="00DD0D0C"/>
    <w:rsid w:val="00DD0E4A"/>
    <w:rsid w:val="00DD110A"/>
    <w:rsid w:val="00DD11E4"/>
    <w:rsid w:val="00DD1400"/>
    <w:rsid w:val="00DD1555"/>
    <w:rsid w:val="00DD1623"/>
    <w:rsid w:val="00DD1777"/>
    <w:rsid w:val="00DD183D"/>
    <w:rsid w:val="00DD1A2C"/>
    <w:rsid w:val="00DD1AEB"/>
    <w:rsid w:val="00DD1BCE"/>
    <w:rsid w:val="00DD1DB7"/>
    <w:rsid w:val="00DD2075"/>
    <w:rsid w:val="00DD21FF"/>
    <w:rsid w:val="00DD25BF"/>
    <w:rsid w:val="00DD27D0"/>
    <w:rsid w:val="00DD28E9"/>
    <w:rsid w:val="00DD2989"/>
    <w:rsid w:val="00DD2CC0"/>
    <w:rsid w:val="00DD2F8D"/>
    <w:rsid w:val="00DD3514"/>
    <w:rsid w:val="00DD36A6"/>
    <w:rsid w:val="00DD39A5"/>
    <w:rsid w:val="00DD3CB0"/>
    <w:rsid w:val="00DD3D88"/>
    <w:rsid w:val="00DD3F95"/>
    <w:rsid w:val="00DD40D0"/>
    <w:rsid w:val="00DD4414"/>
    <w:rsid w:val="00DD4446"/>
    <w:rsid w:val="00DD461C"/>
    <w:rsid w:val="00DD46EA"/>
    <w:rsid w:val="00DD4701"/>
    <w:rsid w:val="00DD4939"/>
    <w:rsid w:val="00DD4CAA"/>
    <w:rsid w:val="00DD4D29"/>
    <w:rsid w:val="00DD4D3F"/>
    <w:rsid w:val="00DD52C3"/>
    <w:rsid w:val="00DD54C8"/>
    <w:rsid w:val="00DD56DE"/>
    <w:rsid w:val="00DD5855"/>
    <w:rsid w:val="00DD59A7"/>
    <w:rsid w:val="00DD5A20"/>
    <w:rsid w:val="00DD5B57"/>
    <w:rsid w:val="00DD5C31"/>
    <w:rsid w:val="00DD5C5B"/>
    <w:rsid w:val="00DD5EF6"/>
    <w:rsid w:val="00DD5F60"/>
    <w:rsid w:val="00DD63EB"/>
    <w:rsid w:val="00DD669C"/>
    <w:rsid w:val="00DD6748"/>
    <w:rsid w:val="00DD6879"/>
    <w:rsid w:val="00DD6BB6"/>
    <w:rsid w:val="00DD6BE9"/>
    <w:rsid w:val="00DD6BFA"/>
    <w:rsid w:val="00DD6C7E"/>
    <w:rsid w:val="00DD6D18"/>
    <w:rsid w:val="00DD6E02"/>
    <w:rsid w:val="00DD6E4B"/>
    <w:rsid w:val="00DD6E8B"/>
    <w:rsid w:val="00DD6F5D"/>
    <w:rsid w:val="00DD6F62"/>
    <w:rsid w:val="00DD7048"/>
    <w:rsid w:val="00DD7167"/>
    <w:rsid w:val="00DD71CC"/>
    <w:rsid w:val="00DD731B"/>
    <w:rsid w:val="00DD77BB"/>
    <w:rsid w:val="00DD7918"/>
    <w:rsid w:val="00DD7A7B"/>
    <w:rsid w:val="00DD7AB8"/>
    <w:rsid w:val="00DD7ADD"/>
    <w:rsid w:val="00DD7B28"/>
    <w:rsid w:val="00DD7F1E"/>
    <w:rsid w:val="00DE01F1"/>
    <w:rsid w:val="00DE083B"/>
    <w:rsid w:val="00DE08CC"/>
    <w:rsid w:val="00DE09AE"/>
    <w:rsid w:val="00DE09D6"/>
    <w:rsid w:val="00DE0BAB"/>
    <w:rsid w:val="00DE0C20"/>
    <w:rsid w:val="00DE0C6D"/>
    <w:rsid w:val="00DE0CEA"/>
    <w:rsid w:val="00DE0D8E"/>
    <w:rsid w:val="00DE1044"/>
    <w:rsid w:val="00DE1177"/>
    <w:rsid w:val="00DE15C4"/>
    <w:rsid w:val="00DE170F"/>
    <w:rsid w:val="00DE183B"/>
    <w:rsid w:val="00DE1A8D"/>
    <w:rsid w:val="00DE1B23"/>
    <w:rsid w:val="00DE1DA9"/>
    <w:rsid w:val="00DE2018"/>
    <w:rsid w:val="00DE2035"/>
    <w:rsid w:val="00DE2118"/>
    <w:rsid w:val="00DE2360"/>
    <w:rsid w:val="00DE2446"/>
    <w:rsid w:val="00DE257F"/>
    <w:rsid w:val="00DE2646"/>
    <w:rsid w:val="00DE2718"/>
    <w:rsid w:val="00DE28F9"/>
    <w:rsid w:val="00DE2DEB"/>
    <w:rsid w:val="00DE2EEC"/>
    <w:rsid w:val="00DE3065"/>
    <w:rsid w:val="00DE3179"/>
    <w:rsid w:val="00DE31CB"/>
    <w:rsid w:val="00DE35F5"/>
    <w:rsid w:val="00DE37AE"/>
    <w:rsid w:val="00DE3A20"/>
    <w:rsid w:val="00DE3AAD"/>
    <w:rsid w:val="00DE3B79"/>
    <w:rsid w:val="00DE3B7E"/>
    <w:rsid w:val="00DE3C57"/>
    <w:rsid w:val="00DE3CAD"/>
    <w:rsid w:val="00DE3CEF"/>
    <w:rsid w:val="00DE3CF7"/>
    <w:rsid w:val="00DE3ED1"/>
    <w:rsid w:val="00DE407F"/>
    <w:rsid w:val="00DE4164"/>
    <w:rsid w:val="00DE4325"/>
    <w:rsid w:val="00DE4501"/>
    <w:rsid w:val="00DE45EE"/>
    <w:rsid w:val="00DE49C5"/>
    <w:rsid w:val="00DE4C42"/>
    <w:rsid w:val="00DE4DDA"/>
    <w:rsid w:val="00DE4E66"/>
    <w:rsid w:val="00DE4F74"/>
    <w:rsid w:val="00DE503C"/>
    <w:rsid w:val="00DE5359"/>
    <w:rsid w:val="00DE53F3"/>
    <w:rsid w:val="00DE5668"/>
    <w:rsid w:val="00DE5672"/>
    <w:rsid w:val="00DE56E2"/>
    <w:rsid w:val="00DE5858"/>
    <w:rsid w:val="00DE5865"/>
    <w:rsid w:val="00DE5961"/>
    <w:rsid w:val="00DE5997"/>
    <w:rsid w:val="00DE59DA"/>
    <w:rsid w:val="00DE59E7"/>
    <w:rsid w:val="00DE5C0C"/>
    <w:rsid w:val="00DE5D47"/>
    <w:rsid w:val="00DE5EFA"/>
    <w:rsid w:val="00DE610E"/>
    <w:rsid w:val="00DE6320"/>
    <w:rsid w:val="00DE639A"/>
    <w:rsid w:val="00DE6463"/>
    <w:rsid w:val="00DE65D1"/>
    <w:rsid w:val="00DE6660"/>
    <w:rsid w:val="00DE68BA"/>
    <w:rsid w:val="00DE6947"/>
    <w:rsid w:val="00DE69ED"/>
    <w:rsid w:val="00DE6AC1"/>
    <w:rsid w:val="00DE6BA9"/>
    <w:rsid w:val="00DE6C3C"/>
    <w:rsid w:val="00DE6D35"/>
    <w:rsid w:val="00DE6DA9"/>
    <w:rsid w:val="00DE7109"/>
    <w:rsid w:val="00DE710B"/>
    <w:rsid w:val="00DE744A"/>
    <w:rsid w:val="00DE77A8"/>
    <w:rsid w:val="00DE79C0"/>
    <w:rsid w:val="00DE7A74"/>
    <w:rsid w:val="00DE7D57"/>
    <w:rsid w:val="00DE7E69"/>
    <w:rsid w:val="00DF0052"/>
    <w:rsid w:val="00DF03F1"/>
    <w:rsid w:val="00DF04A7"/>
    <w:rsid w:val="00DF05F7"/>
    <w:rsid w:val="00DF062B"/>
    <w:rsid w:val="00DF065B"/>
    <w:rsid w:val="00DF0806"/>
    <w:rsid w:val="00DF0889"/>
    <w:rsid w:val="00DF0AB2"/>
    <w:rsid w:val="00DF0B04"/>
    <w:rsid w:val="00DF0FCE"/>
    <w:rsid w:val="00DF119E"/>
    <w:rsid w:val="00DF1345"/>
    <w:rsid w:val="00DF15E7"/>
    <w:rsid w:val="00DF16CD"/>
    <w:rsid w:val="00DF180D"/>
    <w:rsid w:val="00DF1A99"/>
    <w:rsid w:val="00DF1D31"/>
    <w:rsid w:val="00DF1D5B"/>
    <w:rsid w:val="00DF1DE7"/>
    <w:rsid w:val="00DF2137"/>
    <w:rsid w:val="00DF2211"/>
    <w:rsid w:val="00DF2268"/>
    <w:rsid w:val="00DF2452"/>
    <w:rsid w:val="00DF26CA"/>
    <w:rsid w:val="00DF278B"/>
    <w:rsid w:val="00DF2BA5"/>
    <w:rsid w:val="00DF2BB6"/>
    <w:rsid w:val="00DF2DA2"/>
    <w:rsid w:val="00DF32CF"/>
    <w:rsid w:val="00DF36B4"/>
    <w:rsid w:val="00DF3D3C"/>
    <w:rsid w:val="00DF3DB4"/>
    <w:rsid w:val="00DF3E1C"/>
    <w:rsid w:val="00DF3FF4"/>
    <w:rsid w:val="00DF4161"/>
    <w:rsid w:val="00DF4554"/>
    <w:rsid w:val="00DF4740"/>
    <w:rsid w:val="00DF4A72"/>
    <w:rsid w:val="00DF4ABB"/>
    <w:rsid w:val="00DF4DAE"/>
    <w:rsid w:val="00DF54CD"/>
    <w:rsid w:val="00DF595C"/>
    <w:rsid w:val="00DF5A0E"/>
    <w:rsid w:val="00DF5CE0"/>
    <w:rsid w:val="00DF5E78"/>
    <w:rsid w:val="00DF5EBD"/>
    <w:rsid w:val="00DF5ED2"/>
    <w:rsid w:val="00DF6280"/>
    <w:rsid w:val="00DF634C"/>
    <w:rsid w:val="00DF6395"/>
    <w:rsid w:val="00DF64CB"/>
    <w:rsid w:val="00DF65D9"/>
    <w:rsid w:val="00DF689D"/>
    <w:rsid w:val="00DF6962"/>
    <w:rsid w:val="00DF69EF"/>
    <w:rsid w:val="00DF6B42"/>
    <w:rsid w:val="00DF6B79"/>
    <w:rsid w:val="00DF6C35"/>
    <w:rsid w:val="00DF6D40"/>
    <w:rsid w:val="00DF6D99"/>
    <w:rsid w:val="00DF70A2"/>
    <w:rsid w:val="00DF70B6"/>
    <w:rsid w:val="00DF712B"/>
    <w:rsid w:val="00DF7413"/>
    <w:rsid w:val="00DF74A0"/>
    <w:rsid w:val="00DF778D"/>
    <w:rsid w:val="00DF789D"/>
    <w:rsid w:val="00DF78A7"/>
    <w:rsid w:val="00DF78CB"/>
    <w:rsid w:val="00DF79C3"/>
    <w:rsid w:val="00DF7A30"/>
    <w:rsid w:val="00DF7BA9"/>
    <w:rsid w:val="00DF7CE9"/>
    <w:rsid w:val="00DF7DA6"/>
    <w:rsid w:val="00E000E4"/>
    <w:rsid w:val="00E00218"/>
    <w:rsid w:val="00E0039F"/>
    <w:rsid w:val="00E003A0"/>
    <w:rsid w:val="00E00416"/>
    <w:rsid w:val="00E00467"/>
    <w:rsid w:val="00E004EE"/>
    <w:rsid w:val="00E0053B"/>
    <w:rsid w:val="00E006FA"/>
    <w:rsid w:val="00E00767"/>
    <w:rsid w:val="00E0085C"/>
    <w:rsid w:val="00E00896"/>
    <w:rsid w:val="00E00B1E"/>
    <w:rsid w:val="00E00C9E"/>
    <w:rsid w:val="00E00D55"/>
    <w:rsid w:val="00E00DB7"/>
    <w:rsid w:val="00E00DFC"/>
    <w:rsid w:val="00E00E88"/>
    <w:rsid w:val="00E0157F"/>
    <w:rsid w:val="00E01EB5"/>
    <w:rsid w:val="00E021C2"/>
    <w:rsid w:val="00E02528"/>
    <w:rsid w:val="00E026BC"/>
    <w:rsid w:val="00E02A9A"/>
    <w:rsid w:val="00E02E01"/>
    <w:rsid w:val="00E02EC1"/>
    <w:rsid w:val="00E02EE4"/>
    <w:rsid w:val="00E03125"/>
    <w:rsid w:val="00E031F3"/>
    <w:rsid w:val="00E032D1"/>
    <w:rsid w:val="00E0338B"/>
    <w:rsid w:val="00E03603"/>
    <w:rsid w:val="00E03AD6"/>
    <w:rsid w:val="00E03CD0"/>
    <w:rsid w:val="00E0400C"/>
    <w:rsid w:val="00E0417E"/>
    <w:rsid w:val="00E042D0"/>
    <w:rsid w:val="00E042D6"/>
    <w:rsid w:val="00E049FB"/>
    <w:rsid w:val="00E050A6"/>
    <w:rsid w:val="00E052DD"/>
    <w:rsid w:val="00E054BE"/>
    <w:rsid w:val="00E05700"/>
    <w:rsid w:val="00E05796"/>
    <w:rsid w:val="00E05876"/>
    <w:rsid w:val="00E0597F"/>
    <w:rsid w:val="00E0599E"/>
    <w:rsid w:val="00E05A8B"/>
    <w:rsid w:val="00E05B03"/>
    <w:rsid w:val="00E05B86"/>
    <w:rsid w:val="00E05E70"/>
    <w:rsid w:val="00E0625F"/>
    <w:rsid w:val="00E062DA"/>
    <w:rsid w:val="00E06456"/>
    <w:rsid w:val="00E06829"/>
    <w:rsid w:val="00E0699A"/>
    <w:rsid w:val="00E069CC"/>
    <w:rsid w:val="00E06A27"/>
    <w:rsid w:val="00E06C56"/>
    <w:rsid w:val="00E06C76"/>
    <w:rsid w:val="00E06F2F"/>
    <w:rsid w:val="00E06F41"/>
    <w:rsid w:val="00E0710E"/>
    <w:rsid w:val="00E0739A"/>
    <w:rsid w:val="00E074FF"/>
    <w:rsid w:val="00E07537"/>
    <w:rsid w:val="00E07699"/>
    <w:rsid w:val="00E07934"/>
    <w:rsid w:val="00E079F3"/>
    <w:rsid w:val="00E07A85"/>
    <w:rsid w:val="00E07C4C"/>
    <w:rsid w:val="00E07D5D"/>
    <w:rsid w:val="00E07D6F"/>
    <w:rsid w:val="00E07D7B"/>
    <w:rsid w:val="00E07D97"/>
    <w:rsid w:val="00E07F23"/>
    <w:rsid w:val="00E10068"/>
    <w:rsid w:val="00E101B6"/>
    <w:rsid w:val="00E102A2"/>
    <w:rsid w:val="00E104BF"/>
    <w:rsid w:val="00E1053C"/>
    <w:rsid w:val="00E105E1"/>
    <w:rsid w:val="00E106F5"/>
    <w:rsid w:val="00E1081C"/>
    <w:rsid w:val="00E10A77"/>
    <w:rsid w:val="00E10B56"/>
    <w:rsid w:val="00E10CAD"/>
    <w:rsid w:val="00E110D5"/>
    <w:rsid w:val="00E111FF"/>
    <w:rsid w:val="00E11241"/>
    <w:rsid w:val="00E1137E"/>
    <w:rsid w:val="00E1146F"/>
    <w:rsid w:val="00E11651"/>
    <w:rsid w:val="00E119AC"/>
    <w:rsid w:val="00E11A86"/>
    <w:rsid w:val="00E11C92"/>
    <w:rsid w:val="00E11CEB"/>
    <w:rsid w:val="00E11F52"/>
    <w:rsid w:val="00E121BE"/>
    <w:rsid w:val="00E121D0"/>
    <w:rsid w:val="00E122DC"/>
    <w:rsid w:val="00E12603"/>
    <w:rsid w:val="00E12612"/>
    <w:rsid w:val="00E12CD5"/>
    <w:rsid w:val="00E12DDD"/>
    <w:rsid w:val="00E13101"/>
    <w:rsid w:val="00E13427"/>
    <w:rsid w:val="00E13715"/>
    <w:rsid w:val="00E1371D"/>
    <w:rsid w:val="00E13A38"/>
    <w:rsid w:val="00E13B30"/>
    <w:rsid w:val="00E13EDD"/>
    <w:rsid w:val="00E13F0F"/>
    <w:rsid w:val="00E13F7F"/>
    <w:rsid w:val="00E14077"/>
    <w:rsid w:val="00E1419A"/>
    <w:rsid w:val="00E144B4"/>
    <w:rsid w:val="00E145B7"/>
    <w:rsid w:val="00E145D6"/>
    <w:rsid w:val="00E145F2"/>
    <w:rsid w:val="00E14975"/>
    <w:rsid w:val="00E14D36"/>
    <w:rsid w:val="00E14F60"/>
    <w:rsid w:val="00E1514A"/>
    <w:rsid w:val="00E153BD"/>
    <w:rsid w:val="00E15482"/>
    <w:rsid w:val="00E1548A"/>
    <w:rsid w:val="00E1554E"/>
    <w:rsid w:val="00E159BA"/>
    <w:rsid w:val="00E15BE8"/>
    <w:rsid w:val="00E15CAE"/>
    <w:rsid w:val="00E15D58"/>
    <w:rsid w:val="00E16066"/>
    <w:rsid w:val="00E1607B"/>
    <w:rsid w:val="00E1609B"/>
    <w:rsid w:val="00E1610C"/>
    <w:rsid w:val="00E164AD"/>
    <w:rsid w:val="00E16589"/>
    <w:rsid w:val="00E169EF"/>
    <w:rsid w:val="00E16AD5"/>
    <w:rsid w:val="00E16CFF"/>
    <w:rsid w:val="00E16DF0"/>
    <w:rsid w:val="00E16E55"/>
    <w:rsid w:val="00E16FA1"/>
    <w:rsid w:val="00E17110"/>
    <w:rsid w:val="00E177D0"/>
    <w:rsid w:val="00E178CF"/>
    <w:rsid w:val="00E179D2"/>
    <w:rsid w:val="00E17A35"/>
    <w:rsid w:val="00E17B71"/>
    <w:rsid w:val="00E17C98"/>
    <w:rsid w:val="00E17D36"/>
    <w:rsid w:val="00E17D90"/>
    <w:rsid w:val="00E17E38"/>
    <w:rsid w:val="00E20349"/>
    <w:rsid w:val="00E203D5"/>
    <w:rsid w:val="00E20403"/>
    <w:rsid w:val="00E2096B"/>
    <w:rsid w:val="00E209EC"/>
    <w:rsid w:val="00E20AB2"/>
    <w:rsid w:val="00E20BAB"/>
    <w:rsid w:val="00E20C79"/>
    <w:rsid w:val="00E20CB2"/>
    <w:rsid w:val="00E20EE6"/>
    <w:rsid w:val="00E212A1"/>
    <w:rsid w:val="00E2136B"/>
    <w:rsid w:val="00E2152B"/>
    <w:rsid w:val="00E21653"/>
    <w:rsid w:val="00E216F2"/>
    <w:rsid w:val="00E219F4"/>
    <w:rsid w:val="00E21D6F"/>
    <w:rsid w:val="00E21E1E"/>
    <w:rsid w:val="00E21E75"/>
    <w:rsid w:val="00E221ED"/>
    <w:rsid w:val="00E221FB"/>
    <w:rsid w:val="00E223AA"/>
    <w:rsid w:val="00E22852"/>
    <w:rsid w:val="00E22982"/>
    <w:rsid w:val="00E22B17"/>
    <w:rsid w:val="00E22B82"/>
    <w:rsid w:val="00E22BEC"/>
    <w:rsid w:val="00E22CF1"/>
    <w:rsid w:val="00E2316A"/>
    <w:rsid w:val="00E2330F"/>
    <w:rsid w:val="00E235D9"/>
    <w:rsid w:val="00E23625"/>
    <w:rsid w:val="00E2384E"/>
    <w:rsid w:val="00E23AB3"/>
    <w:rsid w:val="00E23BCE"/>
    <w:rsid w:val="00E23C31"/>
    <w:rsid w:val="00E23CAA"/>
    <w:rsid w:val="00E23D18"/>
    <w:rsid w:val="00E23D60"/>
    <w:rsid w:val="00E24108"/>
    <w:rsid w:val="00E2412C"/>
    <w:rsid w:val="00E24324"/>
    <w:rsid w:val="00E2440C"/>
    <w:rsid w:val="00E244AE"/>
    <w:rsid w:val="00E244D8"/>
    <w:rsid w:val="00E2474D"/>
    <w:rsid w:val="00E2476A"/>
    <w:rsid w:val="00E2483F"/>
    <w:rsid w:val="00E24B1A"/>
    <w:rsid w:val="00E24D5F"/>
    <w:rsid w:val="00E24E4B"/>
    <w:rsid w:val="00E2520F"/>
    <w:rsid w:val="00E25239"/>
    <w:rsid w:val="00E2525B"/>
    <w:rsid w:val="00E25442"/>
    <w:rsid w:val="00E25494"/>
    <w:rsid w:val="00E254C5"/>
    <w:rsid w:val="00E2569E"/>
    <w:rsid w:val="00E25774"/>
    <w:rsid w:val="00E259E6"/>
    <w:rsid w:val="00E25C09"/>
    <w:rsid w:val="00E25C4E"/>
    <w:rsid w:val="00E25CDC"/>
    <w:rsid w:val="00E25E3E"/>
    <w:rsid w:val="00E261F6"/>
    <w:rsid w:val="00E26201"/>
    <w:rsid w:val="00E2646F"/>
    <w:rsid w:val="00E264CA"/>
    <w:rsid w:val="00E264DB"/>
    <w:rsid w:val="00E26511"/>
    <w:rsid w:val="00E26514"/>
    <w:rsid w:val="00E269AB"/>
    <w:rsid w:val="00E26BD9"/>
    <w:rsid w:val="00E26C57"/>
    <w:rsid w:val="00E26CA2"/>
    <w:rsid w:val="00E270FF"/>
    <w:rsid w:val="00E271D1"/>
    <w:rsid w:val="00E2785A"/>
    <w:rsid w:val="00E278AA"/>
    <w:rsid w:val="00E27A37"/>
    <w:rsid w:val="00E27C62"/>
    <w:rsid w:val="00E27D53"/>
    <w:rsid w:val="00E3014E"/>
    <w:rsid w:val="00E30349"/>
    <w:rsid w:val="00E303FE"/>
    <w:rsid w:val="00E306C2"/>
    <w:rsid w:val="00E30788"/>
    <w:rsid w:val="00E30B70"/>
    <w:rsid w:val="00E30DB1"/>
    <w:rsid w:val="00E30E2F"/>
    <w:rsid w:val="00E30E7F"/>
    <w:rsid w:val="00E30F4A"/>
    <w:rsid w:val="00E310C2"/>
    <w:rsid w:val="00E313E5"/>
    <w:rsid w:val="00E3145B"/>
    <w:rsid w:val="00E315CE"/>
    <w:rsid w:val="00E31650"/>
    <w:rsid w:val="00E317BE"/>
    <w:rsid w:val="00E317ED"/>
    <w:rsid w:val="00E31896"/>
    <w:rsid w:val="00E31B7F"/>
    <w:rsid w:val="00E31BB8"/>
    <w:rsid w:val="00E31C12"/>
    <w:rsid w:val="00E31C5D"/>
    <w:rsid w:val="00E32120"/>
    <w:rsid w:val="00E3222B"/>
    <w:rsid w:val="00E325C2"/>
    <w:rsid w:val="00E32778"/>
    <w:rsid w:val="00E32955"/>
    <w:rsid w:val="00E32B81"/>
    <w:rsid w:val="00E32C27"/>
    <w:rsid w:val="00E32DD3"/>
    <w:rsid w:val="00E32FF1"/>
    <w:rsid w:val="00E33166"/>
    <w:rsid w:val="00E33242"/>
    <w:rsid w:val="00E33467"/>
    <w:rsid w:val="00E33494"/>
    <w:rsid w:val="00E335AC"/>
    <w:rsid w:val="00E337F4"/>
    <w:rsid w:val="00E339C2"/>
    <w:rsid w:val="00E33A62"/>
    <w:rsid w:val="00E33D14"/>
    <w:rsid w:val="00E33F0E"/>
    <w:rsid w:val="00E34147"/>
    <w:rsid w:val="00E3414B"/>
    <w:rsid w:val="00E3423D"/>
    <w:rsid w:val="00E342AF"/>
    <w:rsid w:val="00E344C5"/>
    <w:rsid w:val="00E3482C"/>
    <w:rsid w:val="00E3483E"/>
    <w:rsid w:val="00E34842"/>
    <w:rsid w:val="00E34907"/>
    <w:rsid w:val="00E34A2A"/>
    <w:rsid w:val="00E34AD4"/>
    <w:rsid w:val="00E34B75"/>
    <w:rsid w:val="00E34BBA"/>
    <w:rsid w:val="00E34C56"/>
    <w:rsid w:val="00E34D85"/>
    <w:rsid w:val="00E34E72"/>
    <w:rsid w:val="00E35391"/>
    <w:rsid w:val="00E3541D"/>
    <w:rsid w:val="00E35A9C"/>
    <w:rsid w:val="00E35A9E"/>
    <w:rsid w:val="00E35AB2"/>
    <w:rsid w:val="00E35BB5"/>
    <w:rsid w:val="00E3614B"/>
    <w:rsid w:val="00E362B8"/>
    <w:rsid w:val="00E3634A"/>
    <w:rsid w:val="00E36398"/>
    <w:rsid w:val="00E36865"/>
    <w:rsid w:val="00E3688B"/>
    <w:rsid w:val="00E36B1F"/>
    <w:rsid w:val="00E36BB9"/>
    <w:rsid w:val="00E36D52"/>
    <w:rsid w:val="00E36DAF"/>
    <w:rsid w:val="00E36E0B"/>
    <w:rsid w:val="00E36EA7"/>
    <w:rsid w:val="00E37225"/>
    <w:rsid w:val="00E3722F"/>
    <w:rsid w:val="00E374BB"/>
    <w:rsid w:val="00E400F8"/>
    <w:rsid w:val="00E403BB"/>
    <w:rsid w:val="00E40425"/>
    <w:rsid w:val="00E40444"/>
    <w:rsid w:val="00E405D5"/>
    <w:rsid w:val="00E405E4"/>
    <w:rsid w:val="00E40CE7"/>
    <w:rsid w:val="00E40F25"/>
    <w:rsid w:val="00E40FA1"/>
    <w:rsid w:val="00E41025"/>
    <w:rsid w:val="00E413BB"/>
    <w:rsid w:val="00E413BF"/>
    <w:rsid w:val="00E416E1"/>
    <w:rsid w:val="00E4190B"/>
    <w:rsid w:val="00E41947"/>
    <w:rsid w:val="00E4215C"/>
    <w:rsid w:val="00E423D7"/>
    <w:rsid w:val="00E4248C"/>
    <w:rsid w:val="00E42566"/>
    <w:rsid w:val="00E42711"/>
    <w:rsid w:val="00E428A4"/>
    <w:rsid w:val="00E429BD"/>
    <w:rsid w:val="00E429EB"/>
    <w:rsid w:val="00E429F8"/>
    <w:rsid w:val="00E42A31"/>
    <w:rsid w:val="00E42A84"/>
    <w:rsid w:val="00E42CE1"/>
    <w:rsid w:val="00E42D1E"/>
    <w:rsid w:val="00E42EEA"/>
    <w:rsid w:val="00E42F5E"/>
    <w:rsid w:val="00E43953"/>
    <w:rsid w:val="00E43F6B"/>
    <w:rsid w:val="00E44030"/>
    <w:rsid w:val="00E44200"/>
    <w:rsid w:val="00E4431D"/>
    <w:rsid w:val="00E4456C"/>
    <w:rsid w:val="00E44825"/>
    <w:rsid w:val="00E44A8D"/>
    <w:rsid w:val="00E44C28"/>
    <w:rsid w:val="00E44DE8"/>
    <w:rsid w:val="00E44FA8"/>
    <w:rsid w:val="00E451C2"/>
    <w:rsid w:val="00E452B4"/>
    <w:rsid w:val="00E45665"/>
    <w:rsid w:val="00E4586A"/>
    <w:rsid w:val="00E458AB"/>
    <w:rsid w:val="00E458F5"/>
    <w:rsid w:val="00E45DA6"/>
    <w:rsid w:val="00E45F61"/>
    <w:rsid w:val="00E45F62"/>
    <w:rsid w:val="00E4667C"/>
    <w:rsid w:val="00E46730"/>
    <w:rsid w:val="00E46865"/>
    <w:rsid w:val="00E46B11"/>
    <w:rsid w:val="00E46C11"/>
    <w:rsid w:val="00E46C97"/>
    <w:rsid w:val="00E46F42"/>
    <w:rsid w:val="00E47011"/>
    <w:rsid w:val="00E47122"/>
    <w:rsid w:val="00E47598"/>
    <w:rsid w:val="00E47604"/>
    <w:rsid w:val="00E476B3"/>
    <w:rsid w:val="00E47B38"/>
    <w:rsid w:val="00E47DDD"/>
    <w:rsid w:val="00E47FE8"/>
    <w:rsid w:val="00E5045A"/>
    <w:rsid w:val="00E505FC"/>
    <w:rsid w:val="00E50604"/>
    <w:rsid w:val="00E506EF"/>
    <w:rsid w:val="00E50719"/>
    <w:rsid w:val="00E5083A"/>
    <w:rsid w:val="00E5091B"/>
    <w:rsid w:val="00E50946"/>
    <w:rsid w:val="00E50B8A"/>
    <w:rsid w:val="00E50D8D"/>
    <w:rsid w:val="00E50EA5"/>
    <w:rsid w:val="00E50F1E"/>
    <w:rsid w:val="00E50FF1"/>
    <w:rsid w:val="00E51318"/>
    <w:rsid w:val="00E515DB"/>
    <w:rsid w:val="00E516C3"/>
    <w:rsid w:val="00E5189B"/>
    <w:rsid w:val="00E51CE8"/>
    <w:rsid w:val="00E51D72"/>
    <w:rsid w:val="00E51DA7"/>
    <w:rsid w:val="00E5265A"/>
    <w:rsid w:val="00E52874"/>
    <w:rsid w:val="00E52B03"/>
    <w:rsid w:val="00E52BF9"/>
    <w:rsid w:val="00E52C7C"/>
    <w:rsid w:val="00E52EA1"/>
    <w:rsid w:val="00E5315A"/>
    <w:rsid w:val="00E532EA"/>
    <w:rsid w:val="00E53496"/>
    <w:rsid w:val="00E5364D"/>
    <w:rsid w:val="00E537AA"/>
    <w:rsid w:val="00E53803"/>
    <w:rsid w:val="00E53C42"/>
    <w:rsid w:val="00E53C62"/>
    <w:rsid w:val="00E53D7F"/>
    <w:rsid w:val="00E53D87"/>
    <w:rsid w:val="00E540A7"/>
    <w:rsid w:val="00E542F0"/>
    <w:rsid w:val="00E54316"/>
    <w:rsid w:val="00E54402"/>
    <w:rsid w:val="00E547DD"/>
    <w:rsid w:val="00E548D3"/>
    <w:rsid w:val="00E54A7C"/>
    <w:rsid w:val="00E54DD6"/>
    <w:rsid w:val="00E54EAA"/>
    <w:rsid w:val="00E55124"/>
    <w:rsid w:val="00E552D3"/>
    <w:rsid w:val="00E5588A"/>
    <w:rsid w:val="00E55957"/>
    <w:rsid w:val="00E55A99"/>
    <w:rsid w:val="00E55AD4"/>
    <w:rsid w:val="00E55B81"/>
    <w:rsid w:val="00E55ECE"/>
    <w:rsid w:val="00E55EDB"/>
    <w:rsid w:val="00E560A4"/>
    <w:rsid w:val="00E560D1"/>
    <w:rsid w:val="00E56300"/>
    <w:rsid w:val="00E5644B"/>
    <w:rsid w:val="00E56813"/>
    <w:rsid w:val="00E5684D"/>
    <w:rsid w:val="00E568DE"/>
    <w:rsid w:val="00E56923"/>
    <w:rsid w:val="00E56B39"/>
    <w:rsid w:val="00E56B66"/>
    <w:rsid w:val="00E56F2A"/>
    <w:rsid w:val="00E571EC"/>
    <w:rsid w:val="00E57351"/>
    <w:rsid w:val="00E57382"/>
    <w:rsid w:val="00E573F1"/>
    <w:rsid w:val="00E5743E"/>
    <w:rsid w:val="00E57524"/>
    <w:rsid w:val="00E575A2"/>
    <w:rsid w:val="00E576C5"/>
    <w:rsid w:val="00E577DD"/>
    <w:rsid w:val="00E57956"/>
    <w:rsid w:val="00E57979"/>
    <w:rsid w:val="00E57A64"/>
    <w:rsid w:val="00E57C63"/>
    <w:rsid w:val="00E57D45"/>
    <w:rsid w:val="00E57EA4"/>
    <w:rsid w:val="00E57F60"/>
    <w:rsid w:val="00E606FD"/>
    <w:rsid w:val="00E608E6"/>
    <w:rsid w:val="00E608EF"/>
    <w:rsid w:val="00E60922"/>
    <w:rsid w:val="00E60AB4"/>
    <w:rsid w:val="00E60C8D"/>
    <w:rsid w:val="00E60CBB"/>
    <w:rsid w:val="00E60F58"/>
    <w:rsid w:val="00E60F89"/>
    <w:rsid w:val="00E6114D"/>
    <w:rsid w:val="00E613C0"/>
    <w:rsid w:val="00E61635"/>
    <w:rsid w:val="00E61686"/>
    <w:rsid w:val="00E616C4"/>
    <w:rsid w:val="00E618C4"/>
    <w:rsid w:val="00E618EE"/>
    <w:rsid w:val="00E61974"/>
    <w:rsid w:val="00E61E30"/>
    <w:rsid w:val="00E61F44"/>
    <w:rsid w:val="00E61FBA"/>
    <w:rsid w:val="00E61FD0"/>
    <w:rsid w:val="00E62085"/>
    <w:rsid w:val="00E62438"/>
    <w:rsid w:val="00E62520"/>
    <w:rsid w:val="00E62570"/>
    <w:rsid w:val="00E62948"/>
    <w:rsid w:val="00E62C7F"/>
    <w:rsid w:val="00E62ECA"/>
    <w:rsid w:val="00E63070"/>
    <w:rsid w:val="00E6341D"/>
    <w:rsid w:val="00E63450"/>
    <w:rsid w:val="00E634F6"/>
    <w:rsid w:val="00E63601"/>
    <w:rsid w:val="00E63992"/>
    <w:rsid w:val="00E6405B"/>
    <w:rsid w:val="00E64198"/>
    <w:rsid w:val="00E64234"/>
    <w:rsid w:val="00E642EA"/>
    <w:rsid w:val="00E64617"/>
    <w:rsid w:val="00E64667"/>
    <w:rsid w:val="00E646A1"/>
    <w:rsid w:val="00E6470C"/>
    <w:rsid w:val="00E64835"/>
    <w:rsid w:val="00E64917"/>
    <w:rsid w:val="00E64C74"/>
    <w:rsid w:val="00E64CDC"/>
    <w:rsid w:val="00E64D5B"/>
    <w:rsid w:val="00E64EE2"/>
    <w:rsid w:val="00E65027"/>
    <w:rsid w:val="00E650FF"/>
    <w:rsid w:val="00E6536D"/>
    <w:rsid w:val="00E653F0"/>
    <w:rsid w:val="00E65431"/>
    <w:rsid w:val="00E65464"/>
    <w:rsid w:val="00E6574B"/>
    <w:rsid w:val="00E65D0A"/>
    <w:rsid w:val="00E65DBC"/>
    <w:rsid w:val="00E65EEF"/>
    <w:rsid w:val="00E660F6"/>
    <w:rsid w:val="00E662AB"/>
    <w:rsid w:val="00E663C9"/>
    <w:rsid w:val="00E668A2"/>
    <w:rsid w:val="00E6696C"/>
    <w:rsid w:val="00E66A35"/>
    <w:rsid w:val="00E66A8B"/>
    <w:rsid w:val="00E66C79"/>
    <w:rsid w:val="00E66CC7"/>
    <w:rsid w:val="00E66DD4"/>
    <w:rsid w:val="00E66E29"/>
    <w:rsid w:val="00E6708A"/>
    <w:rsid w:val="00E67126"/>
    <w:rsid w:val="00E6723A"/>
    <w:rsid w:val="00E672B7"/>
    <w:rsid w:val="00E675F1"/>
    <w:rsid w:val="00E67684"/>
    <w:rsid w:val="00E67747"/>
    <w:rsid w:val="00E6790A"/>
    <w:rsid w:val="00E67990"/>
    <w:rsid w:val="00E67B30"/>
    <w:rsid w:val="00E67B5D"/>
    <w:rsid w:val="00E67CCF"/>
    <w:rsid w:val="00E67EA7"/>
    <w:rsid w:val="00E7016A"/>
    <w:rsid w:val="00E70583"/>
    <w:rsid w:val="00E707E7"/>
    <w:rsid w:val="00E708DC"/>
    <w:rsid w:val="00E70AEF"/>
    <w:rsid w:val="00E70B4F"/>
    <w:rsid w:val="00E70D2F"/>
    <w:rsid w:val="00E70E4B"/>
    <w:rsid w:val="00E71191"/>
    <w:rsid w:val="00E7139D"/>
    <w:rsid w:val="00E7155C"/>
    <w:rsid w:val="00E71C7A"/>
    <w:rsid w:val="00E72176"/>
    <w:rsid w:val="00E72353"/>
    <w:rsid w:val="00E723BF"/>
    <w:rsid w:val="00E726B0"/>
    <w:rsid w:val="00E7284C"/>
    <w:rsid w:val="00E72885"/>
    <w:rsid w:val="00E72900"/>
    <w:rsid w:val="00E72BE4"/>
    <w:rsid w:val="00E7302F"/>
    <w:rsid w:val="00E73389"/>
    <w:rsid w:val="00E7338E"/>
    <w:rsid w:val="00E734A6"/>
    <w:rsid w:val="00E73577"/>
    <w:rsid w:val="00E73629"/>
    <w:rsid w:val="00E73992"/>
    <w:rsid w:val="00E739C0"/>
    <w:rsid w:val="00E73C27"/>
    <w:rsid w:val="00E73C88"/>
    <w:rsid w:val="00E73D2D"/>
    <w:rsid w:val="00E73D43"/>
    <w:rsid w:val="00E73EE7"/>
    <w:rsid w:val="00E7450B"/>
    <w:rsid w:val="00E74797"/>
    <w:rsid w:val="00E74A7E"/>
    <w:rsid w:val="00E74C84"/>
    <w:rsid w:val="00E74CDA"/>
    <w:rsid w:val="00E74DB5"/>
    <w:rsid w:val="00E74E33"/>
    <w:rsid w:val="00E751EF"/>
    <w:rsid w:val="00E757D2"/>
    <w:rsid w:val="00E75C3B"/>
    <w:rsid w:val="00E76246"/>
    <w:rsid w:val="00E76304"/>
    <w:rsid w:val="00E76353"/>
    <w:rsid w:val="00E764B9"/>
    <w:rsid w:val="00E76828"/>
    <w:rsid w:val="00E769A0"/>
    <w:rsid w:val="00E76ADD"/>
    <w:rsid w:val="00E76B51"/>
    <w:rsid w:val="00E76F58"/>
    <w:rsid w:val="00E77044"/>
    <w:rsid w:val="00E77257"/>
    <w:rsid w:val="00E776D7"/>
    <w:rsid w:val="00E778EF"/>
    <w:rsid w:val="00E77B7B"/>
    <w:rsid w:val="00E80171"/>
    <w:rsid w:val="00E8018E"/>
    <w:rsid w:val="00E801CD"/>
    <w:rsid w:val="00E80291"/>
    <w:rsid w:val="00E802E8"/>
    <w:rsid w:val="00E8031B"/>
    <w:rsid w:val="00E806BA"/>
    <w:rsid w:val="00E808D2"/>
    <w:rsid w:val="00E80A12"/>
    <w:rsid w:val="00E80BA2"/>
    <w:rsid w:val="00E80C2E"/>
    <w:rsid w:val="00E80CA7"/>
    <w:rsid w:val="00E80D3E"/>
    <w:rsid w:val="00E80FA0"/>
    <w:rsid w:val="00E80FD2"/>
    <w:rsid w:val="00E81080"/>
    <w:rsid w:val="00E81209"/>
    <w:rsid w:val="00E813AE"/>
    <w:rsid w:val="00E8152A"/>
    <w:rsid w:val="00E81933"/>
    <w:rsid w:val="00E8197E"/>
    <w:rsid w:val="00E81C2F"/>
    <w:rsid w:val="00E81CAF"/>
    <w:rsid w:val="00E81D84"/>
    <w:rsid w:val="00E81D8E"/>
    <w:rsid w:val="00E81F5F"/>
    <w:rsid w:val="00E82022"/>
    <w:rsid w:val="00E82033"/>
    <w:rsid w:val="00E82047"/>
    <w:rsid w:val="00E82051"/>
    <w:rsid w:val="00E82052"/>
    <w:rsid w:val="00E8207F"/>
    <w:rsid w:val="00E82135"/>
    <w:rsid w:val="00E8218D"/>
    <w:rsid w:val="00E828A7"/>
    <w:rsid w:val="00E829BF"/>
    <w:rsid w:val="00E82A2A"/>
    <w:rsid w:val="00E82D41"/>
    <w:rsid w:val="00E82DC1"/>
    <w:rsid w:val="00E82E02"/>
    <w:rsid w:val="00E82F0D"/>
    <w:rsid w:val="00E83565"/>
    <w:rsid w:val="00E83721"/>
    <w:rsid w:val="00E83830"/>
    <w:rsid w:val="00E839EF"/>
    <w:rsid w:val="00E83AD5"/>
    <w:rsid w:val="00E83BC0"/>
    <w:rsid w:val="00E83D0C"/>
    <w:rsid w:val="00E83D5B"/>
    <w:rsid w:val="00E83F55"/>
    <w:rsid w:val="00E83F58"/>
    <w:rsid w:val="00E83FF4"/>
    <w:rsid w:val="00E84049"/>
    <w:rsid w:val="00E84DEE"/>
    <w:rsid w:val="00E84F27"/>
    <w:rsid w:val="00E8525B"/>
    <w:rsid w:val="00E853E4"/>
    <w:rsid w:val="00E85546"/>
    <w:rsid w:val="00E8561E"/>
    <w:rsid w:val="00E856F2"/>
    <w:rsid w:val="00E859D3"/>
    <w:rsid w:val="00E866F4"/>
    <w:rsid w:val="00E868E6"/>
    <w:rsid w:val="00E8690D"/>
    <w:rsid w:val="00E86A25"/>
    <w:rsid w:val="00E86D79"/>
    <w:rsid w:val="00E86E86"/>
    <w:rsid w:val="00E87483"/>
    <w:rsid w:val="00E87598"/>
    <w:rsid w:val="00E875B1"/>
    <w:rsid w:val="00E875DF"/>
    <w:rsid w:val="00E876BE"/>
    <w:rsid w:val="00E87782"/>
    <w:rsid w:val="00E879EB"/>
    <w:rsid w:val="00E87D16"/>
    <w:rsid w:val="00E9007B"/>
    <w:rsid w:val="00E900C6"/>
    <w:rsid w:val="00E90A04"/>
    <w:rsid w:val="00E90A32"/>
    <w:rsid w:val="00E90B9C"/>
    <w:rsid w:val="00E90C11"/>
    <w:rsid w:val="00E90D47"/>
    <w:rsid w:val="00E90E86"/>
    <w:rsid w:val="00E91009"/>
    <w:rsid w:val="00E91185"/>
    <w:rsid w:val="00E9130A"/>
    <w:rsid w:val="00E9136C"/>
    <w:rsid w:val="00E916AA"/>
    <w:rsid w:val="00E91A17"/>
    <w:rsid w:val="00E91DF4"/>
    <w:rsid w:val="00E92117"/>
    <w:rsid w:val="00E92228"/>
    <w:rsid w:val="00E9234C"/>
    <w:rsid w:val="00E9267D"/>
    <w:rsid w:val="00E926C7"/>
    <w:rsid w:val="00E926FB"/>
    <w:rsid w:val="00E92702"/>
    <w:rsid w:val="00E92719"/>
    <w:rsid w:val="00E92916"/>
    <w:rsid w:val="00E92A4F"/>
    <w:rsid w:val="00E92B3A"/>
    <w:rsid w:val="00E92C79"/>
    <w:rsid w:val="00E92C7C"/>
    <w:rsid w:val="00E92D43"/>
    <w:rsid w:val="00E92DDF"/>
    <w:rsid w:val="00E92E0E"/>
    <w:rsid w:val="00E931A5"/>
    <w:rsid w:val="00E931E3"/>
    <w:rsid w:val="00E93553"/>
    <w:rsid w:val="00E93892"/>
    <w:rsid w:val="00E93BE0"/>
    <w:rsid w:val="00E93C04"/>
    <w:rsid w:val="00E93D2D"/>
    <w:rsid w:val="00E93D6C"/>
    <w:rsid w:val="00E93E21"/>
    <w:rsid w:val="00E93ECE"/>
    <w:rsid w:val="00E9404A"/>
    <w:rsid w:val="00E94140"/>
    <w:rsid w:val="00E948A4"/>
    <w:rsid w:val="00E9498B"/>
    <w:rsid w:val="00E94B3B"/>
    <w:rsid w:val="00E94BD9"/>
    <w:rsid w:val="00E94F77"/>
    <w:rsid w:val="00E9510A"/>
    <w:rsid w:val="00E95297"/>
    <w:rsid w:val="00E954BC"/>
    <w:rsid w:val="00E955EC"/>
    <w:rsid w:val="00E957F3"/>
    <w:rsid w:val="00E95BAC"/>
    <w:rsid w:val="00E95CE6"/>
    <w:rsid w:val="00E95E58"/>
    <w:rsid w:val="00E95E9D"/>
    <w:rsid w:val="00E95F7C"/>
    <w:rsid w:val="00E95FBF"/>
    <w:rsid w:val="00E96202"/>
    <w:rsid w:val="00E96868"/>
    <w:rsid w:val="00E96945"/>
    <w:rsid w:val="00E96B5A"/>
    <w:rsid w:val="00E96C1B"/>
    <w:rsid w:val="00E96C3F"/>
    <w:rsid w:val="00E96E2C"/>
    <w:rsid w:val="00E96FC2"/>
    <w:rsid w:val="00E9703A"/>
    <w:rsid w:val="00E97103"/>
    <w:rsid w:val="00E9719F"/>
    <w:rsid w:val="00E97364"/>
    <w:rsid w:val="00E973FB"/>
    <w:rsid w:val="00E9762C"/>
    <w:rsid w:val="00E9783B"/>
    <w:rsid w:val="00E97B5A"/>
    <w:rsid w:val="00E97B95"/>
    <w:rsid w:val="00EA0081"/>
    <w:rsid w:val="00EA00B6"/>
    <w:rsid w:val="00EA030A"/>
    <w:rsid w:val="00EA06AC"/>
    <w:rsid w:val="00EA0701"/>
    <w:rsid w:val="00EA0778"/>
    <w:rsid w:val="00EA0D3D"/>
    <w:rsid w:val="00EA0F29"/>
    <w:rsid w:val="00EA0F6E"/>
    <w:rsid w:val="00EA15AB"/>
    <w:rsid w:val="00EA19B8"/>
    <w:rsid w:val="00EA1AA7"/>
    <w:rsid w:val="00EA1AE3"/>
    <w:rsid w:val="00EA1D95"/>
    <w:rsid w:val="00EA1FE1"/>
    <w:rsid w:val="00EA20C1"/>
    <w:rsid w:val="00EA2564"/>
    <w:rsid w:val="00EA286A"/>
    <w:rsid w:val="00EA2878"/>
    <w:rsid w:val="00EA2C09"/>
    <w:rsid w:val="00EA2CB6"/>
    <w:rsid w:val="00EA2E30"/>
    <w:rsid w:val="00EA2E92"/>
    <w:rsid w:val="00EA2F0B"/>
    <w:rsid w:val="00EA302C"/>
    <w:rsid w:val="00EA3074"/>
    <w:rsid w:val="00EA3162"/>
    <w:rsid w:val="00EA352F"/>
    <w:rsid w:val="00EA35C0"/>
    <w:rsid w:val="00EA39BB"/>
    <w:rsid w:val="00EA3A36"/>
    <w:rsid w:val="00EA3C26"/>
    <w:rsid w:val="00EA3E81"/>
    <w:rsid w:val="00EA3EA2"/>
    <w:rsid w:val="00EA42C0"/>
    <w:rsid w:val="00EA4618"/>
    <w:rsid w:val="00EA4FC9"/>
    <w:rsid w:val="00EA51AB"/>
    <w:rsid w:val="00EA537B"/>
    <w:rsid w:val="00EA53DA"/>
    <w:rsid w:val="00EA5417"/>
    <w:rsid w:val="00EA57FB"/>
    <w:rsid w:val="00EA5854"/>
    <w:rsid w:val="00EA5A4C"/>
    <w:rsid w:val="00EA5B5B"/>
    <w:rsid w:val="00EA5DFF"/>
    <w:rsid w:val="00EA5E57"/>
    <w:rsid w:val="00EA5FE7"/>
    <w:rsid w:val="00EA6069"/>
    <w:rsid w:val="00EA606F"/>
    <w:rsid w:val="00EA60C0"/>
    <w:rsid w:val="00EA60DA"/>
    <w:rsid w:val="00EA627E"/>
    <w:rsid w:val="00EA6333"/>
    <w:rsid w:val="00EA6596"/>
    <w:rsid w:val="00EA6600"/>
    <w:rsid w:val="00EA66B1"/>
    <w:rsid w:val="00EA67BA"/>
    <w:rsid w:val="00EA6888"/>
    <w:rsid w:val="00EA6991"/>
    <w:rsid w:val="00EA6B11"/>
    <w:rsid w:val="00EA6EB1"/>
    <w:rsid w:val="00EA7023"/>
    <w:rsid w:val="00EA735F"/>
    <w:rsid w:val="00EA75FE"/>
    <w:rsid w:val="00EA788B"/>
    <w:rsid w:val="00EA7A70"/>
    <w:rsid w:val="00EA7BA4"/>
    <w:rsid w:val="00EA7BB2"/>
    <w:rsid w:val="00EA7F58"/>
    <w:rsid w:val="00EB026E"/>
    <w:rsid w:val="00EB0579"/>
    <w:rsid w:val="00EB06A2"/>
    <w:rsid w:val="00EB0952"/>
    <w:rsid w:val="00EB0CE7"/>
    <w:rsid w:val="00EB0D53"/>
    <w:rsid w:val="00EB0F8A"/>
    <w:rsid w:val="00EB10FF"/>
    <w:rsid w:val="00EB11A9"/>
    <w:rsid w:val="00EB126B"/>
    <w:rsid w:val="00EB1288"/>
    <w:rsid w:val="00EB14A9"/>
    <w:rsid w:val="00EB17DF"/>
    <w:rsid w:val="00EB1952"/>
    <w:rsid w:val="00EB198A"/>
    <w:rsid w:val="00EB1BCF"/>
    <w:rsid w:val="00EB2193"/>
    <w:rsid w:val="00EB21CD"/>
    <w:rsid w:val="00EB223E"/>
    <w:rsid w:val="00EB22A4"/>
    <w:rsid w:val="00EB23F7"/>
    <w:rsid w:val="00EB25FB"/>
    <w:rsid w:val="00EB27DB"/>
    <w:rsid w:val="00EB28F5"/>
    <w:rsid w:val="00EB2BE3"/>
    <w:rsid w:val="00EB2D5B"/>
    <w:rsid w:val="00EB2D62"/>
    <w:rsid w:val="00EB2E12"/>
    <w:rsid w:val="00EB2E9D"/>
    <w:rsid w:val="00EB3122"/>
    <w:rsid w:val="00EB3517"/>
    <w:rsid w:val="00EB35C9"/>
    <w:rsid w:val="00EB3714"/>
    <w:rsid w:val="00EB37EB"/>
    <w:rsid w:val="00EB3DC4"/>
    <w:rsid w:val="00EB3FCD"/>
    <w:rsid w:val="00EB403A"/>
    <w:rsid w:val="00EB4155"/>
    <w:rsid w:val="00EB431C"/>
    <w:rsid w:val="00EB550F"/>
    <w:rsid w:val="00EB5587"/>
    <w:rsid w:val="00EB572A"/>
    <w:rsid w:val="00EB586B"/>
    <w:rsid w:val="00EB586C"/>
    <w:rsid w:val="00EB5B59"/>
    <w:rsid w:val="00EB5CB6"/>
    <w:rsid w:val="00EB5CD8"/>
    <w:rsid w:val="00EB5F7A"/>
    <w:rsid w:val="00EB5FFB"/>
    <w:rsid w:val="00EB60BB"/>
    <w:rsid w:val="00EB626E"/>
    <w:rsid w:val="00EB66F6"/>
    <w:rsid w:val="00EB673F"/>
    <w:rsid w:val="00EB6B2C"/>
    <w:rsid w:val="00EB6B94"/>
    <w:rsid w:val="00EB6CCA"/>
    <w:rsid w:val="00EB6E86"/>
    <w:rsid w:val="00EB6EB4"/>
    <w:rsid w:val="00EB7037"/>
    <w:rsid w:val="00EB707F"/>
    <w:rsid w:val="00EB7396"/>
    <w:rsid w:val="00EB75B7"/>
    <w:rsid w:val="00EB763E"/>
    <w:rsid w:val="00EB7722"/>
    <w:rsid w:val="00EB7D7F"/>
    <w:rsid w:val="00EB7E01"/>
    <w:rsid w:val="00EB7FB8"/>
    <w:rsid w:val="00EC0261"/>
    <w:rsid w:val="00EC0383"/>
    <w:rsid w:val="00EC049C"/>
    <w:rsid w:val="00EC058E"/>
    <w:rsid w:val="00EC0929"/>
    <w:rsid w:val="00EC09D6"/>
    <w:rsid w:val="00EC0A6E"/>
    <w:rsid w:val="00EC0A7D"/>
    <w:rsid w:val="00EC0ADF"/>
    <w:rsid w:val="00EC0F04"/>
    <w:rsid w:val="00EC0FD6"/>
    <w:rsid w:val="00EC1027"/>
    <w:rsid w:val="00EC11E6"/>
    <w:rsid w:val="00EC12B7"/>
    <w:rsid w:val="00EC1430"/>
    <w:rsid w:val="00EC1942"/>
    <w:rsid w:val="00EC19CB"/>
    <w:rsid w:val="00EC1AED"/>
    <w:rsid w:val="00EC1C06"/>
    <w:rsid w:val="00EC1E41"/>
    <w:rsid w:val="00EC1F10"/>
    <w:rsid w:val="00EC1F5E"/>
    <w:rsid w:val="00EC1FCC"/>
    <w:rsid w:val="00EC22EA"/>
    <w:rsid w:val="00EC2699"/>
    <w:rsid w:val="00EC27E1"/>
    <w:rsid w:val="00EC289A"/>
    <w:rsid w:val="00EC2CF7"/>
    <w:rsid w:val="00EC30F8"/>
    <w:rsid w:val="00EC3194"/>
    <w:rsid w:val="00EC322B"/>
    <w:rsid w:val="00EC3553"/>
    <w:rsid w:val="00EC359B"/>
    <w:rsid w:val="00EC3824"/>
    <w:rsid w:val="00EC3960"/>
    <w:rsid w:val="00EC3A36"/>
    <w:rsid w:val="00EC3DCB"/>
    <w:rsid w:val="00EC3EEB"/>
    <w:rsid w:val="00EC448B"/>
    <w:rsid w:val="00EC4518"/>
    <w:rsid w:val="00EC4531"/>
    <w:rsid w:val="00EC47E5"/>
    <w:rsid w:val="00EC484F"/>
    <w:rsid w:val="00EC4956"/>
    <w:rsid w:val="00EC49B0"/>
    <w:rsid w:val="00EC4A18"/>
    <w:rsid w:val="00EC4B95"/>
    <w:rsid w:val="00EC4CB9"/>
    <w:rsid w:val="00EC4CBB"/>
    <w:rsid w:val="00EC4FA1"/>
    <w:rsid w:val="00EC4FEB"/>
    <w:rsid w:val="00EC508B"/>
    <w:rsid w:val="00EC51EF"/>
    <w:rsid w:val="00EC53E2"/>
    <w:rsid w:val="00EC5495"/>
    <w:rsid w:val="00EC55AD"/>
    <w:rsid w:val="00EC560C"/>
    <w:rsid w:val="00EC5639"/>
    <w:rsid w:val="00EC5B4B"/>
    <w:rsid w:val="00EC5BE9"/>
    <w:rsid w:val="00EC5D12"/>
    <w:rsid w:val="00EC5DCB"/>
    <w:rsid w:val="00EC5DEE"/>
    <w:rsid w:val="00EC5E38"/>
    <w:rsid w:val="00EC6000"/>
    <w:rsid w:val="00EC60C1"/>
    <w:rsid w:val="00EC6200"/>
    <w:rsid w:val="00EC6202"/>
    <w:rsid w:val="00EC6774"/>
    <w:rsid w:val="00EC6A01"/>
    <w:rsid w:val="00EC6A49"/>
    <w:rsid w:val="00EC6A6A"/>
    <w:rsid w:val="00EC6B63"/>
    <w:rsid w:val="00EC6C24"/>
    <w:rsid w:val="00EC6F2B"/>
    <w:rsid w:val="00EC6F7A"/>
    <w:rsid w:val="00EC6FB9"/>
    <w:rsid w:val="00EC705B"/>
    <w:rsid w:val="00EC715C"/>
    <w:rsid w:val="00EC71A6"/>
    <w:rsid w:val="00EC71B3"/>
    <w:rsid w:val="00EC73E3"/>
    <w:rsid w:val="00EC797E"/>
    <w:rsid w:val="00EC797F"/>
    <w:rsid w:val="00ED008F"/>
    <w:rsid w:val="00ED00BF"/>
    <w:rsid w:val="00ED0397"/>
    <w:rsid w:val="00ED0429"/>
    <w:rsid w:val="00ED04B4"/>
    <w:rsid w:val="00ED0715"/>
    <w:rsid w:val="00ED0768"/>
    <w:rsid w:val="00ED0B04"/>
    <w:rsid w:val="00ED0D1C"/>
    <w:rsid w:val="00ED0E84"/>
    <w:rsid w:val="00ED0F09"/>
    <w:rsid w:val="00ED1058"/>
    <w:rsid w:val="00ED115E"/>
    <w:rsid w:val="00ED11BF"/>
    <w:rsid w:val="00ED11D0"/>
    <w:rsid w:val="00ED1270"/>
    <w:rsid w:val="00ED1677"/>
    <w:rsid w:val="00ED176D"/>
    <w:rsid w:val="00ED1811"/>
    <w:rsid w:val="00ED18EB"/>
    <w:rsid w:val="00ED1A57"/>
    <w:rsid w:val="00ED1A88"/>
    <w:rsid w:val="00ED1EC8"/>
    <w:rsid w:val="00ED2160"/>
    <w:rsid w:val="00ED21BF"/>
    <w:rsid w:val="00ED2241"/>
    <w:rsid w:val="00ED2963"/>
    <w:rsid w:val="00ED29EF"/>
    <w:rsid w:val="00ED2AA9"/>
    <w:rsid w:val="00ED2B98"/>
    <w:rsid w:val="00ED3223"/>
    <w:rsid w:val="00ED375F"/>
    <w:rsid w:val="00ED3777"/>
    <w:rsid w:val="00ED41E2"/>
    <w:rsid w:val="00ED4216"/>
    <w:rsid w:val="00ED43D3"/>
    <w:rsid w:val="00ED4454"/>
    <w:rsid w:val="00ED4493"/>
    <w:rsid w:val="00ED4589"/>
    <w:rsid w:val="00ED46EF"/>
    <w:rsid w:val="00ED49C7"/>
    <w:rsid w:val="00ED4C2C"/>
    <w:rsid w:val="00ED4FD0"/>
    <w:rsid w:val="00ED5004"/>
    <w:rsid w:val="00ED50F9"/>
    <w:rsid w:val="00ED516E"/>
    <w:rsid w:val="00ED57E8"/>
    <w:rsid w:val="00ED57F8"/>
    <w:rsid w:val="00ED59A0"/>
    <w:rsid w:val="00ED5A67"/>
    <w:rsid w:val="00ED5B9E"/>
    <w:rsid w:val="00ED5EA9"/>
    <w:rsid w:val="00ED60DA"/>
    <w:rsid w:val="00ED613C"/>
    <w:rsid w:val="00ED627B"/>
    <w:rsid w:val="00ED627F"/>
    <w:rsid w:val="00ED63EC"/>
    <w:rsid w:val="00ED682A"/>
    <w:rsid w:val="00ED691B"/>
    <w:rsid w:val="00ED6F5F"/>
    <w:rsid w:val="00ED7099"/>
    <w:rsid w:val="00ED7250"/>
    <w:rsid w:val="00ED744E"/>
    <w:rsid w:val="00ED78FA"/>
    <w:rsid w:val="00ED7B04"/>
    <w:rsid w:val="00ED7DA6"/>
    <w:rsid w:val="00ED7DFD"/>
    <w:rsid w:val="00ED7E04"/>
    <w:rsid w:val="00ED7E81"/>
    <w:rsid w:val="00EE099F"/>
    <w:rsid w:val="00EE0BFA"/>
    <w:rsid w:val="00EE0C38"/>
    <w:rsid w:val="00EE0EB0"/>
    <w:rsid w:val="00EE0EDD"/>
    <w:rsid w:val="00EE1068"/>
    <w:rsid w:val="00EE10F6"/>
    <w:rsid w:val="00EE11D5"/>
    <w:rsid w:val="00EE12F0"/>
    <w:rsid w:val="00EE1319"/>
    <w:rsid w:val="00EE131D"/>
    <w:rsid w:val="00EE15AC"/>
    <w:rsid w:val="00EE187B"/>
    <w:rsid w:val="00EE1A53"/>
    <w:rsid w:val="00EE1AE2"/>
    <w:rsid w:val="00EE1C2E"/>
    <w:rsid w:val="00EE1CA4"/>
    <w:rsid w:val="00EE1D22"/>
    <w:rsid w:val="00EE1E3D"/>
    <w:rsid w:val="00EE1FBE"/>
    <w:rsid w:val="00EE2109"/>
    <w:rsid w:val="00EE222E"/>
    <w:rsid w:val="00EE2349"/>
    <w:rsid w:val="00EE2732"/>
    <w:rsid w:val="00EE2868"/>
    <w:rsid w:val="00EE28DE"/>
    <w:rsid w:val="00EE296D"/>
    <w:rsid w:val="00EE315E"/>
    <w:rsid w:val="00EE35BD"/>
    <w:rsid w:val="00EE37E2"/>
    <w:rsid w:val="00EE3833"/>
    <w:rsid w:val="00EE397D"/>
    <w:rsid w:val="00EE3A75"/>
    <w:rsid w:val="00EE3B9A"/>
    <w:rsid w:val="00EE3EC0"/>
    <w:rsid w:val="00EE40CD"/>
    <w:rsid w:val="00EE442F"/>
    <w:rsid w:val="00EE446B"/>
    <w:rsid w:val="00EE4665"/>
    <w:rsid w:val="00EE474C"/>
    <w:rsid w:val="00EE48B5"/>
    <w:rsid w:val="00EE4AEF"/>
    <w:rsid w:val="00EE4C19"/>
    <w:rsid w:val="00EE4D3E"/>
    <w:rsid w:val="00EE5051"/>
    <w:rsid w:val="00EE526E"/>
    <w:rsid w:val="00EE52F5"/>
    <w:rsid w:val="00EE53A2"/>
    <w:rsid w:val="00EE53BD"/>
    <w:rsid w:val="00EE551D"/>
    <w:rsid w:val="00EE5731"/>
    <w:rsid w:val="00EE5749"/>
    <w:rsid w:val="00EE5C35"/>
    <w:rsid w:val="00EE5CB1"/>
    <w:rsid w:val="00EE5D81"/>
    <w:rsid w:val="00EE5D89"/>
    <w:rsid w:val="00EE5E70"/>
    <w:rsid w:val="00EE608D"/>
    <w:rsid w:val="00EE6118"/>
    <w:rsid w:val="00EE6384"/>
    <w:rsid w:val="00EE64A3"/>
    <w:rsid w:val="00EE64FD"/>
    <w:rsid w:val="00EE65CD"/>
    <w:rsid w:val="00EE66A0"/>
    <w:rsid w:val="00EE6840"/>
    <w:rsid w:val="00EE686D"/>
    <w:rsid w:val="00EE69C7"/>
    <w:rsid w:val="00EE69E1"/>
    <w:rsid w:val="00EE6AEA"/>
    <w:rsid w:val="00EE6C07"/>
    <w:rsid w:val="00EE6FDD"/>
    <w:rsid w:val="00EE729F"/>
    <w:rsid w:val="00EE7420"/>
    <w:rsid w:val="00EE7959"/>
    <w:rsid w:val="00EE7BAC"/>
    <w:rsid w:val="00EE7CC5"/>
    <w:rsid w:val="00EE7D81"/>
    <w:rsid w:val="00EE7E05"/>
    <w:rsid w:val="00EE7E07"/>
    <w:rsid w:val="00EE7F2A"/>
    <w:rsid w:val="00EF0096"/>
    <w:rsid w:val="00EF00C8"/>
    <w:rsid w:val="00EF0450"/>
    <w:rsid w:val="00EF0475"/>
    <w:rsid w:val="00EF0541"/>
    <w:rsid w:val="00EF05DA"/>
    <w:rsid w:val="00EF0687"/>
    <w:rsid w:val="00EF075F"/>
    <w:rsid w:val="00EF0906"/>
    <w:rsid w:val="00EF0994"/>
    <w:rsid w:val="00EF0AC2"/>
    <w:rsid w:val="00EF0B4B"/>
    <w:rsid w:val="00EF0E04"/>
    <w:rsid w:val="00EF128E"/>
    <w:rsid w:val="00EF1635"/>
    <w:rsid w:val="00EF174D"/>
    <w:rsid w:val="00EF18C0"/>
    <w:rsid w:val="00EF19DC"/>
    <w:rsid w:val="00EF1F29"/>
    <w:rsid w:val="00EF1F76"/>
    <w:rsid w:val="00EF2052"/>
    <w:rsid w:val="00EF2256"/>
    <w:rsid w:val="00EF2366"/>
    <w:rsid w:val="00EF2525"/>
    <w:rsid w:val="00EF25CF"/>
    <w:rsid w:val="00EF2A11"/>
    <w:rsid w:val="00EF2A8E"/>
    <w:rsid w:val="00EF2CB9"/>
    <w:rsid w:val="00EF2E45"/>
    <w:rsid w:val="00EF3833"/>
    <w:rsid w:val="00EF392A"/>
    <w:rsid w:val="00EF3ACD"/>
    <w:rsid w:val="00EF3AF3"/>
    <w:rsid w:val="00EF3B71"/>
    <w:rsid w:val="00EF3BBC"/>
    <w:rsid w:val="00EF3CDB"/>
    <w:rsid w:val="00EF3D1F"/>
    <w:rsid w:val="00EF41EE"/>
    <w:rsid w:val="00EF423C"/>
    <w:rsid w:val="00EF43A2"/>
    <w:rsid w:val="00EF44A1"/>
    <w:rsid w:val="00EF4824"/>
    <w:rsid w:val="00EF4962"/>
    <w:rsid w:val="00EF4AC2"/>
    <w:rsid w:val="00EF4C37"/>
    <w:rsid w:val="00EF509D"/>
    <w:rsid w:val="00EF50E6"/>
    <w:rsid w:val="00EF5154"/>
    <w:rsid w:val="00EF53F5"/>
    <w:rsid w:val="00EF5591"/>
    <w:rsid w:val="00EF58AD"/>
    <w:rsid w:val="00EF599B"/>
    <w:rsid w:val="00EF59E3"/>
    <w:rsid w:val="00EF5A14"/>
    <w:rsid w:val="00EF5B5B"/>
    <w:rsid w:val="00EF5E14"/>
    <w:rsid w:val="00EF6011"/>
    <w:rsid w:val="00EF60B8"/>
    <w:rsid w:val="00EF6398"/>
    <w:rsid w:val="00EF6411"/>
    <w:rsid w:val="00EF641A"/>
    <w:rsid w:val="00EF651A"/>
    <w:rsid w:val="00EF69C2"/>
    <w:rsid w:val="00EF726B"/>
    <w:rsid w:val="00EF72AF"/>
    <w:rsid w:val="00EF7411"/>
    <w:rsid w:val="00EF74DF"/>
    <w:rsid w:val="00EF7753"/>
    <w:rsid w:val="00EF77AB"/>
    <w:rsid w:val="00EF79F6"/>
    <w:rsid w:val="00EF7CDE"/>
    <w:rsid w:val="00F001BF"/>
    <w:rsid w:val="00F001DB"/>
    <w:rsid w:val="00F00279"/>
    <w:rsid w:val="00F002A3"/>
    <w:rsid w:val="00F00490"/>
    <w:rsid w:val="00F007CC"/>
    <w:rsid w:val="00F00885"/>
    <w:rsid w:val="00F00A51"/>
    <w:rsid w:val="00F00E3F"/>
    <w:rsid w:val="00F00F0F"/>
    <w:rsid w:val="00F01162"/>
    <w:rsid w:val="00F01168"/>
    <w:rsid w:val="00F011AC"/>
    <w:rsid w:val="00F012E8"/>
    <w:rsid w:val="00F0132B"/>
    <w:rsid w:val="00F017B2"/>
    <w:rsid w:val="00F019C1"/>
    <w:rsid w:val="00F01A7C"/>
    <w:rsid w:val="00F01C0E"/>
    <w:rsid w:val="00F01D3B"/>
    <w:rsid w:val="00F01E53"/>
    <w:rsid w:val="00F02141"/>
    <w:rsid w:val="00F02245"/>
    <w:rsid w:val="00F0242B"/>
    <w:rsid w:val="00F02470"/>
    <w:rsid w:val="00F02553"/>
    <w:rsid w:val="00F0256F"/>
    <w:rsid w:val="00F029A3"/>
    <w:rsid w:val="00F029FE"/>
    <w:rsid w:val="00F02BBF"/>
    <w:rsid w:val="00F02CDB"/>
    <w:rsid w:val="00F02DD8"/>
    <w:rsid w:val="00F02E21"/>
    <w:rsid w:val="00F02E8B"/>
    <w:rsid w:val="00F02F11"/>
    <w:rsid w:val="00F02F19"/>
    <w:rsid w:val="00F02F2B"/>
    <w:rsid w:val="00F02F2D"/>
    <w:rsid w:val="00F02FA9"/>
    <w:rsid w:val="00F035F9"/>
    <w:rsid w:val="00F03803"/>
    <w:rsid w:val="00F0385F"/>
    <w:rsid w:val="00F03C7F"/>
    <w:rsid w:val="00F0418D"/>
    <w:rsid w:val="00F04215"/>
    <w:rsid w:val="00F04243"/>
    <w:rsid w:val="00F04310"/>
    <w:rsid w:val="00F04393"/>
    <w:rsid w:val="00F04454"/>
    <w:rsid w:val="00F04830"/>
    <w:rsid w:val="00F048FE"/>
    <w:rsid w:val="00F04BB5"/>
    <w:rsid w:val="00F04F13"/>
    <w:rsid w:val="00F04F3E"/>
    <w:rsid w:val="00F04F83"/>
    <w:rsid w:val="00F05208"/>
    <w:rsid w:val="00F0526B"/>
    <w:rsid w:val="00F0537A"/>
    <w:rsid w:val="00F059BC"/>
    <w:rsid w:val="00F05ADD"/>
    <w:rsid w:val="00F05B01"/>
    <w:rsid w:val="00F05E4F"/>
    <w:rsid w:val="00F06190"/>
    <w:rsid w:val="00F061AB"/>
    <w:rsid w:val="00F0642E"/>
    <w:rsid w:val="00F0658F"/>
    <w:rsid w:val="00F06B01"/>
    <w:rsid w:val="00F06EA1"/>
    <w:rsid w:val="00F07026"/>
    <w:rsid w:val="00F0709E"/>
    <w:rsid w:val="00F072BD"/>
    <w:rsid w:val="00F0764B"/>
    <w:rsid w:val="00F078DB"/>
    <w:rsid w:val="00F07AD2"/>
    <w:rsid w:val="00F07AFE"/>
    <w:rsid w:val="00F07B1B"/>
    <w:rsid w:val="00F07C36"/>
    <w:rsid w:val="00F07C7E"/>
    <w:rsid w:val="00F07ECB"/>
    <w:rsid w:val="00F07F28"/>
    <w:rsid w:val="00F07F2A"/>
    <w:rsid w:val="00F1029D"/>
    <w:rsid w:val="00F105E8"/>
    <w:rsid w:val="00F1085C"/>
    <w:rsid w:val="00F1087E"/>
    <w:rsid w:val="00F10A32"/>
    <w:rsid w:val="00F10B02"/>
    <w:rsid w:val="00F11032"/>
    <w:rsid w:val="00F1119D"/>
    <w:rsid w:val="00F113D8"/>
    <w:rsid w:val="00F118EC"/>
    <w:rsid w:val="00F11B0F"/>
    <w:rsid w:val="00F11C0C"/>
    <w:rsid w:val="00F11C69"/>
    <w:rsid w:val="00F11D3B"/>
    <w:rsid w:val="00F11D9F"/>
    <w:rsid w:val="00F11DE5"/>
    <w:rsid w:val="00F11E82"/>
    <w:rsid w:val="00F11FDA"/>
    <w:rsid w:val="00F120A1"/>
    <w:rsid w:val="00F1227B"/>
    <w:rsid w:val="00F1265C"/>
    <w:rsid w:val="00F127CB"/>
    <w:rsid w:val="00F129DA"/>
    <w:rsid w:val="00F12A73"/>
    <w:rsid w:val="00F12DE3"/>
    <w:rsid w:val="00F12E25"/>
    <w:rsid w:val="00F130F6"/>
    <w:rsid w:val="00F1313A"/>
    <w:rsid w:val="00F131D3"/>
    <w:rsid w:val="00F132E9"/>
    <w:rsid w:val="00F13303"/>
    <w:rsid w:val="00F1361A"/>
    <w:rsid w:val="00F13726"/>
    <w:rsid w:val="00F139CF"/>
    <w:rsid w:val="00F13CA2"/>
    <w:rsid w:val="00F13EC4"/>
    <w:rsid w:val="00F142F0"/>
    <w:rsid w:val="00F14567"/>
    <w:rsid w:val="00F14698"/>
    <w:rsid w:val="00F146F8"/>
    <w:rsid w:val="00F147E2"/>
    <w:rsid w:val="00F1496C"/>
    <w:rsid w:val="00F14AB5"/>
    <w:rsid w:val="00F14C4E"/>
    <w:rsid w:val="00F14DF0"/>
    <w:rsid w:val="00F14F84"/>
    <w:rsid w:val="00F155F8"/>
    <w:rsid w:val="00F1598B"/>
    <w:rsid w:val="00F15AFF"/>
    <w:rsid w:val="00F15DDF"/>
    <w:rsid w:val="00F15E31"/>
    <w:rsid w:val="00F16095"/>
    <w:rsid w:val="00F160A2"/>
    <w:rsid w:val="00F162D1"/>
    <w:rsid w:val="00F162F2"/>
    <w:rsid w:val="00F163CD"/>
    <w:rsid w:val="00F166F7"/>
    <w:rsid w:val="00F1675A"/>
    <w:rsid w:val="00F1680E"/>
    <w:rsid w:val="00F16914"/>
    <w:rsid w:val="00F16979"/>
    <w:rsid w:val="00F16AB2"/>
    <w:rsid w:val="00F16BAB"/>
    <w:rsid w:val="00F16CFA"/>
    <w:rsid w:val="00F16EC1"/>
    <w:rsid w:val="00F16FEA"/>
    <w:rsid w:val="00F1709B"/>
    <w:rsid w:val="00F17151"/>
    <w:rsid w:val="00F17275"/>
    <w:rsid w:val="00F173EC"/>
    <w:rsid w:val="00F17420"/>
    <w:rsid w:val="00F17685"/>
    <w:rsid w:val="00F177CE"/>
    <w:rsid w:val="00F1788B"/>
    <w:rsid w:val="00F178A1"/>
    <w:rsid w:val="00F17C86"/>
    <w:rsid w:val="00F17CD6"/>
    <w:rsid w:val="00F17E07"/>
    <w:rsid w:val="00F17E69"/>
    <w:rsid w:val="00F17E92"/>
    <w:rsid w:val="00F17EE6"/>
    <w:rsid w:val="00F17F08"/>
    <w:rsid w:val="00F17FB5"/>
    <w:rsid w:val="00F200AC"/>
    <w:rsid w:val="00F20145"/>
    <w:rsid w:val="00F201D7"/>
    <w:rsid w:val="00F2071A"/>
    <w:rsid w:val="00F20AB0"/>
    <w:rsid w:val="00F20C1D"/>
    <w:rsid w:val="00F20D8C"/>
    <w:rsid w:val="00F20E65"/>
    <w:rsid w:val="00F21500"/>
    <w:rsid w:val="00F21C04"/>
    <w:rsid w:val="00F21DC7"/>
    <w:rsid w:val="00F21DE3"/>
    <w:rsid w:val="00F21F4B"/>
    <w:rsid w:val="00F2210F"/>
    <w:rsid w:val="00F221DF"/>
    <w:rsid w:val="00F22431"/>
    <w:rsid w:val="00F22599"/>
    <w:rsid w:val="00F227B0"/>
    <w:rsid w:val="00F22874"/>
    <w:rsid w:val="00F229B0"/>
    <w:rsid w:val="00F22C2B"/>
    <w:rsid w:val="00F231E3"/>
    <w:rsid w:val="00F23370"/>
    <w:rsid w:val="00F234E7"/>
    <w:rsid w:val="00F235C5"/>
    <w:rsid w:val="00F235F8"/>
    <w:rsid w:val="00F2363F"/>
    <w:rsid w:val="00F2366F"/>
    <w:rsid w:val="00F242F5"/>
    <w:rsid w:val="00F244FD"/>
    <w:rsid w:val="00F24687"/>
    <w:rsid w:val="00F24823"/>
    <w:rsid w:val="00F24996"/>
    <w:rsid w:val="00F24D6B"/>
    <w:rsid w:val="00F24E87"/>
    <w:rsid w:val="00F24EDF"/>
    <w:rsid w:val="00F250FD"/>
    <w:rsid w:val="00F2524E"/>
    <w:rsid w:val="00F25292"/>
    <w:rsid w:val="00F25599"/>
    <w:rsid w:val="00F25689"/>
    <w:rsid w:val="00F25837"/>
    <w:rsid w:val="00F25952"/>
    <w:rsid w:val="00F259D8"/>
    <w:rsid w:val="00F2625E"/>
    <w:rsid w:val="00F2631D"/>
    <w:rsid w:val="00F26D3E"/>
    <w:rsid w:val="00F26D95"/>
    <w:rsid w:val="00F26E79"/>
    <w:rsid w:val="00F26ED9"/>
    <w:rsid w:val="00F26FC6"/>
    <w:rsid w:val="00F2738E"/>
    <w:rsid w:val="00F273C2"/>
    <w:rsid w:val="00F274B0"/>
    <w:rsid w:val="00F2759D"/>
    <w:rsid w:val="00F27686"/>
    <w:rsid w:val="00F277C0"/>
    <w:rsid w:val="00F27CCF"/>
    <w:rsid w:val="00F30080"/>
    <w:rsid w:val="00F301BC"/>
    <w:rsid w:val="00F30217"/>
    <w:rsid w:val="00F302E0"/>
    <w:rsid w:val="00F3041B"/>
    <w:rsid w:val="00F3049F"/>
    <w:rsid w:val="00F3066D"/>
    <w:rsid w:val="00F307FC"/>
    <w:rsid w:val="00F30B04"/>
    <w:rsid w:val="00F30E50"/>
    <w:rsid w:val="00F30EA3"/>
    <w:rsid w:val="00F31037"/>
    <w:rsid w:val="00F310CF"/>
    <w:rsid w:val="00F3117C"/>
    <w:rsid w:val="00F31187"/>
    <w:rsid w:val="00F311AD"/>
    <w:rsid w:val="00F31244"/>
    <w:rsid w:val="00F312A7"/>
    <w:rsid w:val="00F31320"/>
    <w:rsid w:val="00F313C4"/>
    <w:rsid w:val="00F314F1"/>
    <w:rsid w:val="00F31613"/>
    <w:rsid w:val="00F31702"/>
    <w:rsid w:val="00F318FF"/>
    <w:rsid w:val="00F31966"/>
    <w:rsid w:val="00F31B0A"/>
    <w:rsid w:val="00F3213F"/>
    <w:rsid w:val="00F321EF"/>
    <w:rsid w:val="00F321FE"/>
    <w:rsid w:val="00F32220"/>
    <w:rsid w:val="00F32379"/>
    <w:rsid w:val="00F323A6"/>
    <w:rsid w:val="00F323BD"/>
    <w:rsid w:val="00F3252A"/>
    <w:rsid w:val="00F3270E"/>
    <w:rsid w:val="00F3273F"/>
    <w:rsid w:val="00F329F6"/>
    <w:rsid w:val="00F32DF6"/>
    <w:rsid w:val="00F32E58"/>
    <w:rsid w:val="00F33273"/>
    <w:rsid w:val="00F332D1"/>
    <w:rsid w:val="00F33366"/>
    <w:rsid w:val="00F336F5"/>
    <w:rsid w:val="00F3377B"/>
    <w:rsid w:val="00F33797"/>
    <w:rsid w:val="00F338B1"/>
    <w:rsid w:val="00F3395E"/>
    <w:rsid w:val="00F3396B"/>
    <w:rsid w:val="00F33F96"/>
    <w:rsid w:val="00F3422C"/>
    <w:rsid w:val="00F343FF"/>
    <w:rsid w:val="00F347EE"/>
    <w:rsid w:val="00F34B0A"/>
    <w:rsid w:val="00F34CF9"/>
    <w:rsid w:val="00F34D1D"/>
    <w:rsid w:val="00F350B5"/>
    <w:rsid w:val="00F35108"/>
    <w:rsid w:val="00F351A7"/>
    <w:rsid w:val="00F35712"/>
    <w:rsid w:val="00F35961"/>
    <w:rsid w:val="00F35AFA"/>
    <w:rsid w:val="00F35B54"/>
    <w:rsid w:val="00F35BCC"/>
    <w:rsid w:val="00F362D0"/>
    <w:rsid w:val="00F368CA"/>
    <w:rsid w:val="00F36A45"/>
    <w:rsid w:val="00F36B23"/>
    <w:rsid w:val="00F36B85"/>
    <w:rsid w:val="00F36D50"/>
    <w:rsid w:val="00F36D59"/>
    <w:rsid w:val="00F36DEF"/>
    <w:rsid w:val="00F36E80"/>
    <w:rsid w:val="00F36EAE"/>
    <w:rsid w:val="00F36F7B"/>
    <w:rsid w:val="00F3713B"/>
    <w:rsid w:val="00F373AC"/>
    <w:rsid w:val="00F373DE"/>
    <w:rsid w:val="00F378B6"/>
    <w:rsid w:val="00F37B16"/>
    <w:rsid w:val="00F37F46"/>
    <w:rsid w:val="00F37F8A"/>
    <w:rsid w:val="00F40253"/>
    <w:rsid w:val="00F4039C"/>
    <w:rsid w:val="00F403D3"/>
    <w:rsid w:val="00F40518"/>
    <w:rsid w:val="00F4065A"/>
    <w:rsid w:val="00F40672"/>
    <w:rsid w:val="00F40816"/>
    <w:rsid w:val="00F40CD7"/>
    <w:rsid w:val="00F40DC6"/>
    <w:rsid w:val="00F40DFA"/>
    <w:rsid w:val="00F412BF"/>
    <w:rsid w:val="00F41310"/>
    <w:rsid w:val="00F416A6"/>
    <w:rsid w:val="00F417F7"/>
    <w:rsid w:val="00F41A96"/>
    <w:rsid w:val="00F41C2E"/>
    <w:rsid w:val="00F41D21"/>
    <w:rsid w:val="00F41D6E"/>
    <w:rsid w:val="00F41F15"/>
    <w:rsid w:val="00F4228B"/>
    <w:rsid w:val="00F4230B"/>
    <w:rsid w:val="00F425CD"/>
    <w:rsid w:val="00F42E15"/>
    <w:rsid w:val="00F42E17"/>
    <w:rsid w:val="00F43002"/>
    <w:rsid w:val="00F43027"/>
    <w:rsid w:val="00F430A6"/>
    <w:rsid w:val="00F4319A"/>
    <w:rsid w:val="00F43AA9"/>
    <w:rsid w:val="00F43C64"/>
    <w:rsid w:val="00F43CAA"/>
    <w:rsid w:val="00F43CC3"/>
    <w:rsid w:val="00F43FB7"/>
    <w:rsid w:val="00F43FC4"/>
    <w:rsid w:val="00F43FE7"/>
    <w:rsid w:val="00F44622"/>
    <w:rsid w:val="00F446F5"/>
    <w:rsid w:val="00F44A8D"/>
    <w:rsid w:val="00F44CF3"/>
    <w:rsid w:val="00F44DAF"/>
    <w:rsid w:val="00F44EFB"/>
    <w:rsid w:val="00F44F78"/>
    <w:rsid w:val="00F45108"/>
    <w:rsid w:val="00F4526A"/>
    <w:rsid w:val="00F45423"/>
    <w:rsid w:val="00F456A4"/>
    <w:rsid w:val="00F45750"/>
    <w:rsid w:val="00F457EA"/>
    <w:rsid w:val="00F45B4D"/>
    <w:rsid w:val="00F45B72"/>
    <w:rsid w:val="00F45BAE"/>
    <w:rsid w:val="00F45E9F"/>
    <w:rsid w:val="00F45F8B"/>
    <w:rsid w:val="00F46087"/>
    <w:rsid w:val="00F46376"/>
    <w:rsid w:val="00F46514"/>
    <w:rsid w:val="00F467C1"/>
    <w:rsid w:val="00F46DD9"/>
    <w:rsid w:val="00F472E3"/>
    <w:rsid w:val="00F4730D"/>
    <w:rsid w:val="00F47362"/>
    <w:rsid w:val="00F47387"/>
    <w:rsid w:val="00F474C2"/>
    <w:rsid w:val="00F47869"/>
    <w:rsid w:val="00F47882"/>
    <w:rsid w:val="00F47892"/>
    <w:rsid w:val="00F478AE"/>
    <w:rsid w:val="00F478D3"/>
    <w:rsid w:val="00F47A1F"/>
    <w:rsid w:val="00F47E81"/>
    <w:rsid w:val="00F47ECD"/>
    <w:rsid w:val="00F47F4F"/>
    <w:rsid w:val="00F47F92"/>
    <w:rsid w:val="00F500A4"/>
    <w:rsid w:val="00F504DD"/>
    <w:rsid w:val="00F5070D"/>
    <w:rsid w:val="00F50754"/>
    <w:rsid w:val="00F507DE"/>
    <w:rsid w:val="00F508FB"/>
    <w:rsid w:val="00F50DBE"/>
    <w:rsid w:val="00F50E0E"/>
    <w:rsid w:val="00F51133"/>
    <w:rsid w:val="00F513B4"/>
    <w:rsid w:val="00F513C5"/>
    <w:rsid w:val="00F517B8"/>
    <w:rsid w:val="00F519F6"/>
    <w:rsid w:val="00F51B0F"/>
    <w:rsid w:val="00F51B39"/>
    <w:rsid w:val="00F51BAA"/>
    <w:rsid w:val="00F51C7E"/>
    <w:rsid w:val="00F51ECF"/>
    <w:rsid w:val="00F51FC6"/>
    <w:rsid w:val="00F52177"/>
    <w:rsid w:val="00F521C6"/>
    <w:rsid w:val="00F522FA"/>
    <w:rsid w:val="00F52456"/>
    <w:rsid w:val="00F525CA"/>
    <w:rsid w:val="00F526DE"/>
    <w:rsid w:val="00F52A1C"/>
    <w:rsid w:val="00F52AED"/>
    <w:rsid w:val="00F52B4C"/>
    <w:rsid w:val="00F52BA5"/>
    <w:rsid w:val="00F53317"/>
    <w:rsid w:val="00F53574"/>
    <w:rsid w:val="00F53779"/>
    <w:rsid w:val="00F538B1"/>
    <w:rsid w:val="00F53E5C"/>
    <w:rsid w:val="00F53F1D"/>
    <w:rsid w:val="00F5404F"/>
    <w:rsid w:val="00F540F1"/>
    <w:rsid w:val="00F541B2"/>
    <w:rsid w:val="00F542EC"/>
    <w:rsid w:val="00F54644"/>
    <w:rsid w:val="00F5472A"/>
    <w:rsid w:val="00F54741"/>
    <w:rsid w:val="00F54855"/>
    <w:rsid w:val="00F548A9"/>
    <w:rsid w:val="00F54A45"/>
    <w:rsid w:val="00F54C64"/>
    <w:rsid w:val="00F54DFB"/>
    <w:rsid w:val="00F54F73"/>
    <w:rsid w:val="00F5500D"/>
    <w:rsid w:val="00F55081"/>
    <w:rsid w:val="00F5532F"/>
    <w:rsid w:val="00F55740"/>
    <w:rsid w:val="00F5591C"/>
    <w:rsid w:val="00F559A3"/>
    <w:rsid w:val="00F559F0"/>
    <w:rsid w:val="00F55C3C"/>
    <w:rsid w:val="00F55C63"/>
    <w:rsid w:val="00F55EC4"/>
    <w:rsid w:val="00F561B4"/>
    <w:rsid w:val="00F5631F"/>
    <w:rsid w:val="00F5633F"/>
    <w:rsid w:val="00F56366"/>
    <w:rsid w:val="00F56C01"/>
    <w:rsid w:val="00F56E61"/>
    <w:rsid w:val="00F56EA7"/>
    <w:rsid w:val="00F57042"/>
    <w:rsid w:val="00F571A4"/>
    <w:rsid w:val="00F5732A"/>
    <w:rsid w:val="00F5755E"/>
    <w:rsid w:val="00F579FB"/>
    <w:rsid w:val="00F57AC3"/>
    <w:rsid w:val="00F57E49"/>
    <w:rsid w:val="00F57F40"/>
    <w:rsid w:val="00F601C5"/>
    <w:rsid w:val="00F60420"/>
    <w:rsid w:val="00F60616"/>
    <w:rsid w:val="00F6086C"/>
    <w:rsid w:val="00F60933"/>
    <w:rsid w:val="00F60B67"/>
    <w:rsid w:val="00F60F64"/>
    <w:rsid w:val="00F61190"/>
    <w:rsid w:val="00F611DD"/>
    <w:rsid w:val="00F6137F"/>
    <w:rsid w:val="00F61820"/>
    <w:rsid w:val="00F61836"/>
    <w:rsid w:val="00F61A3E"/>
    <w:rsid w:val="00F61A90"/>
    <w:rsid w:val="00F61B97"/>
    <w:rsid w:val="00F61C82"/>
    <w:rsid w:val="00F61CCE"/>
    <w:rsid w:val="00F61D8E"/>
    <w:rsid w:val="00F61E14"/>
    <w:rsid w:val="00F61EA2"/>
    <w:rsid w:val="00F61EA6"/>
    <w:rsid w:val="00F61F6C"/>
    <w:rsid w:val="00F62164"/>
    <w:rsid w:val="00F62275"/>
    <w:rsid w:val="00F626B7"/>
    <w:rsid w:val="00F626BB"/>
    <w:rsid w:val="00F6275A"/>
    <w:rsid w:val="00F62805"/>
    <w:rsid w:val="00F6295A"/>
    <w:rsid w:val="00F62A37"/>
    <w:rsid w:val="00F62BBD"/>
    <w:rsid w:val="00F62BC1"/>
    <w:rsid w:val="00F62BF4"/>
    <w:rsid w:val="00F62C74"/>
    <w:rsid w:val="00F63376"/>
    <w:rsid w:val="00F63635"/>
    <w:rsid w:val="00F6388A"/>
    <w:rsid w:val="00F63B70"/>
    <w:rsid w:val="00F63BDE"/>
    <w:rsid w:val="00F642CC"/>
    <w:rsid w:val="00F642D6"/>
    <w:rsid w:val="00F643C0"/>
    <w:rsid w:val="00F6493D"/>
    <w:rsid w:val="00F649C9"/>
    <w:rsid w:val="00F64A49"/>
    <w:rsid w:val="00F64AD5"/>
    <w:rsid w:val="00F64AEB"/>
    <w:rsid w:val="00F64BA0"/>
    <w:rsid w:val="00F64BD2"/>
    <w:rsid w:val="00F64BF0"/>
    <w:rsid w:val="00F64C07"/>
    <w:rsid w:val="00F64DC1"/>
    <w:rsid w:val="00F65361"/>
    <w:rsid w:val="00F65557"/>
    <w:rsid w:val="00F6577F"/>
    <w:rsid w:val="00F65900"/>
    <w:rsid w:val="00F65911"/>
    <w:rsid w:val="00F65D20"/>
    <w:rsid w:val="00F65DA8"/>
    <w:rsid w:val="00F65DEC"/>
    <w:rsid w:val="00F65E2F"/>
    <w:rsid w:val="00F65ECE"/>
    <w:rsid w:val="00F66061"/>
    <w:rsid w:val="00F6625A"/>
    <w:rsid w:val="00F66661"/>
    <w:rsid w:val="00F666E4"/>
    <w:rsid w:val="00F666E9"/>
    <w:rsid w:val="00F66773"/>
    <w:rsid w:val="00F66E88"/>
    <w:rsid w:val="00F66FEA"/>
    <w:rsid w:val="00F67022"/>
    <w:rsid w:val="00F6716C"/>
    <w:rsid w:val="00F671CE"/>
    <w:rsid w:val="00F67882"/>
    <w:rsid w:val="00F67D08"/>
    <w:rsid w:val="00F702C6"/>
    <w:rsid w:val="00F7046D"/>
    <w:rsid w:val="00F70502"/>
    <w:rsid w:val="00F706AA"/>
    <w:rsid w:val="00F70A8E"/>
    <w:rsid w:val="00F70CC4"/>
    <w:rsid w:val="00F70DDD"/>
    <w:rsid w:val="00F70EFF"/>
    <w:rsid w:val="00F71369"/>
    <w:rsid w:val="00F715F3"/>
    <w:rsid w:val="00F71672"/>
    <w:rsid w:val="00F7172F"/>
    <w:rsid w:val="00F71741"/>
    <w:rsid w:val="00F71913"/>
    <w:rsid w:val="00F71954"/>
    <w:rsid w:val="00F71D1D"/>
    <w:rsid w:val="00F720B9"/>
    <w:rsid w:val="00F7219D"/>
    <w:rsid w:val="00F725D9"/>
    <w:rsid w:val="00F7267A"/>
    <w:rsid w:val="00F726FB"/>
    <w:rsid w:val="00F7280B"/>
    <w:rsid w:val="00F72A6B"/>
    <w:rsid w:val="00F72C4E"/>
    <w:rsid w:val="00F72D6A"/>
    <w:rsid w:val="00F72E3F"/>
    <w:rsid w:val="00F72FD6"/>
    <w:rsid w:val="00F73006"/>
    <w:rsid w:val="00F730FF"/>
    <w:rsid w:val="00F73207"/>
    <w:rsid w:val="00F734A7"/>
    <w:rsid w:val="00F7358B"/>
    <w:rsid w:val="00F73608"/>
    <w:rsid w:val="00F73B8C"/>
    <w:rsid w:val="00F73E3F"/>
    <w:rsid w:val="00F73EB6"/>
    <w:rsid w:val="00F74137"/>
    <w:rsid w:val="00F741CD"/>
    <w:rsid w:val="00F742B0"/>
    <w:rsid w:val="00F7436F"/>
    <w:rsid w:val="00F744D4"/>
    <w:rsid w:val="00F74991"/>
    <w:rsid w:val="00F74C7F"/>
    <w:rsid w:val="00F7518C"/>
    <w:rsid w:val="00F75393"/>
    <w:rsid w:val="00F754D6"/>
    <w:rsid w:val="00F7555A"/>
    <w:rsid w:val="00F7564D"/>
    <w:rsid w:val="00F757C6"/>
    <w:rsid w:val="00F75E2B"/>
    <w:rsid w:val="00F760EC"/>
    <w:rsid w:val="00F76129"/>
    <w:rsid w:val="00F7614A"/>
    <w:rsid w:val="00F76230"/>
    <w:rsid w:val="00F7627B"/>
    <w:rsid w:val="00F763FB"/>
    <w:rsid w:val="00F764DF"/>
    <w:rsid w:val="00F7667D"/>
    <w:rsid w:val="00F766CB"/>
    <w:rsid w:val="00F76742"/>
    <w:rsid w:val="00F768E5"/>
    <w:rsid w:val="00F76950"/>
    <w:rsid w:val="00F76A9F"/>
    <w:rsid w:val="00F76D5E"/>
    <w:rsid w:val="00F76F78"/>
    <w:rsid w:val="00F76FF6"/>
    <w:rsid w:val="00F7716C"/>
    <w:rsid w:val="00F77293"/>
    <w:rsid w:val="00F772F0"/>
    <w:rsid w:val="00F773A4"/>
    <w:rsid w:val="00F773CD"/>
    <w:rsid w:val="00F776A5"/>
    <w:rsid w:val="00F776CD"/>
    <w:rsid w:val="00F77733"/>
    <w:rsid w:val="00F7773C"/>
    <w:rsid w:val="00F77CDB"/>
    <w:rsid w:val="00F77E8C"/>
    <w:rsid w:val="00F800B6"/>
    <w:rsid w:val="00F804DD"/>
    <w:rsid w:val="00F81068"/>
    <w:rsid w:val="00F81307"/>
    <w:rsid w:val="00F8188C"/>
    <w:rsid w:val="00F81C76"/>
    <w:rsid w:val="00F81CB7"/>
    <w:rsid w:val="00F81DA4"/>
    <w:rsid w:val="00F81DD7"/>
    <w:rsid w:val="00F81E31"/>
    <w:rsid w:val="00F81EB6"/>
    <w:rsid w:val="00F81ED0"/>
    <w:rsid w:val="00F82547"/>
    <w:rsid w:val="00F8259C"/>
    <w:rsid w:val="00F82898"/>
    <w:rsid w:val="00F828BD"/>
    <w:rsid w:val="00F828EA"/>
    <w:rsid w:val="00F82971"/>
    <w:rsid w:val="00F83174"/>
    <w:rsid w:val="00F831CB"/>
    <w:rsid w:val="00F83B05"/>
    <w:rsid w:val="00F83B25"/>
    <w:rsid w:val="00F83DEE"/>
    <w:rsid w:val="00F83E2C"/>
    <w:rsid w:val="00F84480"/>
    <w:rsid w:val="00F845E7"/>
    <w:rsid w:val="00F84AA5"/>
    <w:rsid w:val="00F84CFF"/>
    <w:rsid w:val="00F84E78"/>
    <w:rsid w:val="00F84F09"/>
    <w:rsid w:val="00F84F4B"/>
    <w:rsid w:val="00F84F63"/>
    <w:rsid w:val="00F8501B"/>
    <w:rsid w:val="00F8517B"/>
    <w:rsid w:val="00F8539F"/>
    <w:rsid w:val="00F85496"/>
    <w:rsid w:val="00F8562D"/>
    <w:rsid w:val="00F856B1"/>
    <w:rsid w:val="00F85A13"/>
    <w:rsid w:val="00F85AFF"/>
    <w:rsid w:val="00F85B8C"/>
    <w:rsid w:val="00F85C53"/>
    <w:rsid w:val="00F85D83"/>
    <w:rsid w:val="00F86238"/>
    <w:rsid w:val="00F8658C"/>
    <w:rsid w:val="00F865D5"/>
    <w:rsid w:val="00F86A3A"/>
    <w:rsid w:val="00F86BFE"/>
    <w:rsid w:val="00F86C4C"/>
    <w:rsid w:val="00F86D40"/>
    <w:rsid w:val="00F86F79"/>
    <w:rsid w:val="00F873E4"/>
    <w:rsid w:val="00F873FC"/>
    <w:rsid w:val="00F874E9"/>
    <w:rsid w:val="00F876C9"/>
    <w:rsid w:val="00F87A9D"/>
    <w:rsid w:val="00F87DB6"/>
    <w:rsid w:val="00F87FE3"/>
    <w:rsid w:val="00F9010D"/>
    <w:rsid w:val="00F90382"/>
    <w:rsid w:val="00F904C7"/>
    <w:rsid w:val="00F90533"/>
    <w:rsid w:val="00F906B2"/>
    <w:rsid w:val="00F90990"/>
    <w:rsid w:val="00F90A1B"/>
    <w:rsid w:val="00F90C7E"/>
    <w:rsid w:val="00F90C81"/>
    <w:rsid w:val="00F90D0D"/>
    <w:rsid w:val="00F90E47"/>
    <w:rsid w:val="00F90F3D"/>
    <w:rsid w:val="00F90F6F"/>
    <w:rsid w:val="00F9100B"/>
    <w:rsid w:val="00F9100E"/>
    <w:rsid w:val="00F910DD"/>
    <w:rsid w:val="00F91114"/>
    <w:rsid w:val="00F916E7"/>
    <w:rsid w:val="00F91B4B"/>
    <w:rsid w:val="00F91B7E"/>
    <w:rsid w:val="00F920E1"/>
    <w:rsid w:val="00F923E2"/>
    <w:rsid w:val="00F9260F"/>
    <w:rsid w:val="00F92896"/>
    <w:rsid w:val="00F9293A"/>
    <w:rsid w:val="00F92A08"/>
    <w:rsid w:val="00F92D90"/>
    <w:rsid w:val="00F930BD"/>
    <w:rsid w:val="00F93541"/>
    <w:rsid w:val="00F93771"/>
    <w:rsid w:val="00F937D9"/>
    <w:rsid w:val="00F93AAD"/>
    <w:rsid w:val="00F93E41"/>
    <w:rsid w:val="00F93EFE"/>
    <w:rsid w:val="00F940F5"/>
    <w:rsid w:val="00F94145"/>
    <w:rsid w:val="00F94691"/>
    <w:rsid w:val="00F9497C"/>
    <w:rsid w:val="00F9499A"/>
    <w:rsid w:val="00F949FB"/>
    <w:rsid w:val="00F94A4A"/>
    <w:rsid w:val="00F94A95"/>
    <w:rsid w:val="00F94FA2"/>
    <w:rsid w:val="00F9509C"/>
    <w:rsid w:val="00F9513B"/>
    <w:rsid w:val="00F95209"/>
    <w:rsid w:val="00F95236"/>
    <w:rsid w:val="00F955CB"/>
    <w:rsid w:val="00F959F6"/>
    <w:rsid w:val="00F95B5B"/>
    <w:rsid w:val="00F95B89"/>
    <w:rsid w:val="00F95EC6"/>
    <w:rsid w:val="00F961B1"/>
    <w:rsid w:val="00F961FF"/>
    <w:rsid w:val="00F96283"/>
    <w:rsid w:val="00F96347"/>
    <w:rsid w:val="00F9639F"/>
    <w:rsid w:val="00F9644F"/>
    <w:rsid w:val="00F96485"/>
    <w:rsid w:val="00F9679F"/>
    <w:rsid w:val="00F96989"/>
    <w:rsid w:val="00F969D6"/>
    <w:rsid w:val="00F969FE"/>
    <w:rsid w:val="00F96BFA"/>
    <w:rsid w:val="00F96D90"/>
    <w:rsid w:val="00F972C7"/>
    <w:rsid w:val="00F97465"/>
    <w:rsid w:val="00F9763E"/>
    <w:rsid w:val="00F97691"/>
    <w:rsid w:val="00F976F2"/>
    <w:rsid w:val="00F978CA"/>
    <w:rsid w:val="00F97EF2"/>
    <w:rsid w:val="00F97FA3"/>
    <w:rsid w:val="00FA0007"/>
    <w:rsid w:val="00FA0132"/>
    <w:rsid w:val="00FA069D"/>
    <w:rsid w:val="00FA06B3"/>
    <w:rsid w:val="00FA08D9"/>
    <w:rsid w:val="00FA0A98"/>
    <w:rsid w:val="00FA0DE0"/>
    <w:rsid w:val="00FA0E4D"/>
    <w:rsid w:val="00FA0F83"/>
    <w:rsid w:val="00FA1031"/>
    <w:rsid w:val="00FA1129"/>
    <w:rsid w:val="00FA15F0"/>
    <w:rsid w:val="00FA160C"/>
    <w:rsid w:val="00FA1711"/>
    <w:rsid w:val="00FA193C"/>
    <w:rsid w:val="00FA19BB"/>
    <w:rsid w:val="00FA1C3B"/>
    <w:rsid w:val="00FA1CAD"/>
    <w:rsid w:val="00FA1D07"/>
    <w:rsid w:val="00FA1F6B"/>
    <w:rsid w:val="00FA2541"/>
    <w:rsid w:val="00FA2B02"/>
    <w:rsid w:val="00FA2B99"/>
    <w:rsid w:val="00FA2CD4"/>
    <w:rsid w:val="00FA3055"/>
    <w:rsid w:val="00FA32F4"/>
    <w:rsid w:val="00FA343D"/>
    <w:rsid w:val="00FA37F1"/>
    <w:rsid w:val="00FA3A25"/>
    <w:rsid w:val="00FA3AC6"/>
    <w:rsid w:val="00FA3B5A"/>
    <w:rsid w:val="00FA3C0C"/>
    <w:rsid w:val="00FA4329"/>
    <w:rsid w:val="00FA46E6"/>
    <w:rsid w:val="00FA4AA0"/>
    <w:rsid w:val="00FA4E98"/>
    <w:rsid w:val="00FA5164"/>
    <w:rsid w:val="00FA5517"/>
    <w:rsid w:val="00FA56EE"/>
    <w:rsid w:val="00FA56FE"/>
    <w:rsid w:val="00FA570F"/>
    <w:rsid w:val="00FA57F4"/>
    <w:rsid w:val="00FA58CE"/>
    <w:rsid w:val="00FA5CAE"/>
    <w:rsid w:val="00FA5E98"/>
    <w:rsid w:val="00FA626B"/>
    <w:rsid w:val="00FA6902"/>
    <w:rsid w:val="00FA6B25"/>
    <w:rsid w:val="00FA6C08"/>
    <w:rsid w:val="00FA6ECD"/>
    <w:rsid w:val="00FA70B1"/>
    <w:rsid w:val="00FA70F0"/>
    <w:rsid w:val="00FA719E"/>
    <w:rsid w:val="00FA71DE"/>
    <w:rsid w:val="00FA72A1"/>
    <w:rsid w:val="00FA753D"/>
    <w:rsid w:val="00FA7A7D"/>
    <w:rsid w:val="00FA7AD8"/>
    <w:rsid w:val="00FA7F63"/>
    <w:rsid w:val="00FB051B"/>
    <w:rsid w:val="00FB06AF"/>
    <w:rsid w:val="00FB0979"/>
    <w:rsid w:val="00FB0B0E"/>
    <w:rsid w:val="00FB0D2A"/>
    <w:rsid w:val="00FB0E88"/>
    <w:rsid w:val="00FB0FB2"/>
    <w:rsid w:val="00FB11AC"/>
    <w:rsid w:val="00FB1210"/>
    <w:rsid w:val="00FB1212"/>
    <w:rsid w:val="00FB1354"/>
    <w:rsid w:val="00FB1448"/>
    <w:rsid w:val="00FB14CC"/>
    <w:rsid w:val="00FB19F2"/>
    <w:rsid w:val="00FB1A34"/>
    <w:rsid w:val="00FB1A98"/>
    <w:rsid w:val="00FB1AEB"/>
    <w:rsid w:val="00FB1FC1"/>
    <w:rsid w:val="00FB20B4"/>
    <w:rsid w:val="00FB20D2"/>
    <w:rsid w:val="00FB210B"/>
    <w:rsid w:val="00FB217D"/>
    <w:rsid w:val="00FB247F"/>
    <w:rsid w:val="00FB256B"/>
    <w:rsid w:val="00FB27D2"/>
    <w:rsid w:val="00FB28D6"/>
    <w:rsid w:val="00FB2929"/>
    <w:rsid w:val="00FB2986"/>
    <w:rsid w:val="00FB2BD6"/>
    <w:rsid w:val="00FB2BF1"/>
    <w:rsid w:val="00FB2DE0"/>
    <w:rsid w:val="00FB378D"/>
    <w:rsid w:val="00FB3AC3"/>
    <w:rsid w:val="00FB3EDE"/>
    <w:rsid w:val="00FB4184"/>
    <w:rsid w:val="00FB44D0"/>
    <w:rsid w:val="00FB461C"/>
    <w:rsid w:val="00FB469A"/>
    <w:rsid w:val="00FB480A"/>
    <w:rsid w:val="00FB4C09"/>
    <w:rsid w:val="00FB4D0B"/>
    <w:rsid w:val="00FB52C4"/>
    <w:rsid w:val="00FB536A"/>
    <w:rsid w:val="00FB584D"/>
    <w:rsid w:val="00FB5975"/>
    <w:rsid w:val="00FB5DF2"/>
    <w:rsid w:val="00FB5ECB"/>
    <w:rsid w:val="00FB6030"/>
    <w:rsid w:val="00FB610A"/>
    <w:rsid w:val="00FB6199"/>
    <w:rsid w:val="00FB6316"/>
    <w:rsid w:val="00FB6515"/>
    <w:rsid w:val="00FB6D02"/>
    <w:rsid w:val="00FB6D87"/>
    <w:rsid w:val="00FB6DAA"/>
    <w:rsid w:val="00FB6F7B"/>
    <w:rsid w:val="00FB76DF"/>
    <w:rsid w:val="00FB7735"/>
    <w:rsid w:val="00FB775C"/>
    <w:rsid w:val="00FB798B"/>
    <w:rsid w:val="00FB7AFA"/>
    <w:rsid w:val="00FC0255"/>
    <w:rsid w:val="00FC0396"/>
    <w:rsid w:val="00FC0488"/>
    <w:rsid w:val="00FC073E"/>
    <w:rsid w:val="00FC09FB"/>
    <w:rsid w:val="00FC0B33"/>
    <w:rsid w:val="00FC0B9C"/>
    <w:rsid w:val="00FC0DBF"/>
    <w:rsid w:val="00FC0F08"/>
    <w:rsid w:val="00FC1119"/>
    <w:rsid w:val="00FC115C"/>
    <w:rsid w:val="00FC1473"/>
    <w:rsid w:val="00FC14F1"/>
    <w:rsid w:val="00FC167B"/>
    <w:rsid w:val="00FC1837"/>
    <w:rsid w:val="00FC1864"/>
    <w:rsid w:val="00FC1C4B"/>
    <w:rsid w:val="00FC1CB6"/>
    <w:rsid w:val="00FC20DA"/>
    <w:rsid w:val="00FC2525"/>
    <w:rsid w:val="00FC25C7"/>
    <w:rsid w:val="00FC2779"/>
    <w:rsid w:val="00FC2971"/>
    <w:rsid w:val="00FC29B9"/>
    <w:rsid w:val="00FC2BE2"/>
    <w:rsid w:val="00FC2C37"/>
    <w:rsid w:val="00FC2CD6"/>
    <w:rsid w:val="00FC2DCE"/>
    <w:rsid w:val="00FC2EA5"/>
    <w:rsid w:val="00FC2FC8"/>
    <w:rsid w:val="00FC339B"/>
    <w:rsid w:val="00FC34E4"/>
    <w:rsid w:val="00FC358B"/>
    <w:rsid w:val="00FC3679"/>
    <w:rsid w:val="00FC3782"/>
    <w:rsid w:val="00FC3A75"/>
    <w:rsid w:val="00FC3A7E"/>
    <w:rsid w:val="00FC3B1A"/>
    <w:rsid w:val="00FC3C34"/>
    <w:rsid w:val="00FC3D0E"/>
    <w:rsid w:val="00FC3D4B"/>
    <w:rsid w:val="00FC3D4F"/>
    <w:rsid w:val="00FC3ED8"/>
    <w:rsid w:val="00FC4011"/>
    <w:rsid w:val="00FC41B3"/>
    <w:rsid w:val="00FC42F1"/>
    <w:rsid w:val="00FC4428"/>
    <w:rsid w:val="00FC453B"/>
    <w:rsid w:val="00FC455C"/>
    <w:rsid w:val="00FC45AF"/>
    <w:rsid w:val="00FC47F7"/>
    <w:rsid w:val="00FC4871"/>
    <w:rsid w:val="00FC48D6"/>
    <w:rsid w:val="00FC49B5"/>
    <w:rsid w:val="00FC4BAA"/>
    <w:rsid w:val="00FC4D11"/>
    <w:rsid w:val="00FC4D21"/>
    <w:rsid w:val="00FC4D46"/>
    <w:rsid w:val="00FC4DBA"/>
    <w:rsid w:val="00FC4DC2"/>
    <w:rsid w:val="00FC4E59"/>
    <w:rsid w:val="00FC5025"/>
    <w:rsid w:val="00FC5409"/>
    <w:rsid w:val="00FC56C6"/>
    <w:rsid w:val="00FC57BE"/>
    <w:rsid w:val="00FC5B22"/>
    <w:rsid w:val="00FC5D64"/>
    <w:rsid w:val="00FC5E70"/>
    <w:rsid w:val="00FC5E80"/>
    <w:rsid w:val="00FC5ED6"/>
    <w:rsid w:val="00FC5EF0"/>
    <w:rsid w:val="00FC5F6F"/>
    <w:rsid w:val="00FC5FA5"/>
    <w:rsid w:val="00FC6000"/>
    <w:rsid w:val="00FC60D3"/>
    <w:rsid w:val="00FC65EA"/>
    <w:rsid w:val="00FC6951"/>
    <w:rsid w:val="00FC6B12"/>
    <w:rsid w:val="00FC6D88"/>
    <w:rsid w:val="00FC6E33"/>
    <w:rsid w:val="00FC735E"/>
    <w:rsid w:val="00FC7513"/>
    <w:rsid w:val="00FC775C"/>
    <w:rsid w:val="00FC79B8"/>
    <w:rsid w:val="00FC7D8E"/>
    <w:rsid w:val="00FC7E52"/>
    <w:rsid w:val="00FC7F56"/>
    <w:rsid w:val="00FD0012"/>
    <w:rsid w:val="00FD00D5"/>
    <w:rsid w:val="00FD0451"/>
    <w:rsid w:val="00FD04FF"/>
    <w:rsid w:val="00FD0CD3"/>
    <w:rsid w:val="00FD1015"/>
    <w:rsid w:val="00FD112F"/>
    <w:rsid w:val="00FD134E"/>
    <w:rsid w:val="00FD13CE"/>
    <w:rsid w:val="00FD13DA"/>
    <w:rsid w:val="00FD1454"/>
    <w:rsid w:val="00FD1E51"/>
    <w:rsid w:val="00FD2176"/>
    <w:rsid w:val="00FD2401"/>
    <w:rsid w:val="00FD24D0"/>
    <w:rsid w:val="00FD251D"/>
    <w:rsid w:val="00FD28A5"/>
    <w:rsid w:val="00FD2A2D"/>
    <w:rsid w:val="00FD2C59"/>
    <w:rsid w:val="00FD3086"/>
    <w:rsid w:val="00FD30B2"/>
    <w:rsid w:val="00FD320C"/>
    <w:rsid w:val="00FD346D"/>
    <w:rsid w:val="00FD37C2"/>
    <w:rsid w:val="00FD3A72"/>
    <w:rsid w:val="00FD3BEF"/>
    <w:rsid w:val="00FD3C8B"/>
    <w:rsid w:val="00FD3FD6"/>
    <w:rsid w:val="00FD4254"/>
    <w:rsid w:val="00FD449E"/>
    <w:rsid w:val="00FD4655"/>
    <w:rsid w:val="00FD47AF"/>
    <w:rsid w:val="00FD4876"/>
    <w:rsid w:val="00FD4ADE"/>
    <w:rsid w:val="00FD4B16"/>
    <w:rsid w:val="00FD4B1B"/>
    <w:rsid w:val="00FD4B2A"/>
    <w:rsid w:val="00FD4BF6"/>
    <w:rsid w:val="00FD4E97"/>
    <w:rsid w:val="00FD4EC8"/>
    <w:rsid w:val="00FD4F36"/>
    <w:rsid w:val="00FD5075"/>
    <w:rsid w:val="00FD5249"/>
    <w:rsid w:val="00FD54CD"/>
    <w:rsid w:val="00FD5ACF"/>
    <w:rsid w:val="00FD5BC8"/>
    <w:rsid w:val="00FD5FE0"/>
    <w:rsid w:val="00FD6170"/>
    <w:rsid w:val="00FD61FC"/>
    <w:rsid w:val="00FD6329"/>
    <w:rsid w:val="00FD634F"/>
    <w:rsid w:val="00FD6627"/>
    <w:rsid w:val="00FD6919"/>
    <w:rsid w:val="00FD699A"/>
    <w:rsid w:val="00FD6B3F"/>
    <w:rsid w:val="00FD6DE6"/>
    <w:rsid w:val="00FD70BE"/>
    <w:rsid w:val="00FD7237"/>
    <w:rsid w:val="00FD733B"/>
    <w:rsid w:val="00FD73E1"/>
    <w:rsid w:val="00FD7502"/>
    <w:rsid w:val="00FD7892"/>
    <w:rsid w:val="00FD7C29"/>
    <w:rsid w:val="00FE0254"/>
    <w:rsid w:val="00FE02E0"/>
    <w:rsid w:val="00FE0821"/>
    <w:rsid w:val="00FE0985"/>
    <w:rsid w:val="00FE09CF"/>
    <w:rsid w:val="00FE0EB0"/>
    <w:rsid w:val="00FE1147"/>
    <w:rsid w:val="00FE15AD"/>
    <w:rsid w:val="00FE1726"/>
    <w:rsid w:val="00FE18FF"/>
    <w:rsid w:val="00FE1B5A"/>
    <w:rsid w:val="00FE1D1A"/>
    <w:rsid w:val="00FE1EF6"/>
    <w:rsid w:val="00FE1FB6"/>
    <w:rsid w:val="00FE2349"/>
    <w:rsid w:val="00FE2380"/>
    <w:rsid w:val="00FE2461"/>
    <w:rsid w:val="00FE263E"/>
    <w:rsid w:val="00FE27D7"/>
    <w:rsid w:val="00FE284E"/>
    <w:rsid w:val="00FE2893"/>
    <w:rsid w:val="00FE2994"/>
    <w:rsid w:val="00FE2AEC"/>
    <w:rsid w:val="00FE2B4D"/>
    <w:rsid w:val="00FE2D17"/>
    <w:rsid w:val="00FE2FAB"/>
    <w:rsid w:val="00FE3265"/>
    <w:rsid w:val="00FE3352"/>
    <w:rsid w:val="00FE3422"/>
    <w:rsid w:val="00FE359B"/>
    <w:rsid w:val="00FE35F6"/>
    <w:rsid w:val="00FE385C"/>
    <w:rsid w:val="00FE3886"/>
    <w:rsid w:val="00FE392A"/>
    <w:rsid w:val="00FE3AB4"/>
    <w:rsid w:val="00FE3B9E"/>
    <w:rsid w:val="00FE3BB4"/>
    <w:rsid w:val="00FE3E86"/>
    <w:rsid w:val="00FE3ED0"/>
    <w:rsid w:val="00FE400A"/>
    <w:rsid w:val="00FE4224"/>
    <w:rsid w:val="00FE4412"/>
    <w:rsid w:val="00FE452B"/>
    <w:rsid w:val="00FE4581"/>
    <w:rsid w:val="00FE4771"/>
    <w:rsid w:val="00FE4994"/>
    <w:rsid w:val="00FE49A4"/>
    <w:rsid w:val="00FE4A7A"/>
    <w:rsid w:val="00FE4FBA"/>
    <w:rsid w:val="00FE5004"/>
    <w:rsid w:val="00FE52DD"/>
    <w:rsid w:val="00FE5334"/>
    <w:rsid w:val="00FE55C3"/>
    <w:rsid w:val="00FE5633"/>
    <w:rsid w:val="00FE587F"/>
    <w:rsid w:val="00FE5B18"/>
    <w:rsid w:val="00FE5E1D"/>
    <w:rsid w:val="00FE5EB3"/>
    <w:rsid w:val="00FE5FC0"/>
    <w:rsid w:val="00FE693B"/>
    <w:rsid w:val="00FE6B8C"/>
    <w:rsid w:val="00FE6DAE"/>
    <w:rsid w:val="00FE6E90"/>
    <w:rsid w:val="00FE6F84"/>
    <w:rsid w:val="00FE6F94"/>
    <w:rsid w:val="00FE6FAD"/>
    <w:rsid w:val="00FE7158"/>
    <w:rsid w:val="00FE74D0"/>
    <w:rsid w:val="00FE7857"/>
    <w:rsid w:val="00FE785B"/>
    <w:rsid w:val="00FE7880"/>
    <w:rsid w:val="00FE7B2D"/>
    <w:rsid w:val="00FE7D24"/>
    <w:rsid w:val="00FE7F95"/>
    <w:rsid w:val="00FF0182"/>
    <w:rsid w:val="00FF0235"/>
    <w:rsid w:val="00FF03C8"/>
    <w:rsid w:val="00FF0498"/>
    <w:rsid w:val="00FF04AD"/>
    <w:rsid w:val="00FF0690"/>
    <w:rsid w:val="00FF06E9"/>
    <w:rsid w:val="00FF0A95"/>
    <w:rsid w:val="00FF0AC7"/>
    <w:rsid w:val="00FF0F5C"/>
    <w:rsid w:val="00FF1152"/>
    <w:rsid w:val="00FF1172"/>
    <w:rsid w:val="00FF1215"/>
    <w:rsid w:val="00FF12E6"/>
    <w:rsid w:val="00FF1793"/>
    <w:rsid w:val="00FF1ADA"/>
    <w:rsid w:val="00FF1C98"/>
    <w:rsid w:val="00FF1DE0"/>
    <w:rsid w:val="00FF1F28"/>
    <w:rsid w:val="00FF20C4"/>
    <w:rsid w:val="00FF214E"/>
    <w:rsid w:val="00FF21BD"/>
    <w:rsid w:val="00FF2269"/>
    <w:rsid w:val="00FF24E6"/>
    <w:rsid w:val="00FF25F2"/>
    <w:rsid w:val="00FF261B"/>
    <w:rsid w:val="00FF275B"/>
    <w:rsid w:val="00FF278A"/>
    <w:rsid w:val="00FF2BB1"/>
    <w:rsid w:val="00FF2D38"/>
    <w:rsid w:val="00FF2E7F"/>
    <w:rsid w:val="00FF3045"/>
    <w:rsid w:val="00FF3061"/>
    <w:rsid w:val="00FF3A48"/>
    <w:rsid w:val="00FF3B45"/>
    <w:rsid w:val="00FF3DB4"/>
    <w:rsid w:val="00FF40AA"/>
    <w:rsid w:val="00FF43C2"/>
    <w:rsid w:val="00FF4471"/>
    <w:rsid w:val="00FF4862"/>
    <w:rsid w:val="00FF49DA"/>
    <w:rsid w:val="00FF4B44"/>
    <w:rsid w:val="00FF4B4A"/>
    <w:rsid w:val="00FF4C3E"/>
    <w:rsid w:val="00FF4CA2"/>
    <w:rsid w:val="00FF513F"/>
    <w:rsid w:val="00FF546F"/>
    <w:rsid w:val="00FF54A8"/>
    <w:rsid w:val="00FF54AF"/>
    <w:rsid w:val="00FF5559"/>
    <w:rsid w:val="00FF55EF"/>
    <w:rsid w:val="00FF567F"/>
    <w:rsid w:val="00FF56AD"/>
    <w:rsid w:val="00FF5A34"/>
    <w:rsid w:val="00FF5BA2"/>
    <w:rsid w:val="00FF5C2A"/>
    <w:rsid w:val="00FF5C7B"/>
    <w:rsid w:val="00FF5E09"/>
    <w:rsid w:val="00FF5E10"/>
    <w:rsid w:val="00FF6120"/>
    <w:rsid w:val="00FF645F"/>
    <w:rsid w:val="00FF6B8C"/>
    <w:rsid w:val="00FF6BBC"/>
    <w:rsid w:val="00FF6DAD"/>
    <w:rsid w:val="00FF6FAE"/>
    <w:rsid w:val="00FF712F"/>
    <w:rsid w:val="00FF7284"/>
    <w:rsid w:val="00FF7343"/>
    <w:rsid w:val="00FF7818"/>
    <w:rsid w:val="00FF7C2C"/>
    <w:rsid w:val="00FF7D70"/>
    <w:rsid w:val="00FF7DAD"/>
    <w:rsid w:val="00FF7FA7"/>
    <w:rsid w:val="01706C20"/>
    <w:rsid w:val="01973F87"/>
    <w:rsid w:val="0226EF0A"/>
    <w:rsid w:val="024748A9"/>
    <w:rsid w:val="02D856BB"/>
    <w:rsid w:val="03234FBE"/>
    <w:rsid w:val="032AC1B3"/>
    <w:rsid w:val="0356CBC3"/>
    <w:rsid w:val="03DC8438"/>
    <w:rsid w:val="03E84957"/>
    <w:rsid w:val="0496E1A8"/>
    <w:rsid w:val="052B333E"/>
    <w:rsid w:val="055E3B9D"/>
    <w:rsid w:val="058BA8F4"/>
    <w:rsid w:val="05938FCA"/>
    <w:rsid w:val="05AD7A74"/>
    <w:rsid w:val="0605CE5A"/>
    <w:rsid w:val="0632B209"/>
    <w:rsid w:val="0634E7B0"/>
    <w:rsid w:val="0654C595"/>
    <w:rsid w:val="06B493A4"/>
    <w:rsid w:val="06C177AA"/>
    <w:rsid w:val="06CEAEA4"/>
    <w:rsid w:val="0708B2DD"/>
    <w:rsid w:val="07175863"/>
    <w:rsid w:val="072FB2B0"/>
    <w:rsid w:val="072FFFB6"/>
    <w:rsid w:val="0768DC4D"/>
    <w:rsid w:val="0796CF85"/>
    <w:rsid w:val="07B17B5D"/>
    <w:rsid w:val="07BDDB20"/>
    <w:rsid w:val="07CE826A"/>
    <w:rsid w:val="07EE038C"/>
    <w:rsid w:val="0809BE53"/>
    <w:rsid w:val="0810C6EF"/>
    <w:rsid w:val="0835ADA6"/>
    <w:rsid w:val="08678AA8"/>
    <w:rsid w:val="08BC0E90"/>
    <w:rsid w:val="0931A6BF"/>
    <w:rsid w:val="096AC941"/>
    <w:rsid w:val="09733D47"/>
    <w:rsid w:val="09F73D9C"/>
    <w:rsid w:val="0A064F66"/>
    <w:rsid w:val="0A323FE0"/>
    <w:rsid w:val="0A52C897"/>
    <w:rsid w:val="0A6A65B9"/>
    <w:rsid w:val="0AE08253"/>
    <w:rsid w:val="0AE27BED"/>
    <w:rsid w:val="0AF60A93"/>
    <w:rsid w:val="0B12C577"/>
    <w:rsid w:val="0BD40906"/>
    <w:rsid w:val="0C0370D9"/>
    <w:rsid w:val="0CA1F38D"/>
    <w:rsid w:val="0CB9D4DE"/>
    <w:rsid w:val="0CF88BCC"/>
    <w:rsid w:val="0D9D0590"/>
    <w:rsid w:val="0DA0993A"/>
    <w:rsid w:val="0DB7CA0C"/>
    <w:rsid w:val="0DB9C197"/>
    <w:rsid w:val="0DD4A539"/>
    <w:rsid w:val="0E9264A2"/>
    <w:rsid w:val="0ECE36B4"/>
    <w:rsid w:val="0F43651D"/>
    <w:rsid w:val="0FA306C1"/>
    <w:rsid w:val="0FF69D8B"/>
    <w:rsid w:val="101BD8D4"/>
    <w:rsid w:val="103BDB02"/>
    <w:rsid w:val="108F9E03"/>
    <w:rsid w:val="10CB296D"/>
    <w:rsid w:val="118109EF"/>
    <w:rsid w:val="11879221"/>
    <w:rsid w:val="119E80D8"/>
    <w:rsid w:val="11E2F5C3"/>
    <w:rsid w:val="11E773F4"/>
    <w:rsid w:val="1263A218"/>
    <w:rsid w:val="12CF27B6"/>
    <w:rsid w:val="12DF3FAC"/>
    <w:rsid w:val="13113511"/>
    <w:rsid w:val="134100FE"/>
    <w:rsid w:val="1408865E"/>
    <w:rsid w:val="1549E63A"/>
    <w:rsid w:val="15A126A2"/>
    <w:rsid w:val="15DDE4B8"/>
    <w:rsid w:val="15EA015E"/>
    <w:rsid w:val="16046595"/>
    <w:rsid w:val="162B3ECF"/>
    <w:rsid w:val="16418997"/>
    <w:rsid w:val="164CCF84"/>
    <w:rsid w:val="1652AF30"/>
    <w:rsid w:val="166678BE"/>
    <w:rsid w:val="168C05F3"/>
    <w:rsid w:val="169A5CF1"/>
    <w:rsid w:val="16B9F940"/>
    <w:rsid w:val="178F0595"/>
    <w:rsid w:val="179F12CB"/>
    <w:rsid w:val="18159CBB"/>
    <w:rsid w:val="1841F6BB"/>
    <w:rsid w:val="188533F8"/>
    <w:rsid w:val="18BA9B32"/>
    <w:rsid w:val="191F2835"/>
    <w:rsid w:val="1960EDB8"/>
    <w:rsid w:val="19749DEF"/>
    <w:rsid w:val="19BC8E77"/>
    <w:rsid w:val="1AAC4D48"/>
    <w:rsid w:val="1AD32D8F"/>
    <w:rsid w:val="1B71A9F7"/>
    <w:rsid w:val="1C05CC9E"/>
    <w:rsid w:val="1C1AC199"/>
    <w:rsid w:val="1C20E29E"/>
    <w:rsid w:val="1C434673"/>
    <w:rsid w:val="1C66A228"/>
    <w:rsid w:val="1C833541"/>
    <w:rsid w:val="1CDDDD1B"/>
    <w:rsid w:val="1CE2B6F9"/>
    <w:rsid w:val="1D18E892"/>
    <w:rsid w:val="1D59DDDE"/>
    <w:rsid w:val="1D93B646"/>
    <w:rsid w:val="1DAE6137"/>
    <w:rsid w:val="1DBCB2FF"/>
    <w:rsid w:val="1DD4F672"/>
    <w:rsid w:val="1E09CE64"/>
    <w:rsid w:val="1EC74B77"/>
    <w:rsid w:val="1EE14561"/>
    <w:rsid w:val="1F1DA665"/>
    <w:rsid w:val="1F2F86A7"/>
    <w:rsid w:val="1FB98BE7"/>
    <w:rsid w:val="1FCE2431"/>
    <w:rsid w:val="1FD31791"/>
    <w:rsid w:val="200D23A6"/>
    <w:rsid w:val="20C657D0"/>
    <w:rsid w:val="20F64B4C"/>
    <w:rsid w:val="21123640"/>
    <w:rsid w:val="211E2C7A"/>
    <w:rsid w:val="21F65DF5"/>
    <w:rsid w:val="2216623A"/>
    <w:rsid w:val="2249D50A"/>
    <w:rsid w:val="22662310"/>
    <w:rsid w:val="2266E764"/>
    <w:rsid w:val="2282DE61"/>
    <w:rsid w:val="22CE6A37"/>
    <w:rsid w:val="233BE0B3"/>
    <w:rsid w:val="233CCD1F"/>
    <w:rsid w:val="236370BD"/>
    <w:rsid w:val="24A06DC3"/>
    <w:rsid w:val="24C2C71A"/>
    <w:rsid w:val="24D0907C"/>
    <w:rsid w:val="24EEB782"/>
    <w:rsid w:val="2580979C"/>
    <w:rsid w:val="259C3EB9"/>
    <w:rsid w:val="25C6323D"/>
    <w:rsid w:val="26BB1AAE"/>
    <w:rsid w:val="26D34936"/>
    <w:rsid w:val="27428612"/>
    <w:rsid w:val="27799579"/>
    <w:rsid w:val="282D5726"/>
    <w:rsid w:val="283ECF66"/>
    <w:rsid w:val="28D56494"/>
    <w:rsid w:val="291456AE"/>
    <w:rsid w:val="294F5E2C"/>
    <w:rsid w:val="295FEBA1"/>
    <w:rsid w:val="29904242"/>
    <w:rsid w:val="29A77314"/>
    <w:rsid w:val="29DBF7C7"/>
    <w:rsid w:val="2A700112"/>
    <w:rsid w:val="2AA23EA3"/>
    <w:rsid w:val="2AB3F351"/>
    <w:rsid w:val="2B99DF39"/>
    <w:rsid w:val="2BA397FA"/>
    <w:rsid w:val="2BFA4E89"/>
    <w:rsid w:val="2C23DDEE"/>
    <w:rsid w:val="2C7ACE67"/>
    <w:rsid w:val="2D12634B"/>
    <w:rsid w:val="2D359642"/>
    <w:rsid w:val="2DB1C796"/>
    <w:rsid w:val="2E34DD52"/>
    <w:rsid w:val="2E437E98"/>
    <w:rsid w:val="2EBFE0B6"/>
    <w:rsid w:val="2F1A97F1"/>
    <w:rsid w:val="2F557ECD"/>
    <w:rsid w:val="2FAAD428"/>
    <w:rsid w:val="2FE533DC"/>
    <w:rsid w:val="303E9CE5"/>
    <w:rsid w:val="3101EB06"/>
    <w:rsid w:val="310A778B"/>
    <w:rsid w:val="313DAD1C"/>
    <w:rsid w:val="314587C2"/>
    <w:rsid w:val="31A0AA66"/>
    <w:rsid w:val="31F70F45"/>
    <w:rsid w:val="3236B371"/>
    <w:rsid w:val="3290AB16"/>
    <w:rsid w:val="32A75FD7"/>
    <w:rsid w:val="32F6CC9C"/>
    <w:rsid w:val="333D1A83"/>
    <w:rsid w:val="33529372"/>
    <w:rsid w:val="3365CC82"/>
    <w:rsid w:val="33AB1BB1"/>
    <w:rsid w:val="33CDF4A7"/>
    <w:rsid w:val="33D99C74"/>
    <w:rsid w:val="34249EE0"/>
    <w:rsid w:val="346B3CEB"/>
    <w:rsid w:val="3484311E"/>
    <w:rsid w:val="34C2F9BB"/>
    <w:rsid w:val="35477C80"/>
    <w:rsid w:val="35613D2F"/>
    <w:rsid w:val="35D73919"/>
    <w:rsid w:val="362272FA"/>
    <w:rsid w:val="363B9B57"/>
    <w:rsid w:val="3649140B"/>
    <w:rsid w:val="36B09C6E"/>
    <w:rsid w:val="36D90685"/>
    <w:rsid w:val="38564B30"/>
    <w:rsid w:val="38CE58CC"/>
    <w:rsid w:val="38DA4D87"/>
    <w:rsid w:val="39053FB8"/>
    <w:rsid w:val="391F8517"/>
    <w:rsid w:val="39B82DF5"/>
    <w:rsid w:val="3A3A9E3D"/>
    <w:rsid w:val="3A6C9D80"/>
    <w:rsid w:val="3A7BFF5B"/>
    <w:rsid w:val="3AC8D0F9"/>
    <w:rsid w:val="3B823664"/>
    <w:rsid w:val="3BCE1B9E"/>
    <w:rsid w:val="3C11EE49"/>
    <w:rsid w:val="3C312F29"/>
    <w:rsid w:val="3CC309AB"/>
    <w:rsid w:val="3D774DF0"/>
    <w:rsid w:val="3E3355B0"/>
    <w:rsid w:val="3E5686C3"/>
    <w:rsid w:val="3E6A5BE9"/>
    <w:rsid w:val="3E95B2EE"/>
    <w:rsid w:val="3EC74C45"/>
    <w:rsid w:val="3ECDA183"/>
    <w:rsid w:val="3FC1D011"/>
    <w:rsid w:val="3FE4BCB8"/>
    <w:rsid w:val="4041FE69"/>
    <w:rsid w:val="409CFEE1"/>
    <w:rsid w:val="4105FED1"/>
    <w:rsid w:val="412385E6"/>
    <w:rsid w:val="413AED3E"/>
    <w:rsid w:val="413EE32F"/>
    <w:rsid w:val="41C6AD9A"/>
    <w:rsid w:val="41DA7CD4"/>
    <w:rsid w:val="42C37452"/>
    <w:rsid w:val="42E6ED14"/>
    <w:rsid w:val="42FAEDA2"/>
    <w:rsid w:val="43235128"/>
    <w:rsid w:val="433AE5EE"/>
    <w:rsid w:val="43F518CC"/>
    <w:rsid w:val="44591810"/>
    <w:rsid w:val="44CD2024"/>
    <w:rsid w:val="45379F06"/>
    <w:rsid w:val="45636BDE"/>
    <w:rsid w:val="45D0BC47"/>
    <w:rsid w:val="45DAE41B"/>
    <w:rsid w:val="45FEC559"/>
    <w:rsid w:val="46AB4E69"/>
    <w:rsid w:val="46CF4699"/>
    <w:rsid w:val="46FBBBB3"/>
    <w:rsid w:val="4730F9B1"/>
    <w:rsid w:val="4751D67F"/>
    <w:rsid w:val="4754A0F0"/>
    <w:rsid w:val="47663287"/>
    <w:rsid w:val="477DBD18"/>
    <w:rsid w:val="4784D539"/>
    <w:rsid w:val="4799FE58"/>
    <w:rsid w:val="47DF917F"/>
    <w:rsid w:val="47F22F7C"/>
    <w:rsid w:val="48113E2F"/>
    <w:rsid w:val="48316BFE"/>
    <w:rsid w:val="4849683C"/>
    <w:rsid w:val="48759AC1"/>
    <w:rsid w:val="488CB036"/>
    <w:rsid w:val="48C40645"/>
    <w:rsid w:val="491F54AF"/>
    <w:rsid w:val="492C8933"/>
    <w:rsid w:val="493C93D0"/>
    <w:rsid w:val="493ED5CB"/>
    <w:rsid w:val="4951428C"/>
    <w:rsid w:val="4980F134"/>
    <w:rsid w:val="49E5389D"/>
    <w:rsid w:val="4AD60820"/>
    <w:rsid w:val="4AE0E266"/>
    <w:rsid w:val="4AEEDC24"/>
    <w:rsid w:val="4BED3322"/>
    <w:rsid w:val="4C10560F"/>
    <w:rsid w:val="4C1C0140"/>
    <w:rsid w:val="4D2CADBB"/>
    <w:rsid w:val="4D4E39FC"/>
    <w:rsid w:val="4E24B3AF"/>
    <w:rsid w:val="4F46B9FA"/>
    <w:rsid w:val="4F6FB2EA"/>
    <w:rsid w:val="4F715B88"/>
    <w:rsid w:val="4F810C4A"/>
    <w:rsid w:val="4FA9CD20"/>
    <w:rsid w:val="5063E7AF"/>
    <w:rsid w:val="50BEB39A"/>
    <w:rsid w:val="50DC7B37"/>
    <w:rsid w:val="50E336D5"/>
    <w:rsid w:val="5119F8CB"/>
    <w:rsid w:val="51770261"/>
    <w:rsid w:val="51DA7726"/>
    <w:rsid w:val="51ECA5DB"/>
    <w:rsid w:val="51F11AFF"/>
    <w:rsid w:val="51FA1DE5"/>
    <w:rsid w:val="520C4F65"/>
    <w:rsid w:val="5259D0EE"/>
    <w:rsid w:val="52D7AF39"/>
    <w:rsid w:val="52F6364D"/>
    <w:rsid w:val="533EFE30"/>
    <w:rsid w:val="53ACF745"/>
    <w:rsid w:val="53FE0CFF"/>
    <w:rsid w:val="54208D51"/>
    <w:rsid w:val="54B9E295"/>
    <w:rsid w:val="54D37041"/>
    <w:rsid w:val="55148B27"/>
    <w:rsid w:val="552013A7"/>
    <w:rsid w:val="554AF86A"/>
    <w:rsid w:val="56EF6C52"/>
    <w:rsid w:val="56F3C0FA"/>
    <w:rsid w:val="575F8063"/>
    <w:rsid w:val="57AECA22"/>
    <w:rsid w:val="584208BC"/>
    <w:rsid w:val="587EB015"/>
    <w:rsid w:val="595D2D5A"/>
    <w:rsid w:val="59D66FB6"/>
    <w:rsid w:val="5A8F2289"/>
    <w:rsid w:val="5B22DF35"/>
    <w:rsid w:val="5B4C745D"/>
    <w:rsid w:val="5C30D3FC"/>
    <w:rsid w:val="5C7FAE17"/>
    <w:rsid w:val="5D4393D2"/>
    <w:rsid w:val="5D44C910"/>
    <w:rsid w:val="5DABB290"/>
    <w:rsid w:val="5DCF2E68"/>
    <w:rsid w:val="5DE3A0E8"/>
    <w:rsid w:val="5E0D97BF"/>
    <w:rsid w:val="5E2F467D"/>
    <w:rsid w:val="5E369478"/>
    <w:rsid w:val="5EA89001"/>
    <w:rsid w:val="5FB74ED9"/>
    <w:rsid w:val="5FD888EE"/>
    <w:rsid w:val="5FFE6E6C"/>
    <w:rsid w:val="5FFF81DF"/>
    <w:rsid w:val="607190D5"/>
    <w:rsid w:val="6099A126"/>
    <w:rsid w:val="60EEF62D"/>
    <w:rsid w:val="60F2456C"/>
    <w:rsid w:val="614DBEE2"/>
    <w:rsid w:val="6166E73F"/>
    <w:rsid w:val="61683E74"/>
    <w:rsid w:val="61CC3BF6"/>
    <w:rsid w:val="62810243"/>
    <w:rsid w:val="62A8DED5"/>
    <w:rsid w:val="62A93E5B"/>
    <w:rsid w:val="62D403FA"/>
    <w:rsid w:val="630EECA2"/>
    <w:rsid w:val="631ED510"/>
    <w:rsid w:val="63502056"/>
    <w:rsid w:val="63EE4007"/>
    <w:rsid w:val="645460BD"/>
    <w:rsid w:val="64855FA4"/>
    <w:rsid w:val="648D4D2A"/>
    <w:rsid w:val="64B81298"/>
    <w:rsid w:val="64D0C823"/>
    <w:rsid w:val="6544DFC0"/>
    <w:rsid w:val="655DBD7C"/>
    <w:rsid w:val="658A1068"/>
    <w:rsid w:val="6613CB91"/>
    <w:rsid w:val="66291D8B"/>
    <w:rsid w:val="66C3AC6A"/>
    <w:rsid w:val="66D08B6E"/>
    <w:rsid w:val="66F75987"/>
    <w:rsid w:val="67882DAD"/>
    <w:rsid w:val="678C017F"/>
    <w:rsid w:val="67AAA4A3"/>
    <w:rsid w:val="67BD0066"/>
    <w:rsid w:val="67C6BE5C"/>
    <w:rsid w:val="67DE390B"/>
    <w:rsid w:val="68796ABF"/>
    <w:rsid w:val="68877BB7"/>
    <w:rsid w:val="689E5992"/>
    <w:rsid w:val="68FF6D3B"/>
    <w:rsid w:val="6910CB46"/>
    <w:rsid w:val="6914E643"/>
    <w:rsid w:val="694B0358"/>
    <w:rsid w:val="6960BE4D"/>
    <w:rsid w:val="69D403DA"/>
    <w:rsid w:val="6A188931"/>
    <w:rsid w:val="6A31AD3B"/>
    <w:rsid w:val="6A9B3D9C"/>
    <w:rsid w:val="6AF78127"/>
    <w:rsid w:val="6B90D417"/>
    <w:rsid w:val="6BEAAF0A"/>
    <w:rsid w:val="6C00ECED"/>
    <w:rsid w:val="6C81CBB1"/>
    <w:rsid w:val="6C985F0F"/>
    <w:rsid w:val="6D5236B0"/>
    <w:rsid w:val="6D61A522"/>
    <w:rsid w:val="6DD267EE"/>
    <w:rsid w:val="6DD9031E"/>
    <w:rsid w:val="6DFA6D23"/>
    <w:rsid w:val="6E2C41EA"/>
    <w:rsid w:val="6E53C0DE"/>
    <w:rsid w:val="6EC817D0"/>
    <w:rsid w:val="6EF4C5B0"/>
    <w:rsid w:val="6EF6BD3B"/>
    <w:rsid w:val="6F180F8C"/>
    <w:rsid w:val="6F24448D"/>
    <w:rsid w:val="6F6EAEBF"/>
    <w:rsid w:val="6FCFFFD1"/>
    <w:rsid w:val="6FEDEA7E"/>
    <w:rsid w:val="70676EB7"/>
    <w:rsid w:val="70BBD53E"/>
    <w:rsid w:val="710B75E9"/>
    <w:rsid w:val="7119BB68"/>
    <w:rsid w:val="716349D1"/>
    <w:rsid w:val="71664A60"/>
    <w:rsid w:val="71E81621"/>
    <w:rsid w:val="7207964E"/>
    <w:rsid w:val="72A4201B"/>
    <w:rsid w:val="72AC7441"/>
    <w:rsid w:val="730862DF"/>
    <w:rsid w:val="73524B79"/>
    <w:rsid w:val="7398CF56"/>
    <w:rsid w:val="73E1F3F5"/>
    <w:rsid w:val="74A370F4"/>
    <w:rsid w:val="74CE1096"/>
    <w:rsid w:val="7539F685"/>
    <w:rsid w:val="75410221"/>
    <w:rsid w:val="757E0B8A"/>
    <w:rsid w:val="75A957D0"/>
    <w:rsid w:val="76147310"/>
    <w:rsid w:val="766D5953"/>
    <w:rsid w:val="76770E58"/>
    <w:rsid w:val="774F12DC"/>
    <w:rsid w:val="78848F94"/>
    <w:rsid w:val="78B5AC4C"/>
    <w:rsid w:val="7949623D"/>
    <w:rsid w:val="798F6AE9"/>
    <w:rsid w:val="79C2BA5E"/>
    <w:rsid w:val="79EC191C"/>
    <w:rsid w:val="79FE17EA"/>
    <w:rsid w:val="7A867F9E"/>
    <w:rsid w:val="7A9E5DC9"/>
    <w:rsid w:val="7AC34367"/>
    <w:rsid w:val="7B0C73DE"/>
    <w:rsid w:val="7B12B278"/>
    <w:rsid w:val="7B6E9184"/>
    <w:rsid w:val="7BA93809"/>
    <w:rsid w:val="7C2DCB34"/>
    <w:rsid w:val="7C6B7CF5"/>
    <w:rsid w:val="7C76A465"/>
    <w:rsid w:val="7C83E23C"/>
    <w:rsid w:val="7C9F1A10"/>
    <w:rsid w:val="7CD31280"/>
    <w:rsid w:val="7D5D586E"/>
    <w:rsid w:val="7D5F0DC0"/>
    <w:rsid w:val="7D86A4A2"/>
    <w:rsid w:val="7D896802"/>
    <w:rsid w:val="7E1BF161"/>
    <w:rsid w:val="7E3D1274"/>
    <w:rsid w:val="7E639E59"/>
    <w:rsid w:val="7E7E3862"/>
    <w:rsid w:val="7E99AC35"/>
    <w:rsid w:val="7EA72582"/>
    <w:rsid w:val="7ED0D213"/>
    <w:rsid w:val="7EF5C53F"/>
    <w:rsid w:val="7F05947B"/>
    <w:rsid w:val="7F7D14C8"/>
    <w:rsid w:val="7FFEAC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D8C75"/>
  <w15:docId w15:val="{78D75604-D82E-4925-ABCC-F3B0463F23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00003"/>
    <w:pPr>
      <w:spacing w:after="0" w:line="240" w:lineRule="auto"/>
    </w:pPr>
    <w:rPr>
      <w:rFonts w:ascii="Arial" w:hAnsi="Arial" w:eastAsia="Times New Roman" w:cs="Times New Roman"/>
      <w:szCs w:val="20"/>
      <w:lang w:eastAsia="pt-BR"/>
    </w:rPr>
  </w:style>
  <w:style w:type="paragraph" w:styleId="Ttulo1">
    <w:name w:val="heading 1"/>
    <w:basedOn w:val="Normal"/>
    <w:next w:val="Normal"/>
    <w:link w:val="Ttulo1Char"/>
    <w:autoRedefine/>
    <w:uiPriority w:val="9"/>
    <w:qFormat/>
    <w:rsid w:val="00DC53C5"/>
    <w:pPr>
      <w:keepNext/>
      <w:keepLines/>
      <w:spacing w:before="120" w:after="120" w:line="360" w:lineRule="auto"/>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har"/>
    <w:autoRedefine/>
    <w:uiPriority w:val="9"/>
    <w:unhideWhenUsed/>
    <w:qFormat/>
    <w:rsid w:val="004B4FFC"/>
    <w:pPr>
      <w:keepNext/>
      <w:keepLines/>
      <w:spacing w:before="200" w:after="240" w:line="360" w:lineRule="auto"/>
      <w:jc w:val="both"/>
      <w:outlineLvl w:val="1"/>
    </w:pPr>
    <w:rPr>
      <w:rFonts w:asciiTheme="majorHAnsi" w:hAnsiTheme="majorHAnsi" w:eastAsiaTheme="majorEastAsia" w:cstheme="majorBidi"/>
      <w:b/>
      <w:bCs/>
      <w:color w:val="1F497D" w:themeColor="text2"/>
      <w:sz w:val="24"/>
      <w:szCs w:val="24"/>
    </w:rPr>
  </w:style>
  <w:style w:type="paragraph" w:styleId="Ttulo3">
    <w:name w:val="heading 3"/>
    <w:basedOn w:val="Normal"/>
    <w:next w:val="Normal"/>
    <w:link w:val="Ttulo3Char"/>
    <w:uiPriority w:val="9"/>
    <w:unhideWhenUsed/>
    <w:qFormat/>
    <w:rsid w:val="00056F25"/>
    <w:pPr>
      <w:keepNext/>
      <w:keepLines/>
      <w:spacing w:before="20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008D1BF9"/>
    <w:pPr>
      <w:keepNext/>
      <w:keepLines/>
      <w:spacing w:before="200" w:line="276" w:lineRule="auto"/>
      <w:outlineLvl w:val="3"/>
    </w:pPr>
    <w:rPr>
      <w:rFonts w:asciiTheme="majorHAnsi" w:hAnsiTheme="majorHAnsi" w:eastAsiaTheme="majorEastAsia" w:cstheme="majorBidi"/>
      <w:b/>
      <w:bCs/>
      <w:i/>
      <w:iCs/>
      <w:color w:val="4F81BD" w:themeColor="accent1"/>
      <w:szCs w:val="22"/>
      <w:lang w:val="en-US" w:eastAsia="en-US"/>
    </w:rPr>
  </w:style>
  <w:style w:type="paragraph" w:styleId="Ttulo5">
    <w:name w:val="heading 5"/>
    <w:basedOn w:val="Normal"/>
    <w:next w:val="Normal"/>
    <w:link w:val="Ttulo5Char"/>
    <w:uiPriority w:val="9"/>
    <w:semiHidden/>
    <w:unhideWhenUsed/>
    <w:qFormat/>
    <w:rsid w:val="008D1BF9"/>
    <w:pPr>
      <w:keepNext/>
      <w:keepLines/>
      <w:spacing w:before="200" w:line="276" w:lineRule="auto"/>
      <w:outlineLvl w:val="4"/>
    </w:pPr>
    <w:rPr>
      <w:rFonts w:asciiTheme="majorHAnsi" w:hAnsiTheme="majorHAnsi" w:eastAsiaTheme="majorEastAsia" w:cstheme="majorBidi"/>
      <w:color w:val="243F60" w:themeColor="accent1" w:themeShade="7F"/>
      <w:szCs w:val="22"/>
      <w:lang w:val="en-US" w:eastAsia="en-US"/>
    </w:rPr>
  </w:style>
  <w:style w:type="paragraph" w:styleId="Ttulo6">
    <w:name w:val="heading 6"/>
    <w:basedOn w:val="Normal"/>
    <w:next w:val="Normal"/>
    <w:link w:val="Ttulo6Char"/>
    <w:uiPriority w:val="9"/>
    <w:semiHidden/>
    <w:unhideWhenUsed/>
    <w:qFormat/>
    <w:rsid w:val="008D1BF9"/>
    <w:pPr>
      <w:keepNext/>
      <w:keepLines/>
      <w:spacing w:before="200" w:line="276" w:lineRule="auto"/>
      <w:outlineLvl w:val="5"/>
    </w:pPr>
    <w:rPr>
      <w:rFonts w:asciiTheme="majorHAnsi" w:hAnsiTheme="majorHAnsi" w:eastAsiaTheme="majorEastAsia" w:cstheme="majorBidi"/>
      <w:i/>
      <w:iCs/>
      <w:color w:val="243F60" w:themeColor="accent1" w:themeShade="7F"/>
      <w:szCs w:val="22"/>
      <w:lang w:val="en-US" w:eastAsia="en-US"/>
    </w:rPr>
  </w:style>
  <w:style w:type="paragraph" w:styleId="Ttulo7">
    <w:name w:val="heading 7"/>
    <w:basedOn w:val="Normal"/>
    <w:next w:val="Normal"/>
    <w:link w:val="Ttulo7Char"/>
    <w:uiPriority w:val="9"/>
    <w:semiHidden/>
    <w:unhideWhenUsed/>
    <w:qFormat/>
    <w:rsid w:val="008D1BF9"/>
    <w:pPr>
      <w:keepNext/>
      <w:keepLines/>
      <w:spacing w:before="200" w:line="276" w:lineRule="auto"/>
      <w:outlineLvl w:val="6"/>
    </w:pPr>
    <w:rPr>
      <w:rFonts w:asciiTheme="majorHAnsi" w:hAnsiTheme="majorHAnsi" w:eastAsiaTheme="majorEastAsia" w:cstheme="majorBidi"/>
      <w:i/>
      <w:iCs/>
      <w:color w:val="404040" w:themeColor="text1" w:themeTint="BF"/>
      <w:szCs w:val="22"/>
      <w:lang w:val="en-US" w:eastAsia="en-US"/>
    </w:rPr>
  </w:style>
  <w:style w:type="paragraph" w:styleId="Ttulo8">
    <w:name w:val="heading 8"/>
    <w:basedOn w:val="Normal"/>
    <w:next w:val="Normal"/>
    <w:link w:val="Ttulo8Char"/>
    <w:uiPriority w:val="9"/>
    <w:semiHidden/>
    <w:unhideWhenUsed/>
    <w:qFormat/>
    <w:rsid w:val="008D1BF9"/>
    <w:pPr>
      <w:keepNext/>
      <w:keepLines/>
      <w:spacing w:before="200" w:line="276" w:lineRule="auto"/>
      <w:outlineLvl w:val="7"/>
    </w:pPr>
    <w:rPr>
      <w:rFonts w:asciiTheme="majorHAnsi" w:hAnsiTheme="majorHAnsi" w:eastAsiaTheme="majorEastAsia" w:cstheme="majorBidi"/>
      <w:color w:val="4F81BD" w:themeColor="accent1"/>
      <w:lang w:val="en-US" w:eastAsia="en-US"/>
    </w:rPr>
  </w:style>
  <w:style w:type="paragraph" w:styleId="Ttulo9">
    <w:name w:val="heading 9"/>
    <w:basedOn w:val="Normal"/>
    <w:next w:val="Normal"/>
    <w:link w:val="Ttulo9Char"/>
    <w:uiPriority w:val="9"/>
    <w:semiHidden/>
    <w:unhideWhenUsed/>
    <w:qFormat/>
    <w:rsid w:val="008D1BF9"/>
    <w:pPr>
      <w:keepNext/>
      <w:keepLines/>
      <w:spacing w:before="200" w:line="276" w:lineRule="auto"/>
      <w:outlineLvl w:val="8"/>
    </w:pPr>
    <w:rPr>
      <w:rFonts w:asciiTheme="majorHAnsi" w:hAnsiTheme="majorHAnsi" w:eastAsiaTheme="majorEastAsia" w:cstheme="majorBidi"/>
      <w:i/>
      <w:iCs/>
      <w:color w:val="404040" w:themeColor="text1" w:themeTint="BF"/>
      <w:lang w:val="en-US" w:eastAsia="en-US"/>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next w:val="Subttulo"/>
    <w:link w:val="TtuloChar"/>
    <w:uiPriority w:val="10"/>
    <w:qFormat/>
    <w:rsid w:val="004E51D0"/>
    <w:pPr>
      <w:pBdr>
        <w:top w:val="single" w:color="000000" w:sz="8" w:space="4"/>
        <w:left w:val="single" w:color="000000" w:sz="8" w:space="4"/>
        <w:bottom w:val="single" w:color="000000" w:sz="8" w:space="4"/>
        <w:right w:val="single" w:color="000000" w:sz="8" w:space="4"/>
      </w:pBdr>
      <w:shd w:val="clear" w:color="auto" w:fill="CCCCCC"/>
      <w:suppressAutoHyphens/>
      <w:spacing w:before="240" w:after="240" w:line="240" w:lineRule="auto"/>
      <w:jc w:val="center"/>
    </w:pPr>
    <w:rPr>
      <w:rFonts w:ascii="Arial" w:hAnsi="Arial" w:eastAsia="Times New Roman" w:cs="Arial"/>
      <w:b/>
      <w:bCs/>
      <w:kern w:val="2"/>
      <w:sz w:val="28"/>
      <w:szCs w:val="32"/>
      <w:lang w:eastAsia="ar-SA"/>
    </w:rPr>
  </w:style>
  <w:style w:type="character" w:styleId="TtuloChar" w:customStyle="1">
    <w:name w:val="Título Char"/>
    <w:basedOn w:val="Fontepargpadro"/>
    <w:link w:val="Ttulo"/>
    <w:uiPriority w:val="10"/>
    <w:rsid w:val="004E51D0"/>
    <w:rPr>
      <w:rFonts w:ascii="Arial" w:hAnsi="Arial" w:eastAsia="Times New Roman" w:cs="Arial"/>
      <w:b/>
      <w:bCs/>
      <w:kern w:val="2"/>
      <w:sz w:val="28"/>
      <w:szCs w:val="32"/>
      <w:shd w:val="clear" w:color="auto" w:fill="CCCCCC"/>
      <w:lang w:eastAsia="ar-SA"/>
    </w:rPr>
  </w:style>
  <w:style w:type="paragraph" w:styleId="Subttulo">
    <w:name w:val="Subtitle"/>
    <w:basedOn w:val="Normal"/>
    <w:next w:val="Normal"/>
    <w:link w:val="SubttuloChar"/>
    <w:uiPriority w:val="11"/>
    <w:qFormat/>
    <w:rsid w:val="004E51D0"/>
    <w:pPr>
      <w:numPr>
        <w:ilvl w:val="1"/>
      </w:numPr>
    </w:pPr>
    <w:rPr>
      <w:rFonts w:asciiTheme="majorHAnsi" w:hAnsiTheme="majorHAnsi" w:eastAsiaTheme="majorEastAsia" w:cstheme="majorBidi"/>
      <w:i/>
      <w:iCs/>
      <w:color w:val="4F81BD" w:themeColor="accent1"/>
      <w:spacing w:val="15"/>
      <w:sz w:val="24"/>
      <w:szCs w:val="24"/>
    </w:rPr>
  </w:style>
  <w:style w:type="character" w:styleId="SubttuloChar" w:customStyle="1">
    <w:name w:val="Subtítulo Char"/>
    <w:basedOn w:val="Fontepargpadro"/>
    <w:link w:val="Subttulo"/>
    <w:uiPriority w:val="11"/>
    <w:rsid w:val="004E51D0"/>
    <w:rPr>
      <w:rFonts w:asciiTheme="majorHAnsi" w:hAnsiTheme="majorHAnsi" w:eastAsiaTheme="majorEastAsia" w:cstheme="majorBidi"/>
      <w:i/>
      <w:iCs/>
      <w:color w:val="4F81BD" w:themeColor="accent1"/>
      <w:spacing w:val="15"/>
      <w:sz w:val="24"/>
      <w:szCs w:val="24"/>
      <w:lang w:eastAsia="pt-BR"/>
    </w:rPr>
  </w:style>
  <w:style w:type="paragraph" w:styleId="Textodebalo">
    <w:name w:val="Balloon Text"/>
    <w:basedOn w:val="Normal"/>
    <w:link w:val="TextodebaloChar"/>
    <w:uiPriority w:val="99"/>
    <w:semiHidden/>
    <w:unhideWhenUsed/>
    <w:rsid w:val="0088234D"/>
    <w:rPr>
      <w:rFonts w:ascii="Tahoma" w:hAnsi="Tahoma" w:cs="Tahoma"/>
      <w:sz w:val="16"/>
      <w:szCs w:val="16"/>
    </w:rPr>
  </w:style>
  <w:style w:type="character" w:styleId="TextodebaloChar" w:customStyle="1">
    <w:name w:val="Texto de balão Char"/>
    <w:basedOn w:val="Fontepargpadro"/>
    <w:link w:val="Textodebalo"/>
    <w:uiPriority w:val="99"/>
    <w:semiHidden/>
    <w:rsid w:val="0088234D"/>
    <w:rPr>
      <w:rFonts w:ascii="Tahoma" w:hAnsi="Tahoma" w:eastAsia="Times New Roman" w:cs="Tahoma"/>
      <w:sz w:val="16"/>
      <w:szCs w:val="16"/>
      <w:lang w:eastAsia="pt-BR"/>
    </w:rPr>
  </w:style>
  <w:style w:type="character" w:styleId="Ttulo1Char" w:customStyle="1">
    <w:name w:val="Título 1 Char"/>
    <w:basedOn w:val="Fontepargpadro"/>
    <w:link w:val="Ttulo1"/>
    <w:uiPriority w:val="9"/>
    <w:rsid w:val="00DC53C5"/>
    <w:rPr>
      <w:rFonts w:asciiTheme="majorHAnsi" w:hAnsiTheme="majorHAnsi" w:eastAsiaTheme="majorEastAsia" w:cstheme="majorBidi"/>
      <w:b/>
      <w:bCs/>
      <w:color w:val="365F91" w:themeColor="accent1" w:themeShade="BF"/>
      <w:sz w:val="28"/>
      <w:szCs w:val="28"/>
      <w:lang w:eastAsia="pt-BR"/>
    </w:rPr>
  </w:style>
  <w:style w:type="character" w:styleId="Ttulo2Char" w:customStyle="1">
    <w:name w:val="Título 2 Char"/>
    <w:basedOn w:val="Fontepargpadro"/>
    <w:link w:val="Ttulo2"/>
    <w:uiPriority w:val="9"/>
    <w:rsid w:val="004B4FFC"/>
    <w:rPr>
      <w:rFonts w:asciiTheme="majorHAnsi" w:hAnsiTheme="majorHAnsi" w:eastAsiaTheme="majorEastAsia" w:cstheme="majorBidi"/>
      <w:b/>
      <w:bCs/>
      <w:color w:val="1F497D" w:themeColor="text2"/>
      <w:sz w:val="24"/>
      <w:szCs w:val="24"/>
      <w:lang w:eastAsia="pt-BR"/>
    </w:rPr>
  </w:style>
  <w:style w:type="character" w:styleId="Ttulo3Char" w:customStyle="1">
    <w:name w:val="Título 3 Char"/>
    <w:basedOn w:val="Fontepargpadro"/>
    <w:link w:val="Ttulo3"/>
    <w:uiPriority w:val="9"/>
    <w:rsid w:val="00056F25"/>
    <w:rPr>
      <w:rFonts w:asciiTheme="majorHAnsi" w:hAnsiTheme="majorHAnsi" w:eastAsiaTheme="majorEastAsia" w:cstheme="majorBidi"/>
      <w:b/>
      <w:bCs/>
      <w:color w:val="4F81BD" w:themeColor="accent1"/>
      <w:sz w:val="20"/>
      <w:szCs w:val="20"/>
      <w:lang w:eastAsia="pt-BR"/>
    </w:rPr>
  </w:style>
  <w:style w:type="paragraph" w:styleId="Textodenotaderodap">
    <w:name w:val="footnote text"/>
    <w:basedOn w:val="Normal"/>
    <w:link w:val="TextodenotaderodapChar"/>
    <w:uiPriority w:val="99"/>
    <w:unhideWhenUsed/>
    <w:rsid w:val="00056F25"/>
  </w:style>
  <w:style w:type="character" w:styleId="TextodenotaderodapChar" w:customStyle="1">
    <w:name w:val="Texto de nota de rodapé Char"/>
    <w:basedOn w:val="Fontepargpadro"/>
    <w:link w:val="Textodenotaderodap"/>
    <w:uiPriority w:val="99"/>
    <w:rsid w:val="00056F25"/>
    <w:rPr>
      <w:rFonts w:ascii="Times New Roman" w:hAnsi="Times New Roman" w:eastAsia="Times New Roman" w:cs="Times New Roman"/>
      <w:sz w:val="20"/>
      <w:szCs w:val="20"/>
      <w:lang w:eastAsia="pt-BR"/>
    </w:rPr>
  </w:style>
  <w:style w:type="character" w:styleId="Refdenotaderodap">
    <w:name w:val="footnote reference"/>
    <w:basedOn w:val="Fontepargpadro"/>
    <w:uiPriority w:val="99"/>
    <w:semiHidden/>
    <w:unhideWhenUsed/>
    <w:rsid w:val="00056F25"/>
    <w:rPr>
      <w:vertAlign w:val="superscript"/>
    </w:rPr>
  </w:style>
  <w:style w:type="paragraph" w:styleId="Legenda">
    <w:name w:val="caption"/>
    <w:basedOn w:val="Normal"/>
    <w:next w:val="Normal"/>
    <w:uiPriority w:val="35"/>
    <w:unhideWhenUsed/>
    <w:qFormat/>
    <w:rsid w:val="00056F25"/>
    <w:pPr>
      <w:spacing w:after="200"/>
    </w:pPr>
    <w:rPr>
      <w:b/>
      <w:bCs/>
      <w:color w:val="4F81BD" w:themeColor="accent1"/>
      <w:sz w:val="18"/>
      <w:szCs w:val="18"/>
    </w:rPr>
  </w:style>
  <w:style w:type="paragraph" w:styleId="Sumrio1">
    <w:name w:val="toc 1"/>
    <w:basedOn w:val="Normal"/>
    <w:next w:val="Normal"/>
    <w:autoRedefine/>
    <w:uiPriority w:val="39"/>
    <w:unhideWhenUsed/>
    <w:rsid w:val="00657856"/>
    <w:pPr>
      <w:tabs>
        <w:tab w:val="right" w:leader="dot" w:pos="9346"/>
      </w:tabs>
      <w:spacing w:after="100"/>
      <w:jc w:val="both"/>
    </w:pPr>
  </w:style>
  <w:style w:type="paragraph" w:styleId="Sumrio2">
    <w:name w:val="toc 2"/>
    <w:basedOn w:val="Normal"/>
    <w:next w:val="Normal"/>
    <w:autoRedefine/>
    <w:uiPriority w:val="39"/>
    <w:unhideWhenUsed/>
    <w:rsid w:val="00056F25"/>
    <w:pPr>
      <w:spacing w:after="100"/>
      <w:ind w:left="200"/>
    </w:pPr>
  </w:style>
  <w:style w:type="paragraph" w:styleId="Sumrio3">
    <w:name w:val="toc 3"/>
    <w:basedOn w:val="Normal"/>
    <w:next w:val="Normal"/>
    <w:autoRedefine/>
    <w:uiPriority w:val="39"/>
    <w:unhideWhenUsed/>
    <w:rsid w:val="00056F25"/>
    <w:pPr>
      <w:spacing w:after="100"/>
      <w:ind w:left="400"/>
    </w:pPr>
  </w:style>
  <w:style w:type="character" w:styleId="Hyperlink">
    <w:name w:val="Hyperlink"/>
    <w:basedOn w:val="Fontepargpadro"/>
    <w:uiPriority w:val="99"/>
    <w:unhideWhenUsed/>
    <w:rsid w:val="00056F25"/>
    <w:rPr>
      <w:color w:val="0000FF" w:themeColor="hyperlink"/>
      <w:u w:val="single"/>
    </w:rPr>
  </w:style>
  <w:style w:type="paragraph" w:styleId="NormalWeb">
    <w:name w:val="Normal (Web)"/>
    <w:basedOn w:val="Normal"/>
    <w:uiPriority w:val="99"/>
    <w:unhideWhenUsed/>
    <w:rsid w:val="00D75906"/>
    <w:pPr>
      <w:spacing w:before="100" w:beforeAutospacing="1" w:after="100" w:afterAutospacing="1"/>
    </w:pPr>
    <w:rPr>
      <w:sz w:val="24"/>
      <w:szCs w:val="24"/>
    </w:rPr>
  </w:style>
  <w:style w:type="paragraph" w:styleId="PargrafodaLista">
    <w:name w:val="List Paragraph"/>
    <w:basedOn w:val="Normal"/>
    <w:uiPriority w:val="34"/>
    <w:qFormat/>
    <w:rsid w:val="00D75906"/>
    <w:pPr>
      <w:ind w:left="720"/>
      <w:contextualSpacing/>
    </w:pPr>
  </w:style>
  <w:style w:type="character" w:styleId="Forte">
    <w:name w:val="Strong"/>
    <w:uiPriority w:val="22"/>
    <w:qFormat/>
    <w:rsid w:val="00D75906"/>
    <w:rPr>
      <w:b/>
      <w:bCs/>
    </w:rPr>
  </w:style>
  <w:style w:type="character" w:styleId="nfase">
    <w:name w:val="Emphasis"/>
    <w:uiPriority w:val="20"/>
    <w:qFormat/>
    <w:rsid w:val="00702249"/>
    <w:rPr>
      <w:i/>
      <w:iCs/>
    </w:rPr>
  </w:style>
  <w:style w:type="paragraph" w:styleId="Cabealho">
    <w:name w:val="header"/>
    <w:basedOn w:val="Normal"/>
    <w:link w:val="CabealhoChar"/>
    <w:uiPriority w:val="99"/>
    <w:unhideWhenUsed/>
    <w:rsid w:val="00AF0A8E"/>
    <w:pPr>
      <w:tabs>
        <w:tab w:val="center" w:pos="4252"/>
        <w:tab w:val="right" w:pos="8504"/>
      </w:tabs>
    </w:pPr>
  </w:style>
  <w:style w:type="character" w:styleId="CabealhoChar" w:customStyle="1">
    <w:name w:val="Cabeçalho Char"/>
    <w:basedOn w:val="Fontepargpadro"/>
    <w:link w:val="Cabealho"/>
    <w:uiPriority w:val="99"/>
    <w:rsid w:val="00AF0A8E"/>
    <w:rPr>
      <w:rFonts w:ascii="Times New Roman" w:hAnsi="Times New Roman" w:eastAsia="Times New Roman" w:cs="Times New Roman"/>
      <w:sz w:val="20"/>
      <w:szCs w:val="20"/>
      <w:lang w:eastAsia="pt-BR"/>
    </w:rPr>
  </w:style>
  <w:style w:type="paragraph" w:styleId="Rodap">
    <w:name w:val="footer"/>
    <w:basedOn w:val="Normal"/>
    <w:link w:val="RodapChar"/>
    <w:uiPriority w:val="99"/>
    <w:unhideWhenUsed/>
    <w:rsid w:val="00AF0A8E"/>
    <w:pPr>
      <w:tabs>
        <w:tab w:val="center" w:pos="4252"/>
        <w:tab w:val="right" w:pos="8504"/>
      </w:tabs>
    </w:pPr>
  </w:style>
  <w:style w:type="character" w:styleId="RodapChar" w:customStyle="1">
    <w:name w:val="Rodapé Char"/>
    <w:basedOn w:val="Fontepargpadro"/>
    <w:link w:val="Rodap"/>
    <w:uiPriority w:val="99"/>
    <w:rsid w:val="00AF0A8E"/>
    <w:rPr>
      <w:rFonts w:ascii="Times New Roman" w:hAnsi="Times New Roman" w:eastAsia="Times New Roman" w:cs="Times New Roman"/>
      <w:sz w:val="20"/>
      <w:szCs w:val="20"/>
      <w:lang w:eastAsia="pt-BR"/>
    </w:rPr>
  </w:style>
  <w:style w:type="table" w:styleId="Tabelacomgrade">
    <w:name w:val="Table Grid"/>
    <w:basedOn w:val="Tabelanormal"/>
    <w:uiPriority w:val="39"/>
    <w:rsid w:val="002A3AE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nstrucoes" w:customStyle="1">
    <w:name w:val="instrucoes"/>
    <w:basedOn w:val="Normal"/>
    <w:rsid w:val="00E03CD0"/>
    <w:pPr>
      <w:numPr>
        <w:numId w:val="1"/>
      </w:numPr>
      <w:spacing w:after="120"/>
      <w:jc w:val="both"/>
    </w:pPr>
    <w:rPr>
      <w:sz w:val="24"/>
      <w:szCs w:val="24"/>
    </w:rPr>
  </w:style>
  <w:style w:type="character" w:styleId="Refdecomentrio">
    <w:name w:val="annotation reference"/>
    <w:basedOn w:val="Fontepargpadro"/>
    <w:uiPriority w:val="99"/>
    <w:semiHidden/>
    <w:unhideWhenUsed/>
    <w:rsid w:val="00CC0362"/>
    <w:rPr>
      <w:sz w:val="16"/>
      <w:szCs w:val="16"/>
    </w:rPr>
  </w:style>
  <w:style w:type="paragraph" w:styleId="Textodecomentrio">
    <w:name w:val="annotation text"/>
    <w:basedOn w:val="Normal"/>
    <w:link w:val="TextodecomentrioChar"/>
    <w:uiPriority w:val="99"/>
    <w:unhideWhenUsed/>
    <w:rsid w:val="00CC0362"/>
  </w:style>
  <w:style w:type="character" w:styleId="TextodecomentrioChar" w:customStyle="1">
    <w:name w:val="Texto de comentário Char"/>
    <w:basedOn w:val="Fontepargpadro"/>
    <w:link w:val="Textodecomentrio"/>
    <w:uiPriority w:val="99"/>
    <w:rsid w:val="00CC0362"/>
    <w:rPr>
      <w:rFonts w:ascii="Times New Roman" w:hAnsi="Times New Roman" w:eastAsia="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CC0362"/>
    <w:rPr>
      <w:b/>
      <w:bCs/>
    </w:rPr>
  </w:style>
  <w:style w:type="character" w:styleId="AssuntodocomentrioChar" w:customStyle="1">
    <w:name w:val="Assunto do comentário Char"/>
    <w:basedOn w:val="TextodecomentrioChar"/>
    <w:link w:val="Assuntodocomentrio"/>
    <w:uiPriority w:val="99"/>
    <w:semiHidden/>
    <w:rsid w:val="00CC0362"/>
    <w:rPr>
      <w:rFonts w:ascii="Times New Roman" w:hAnsi="Times New Roman" w:eastAsia="Times New Roman" w:cs="Times New Roman"/>
      <w:b/>
      <w:bCs/>
      <w:sz w:val="20"/>
      <w:szCs w:val="20"/>
      <w:lang w:eastAsia="pt-BR"/>
    </w:rPr>
  </w:style>
  <w:style w:type="character" w:styleId="Nmerodepgina">
    <w:name w:val="page number"/>
    <w:basedOn w:val="Fontepargpadro"/>
    <w:semiHidden/>
    <w:unhideWhenUsed/>
    <w:rsid w:val="00256D06"/>
  </w:style>
  <w:style w:type="character" w:styleId="Ttulo4Char" w:customStyle="1">
    <w:name w:val="Título 4 Char"/>
    <w:basedOn w:val="Fontepargpadro"/>
    <w:link w:val="Ttulo4"/>
    <w:uiPriority w:val="9"/>
    <w:semiHidden/>
    <w:rsid w:val="008D1BF9"/>
    <w:rPr>
      <w:rFonts w:asciiTheme="majorHAnsi" w:hAnsiTheme="majorHAnsi" w:eastAsiaTheme="majorEastAsia" w:cstheme="majorBidi"/>
      <w:b/>
      <w:bCs/>
      <w:i/>
      <w:iCs/>
      <w:color w:val="4F81BD" w:themeColor="accent1"/>
      <w:lang w:val="en-US"/>
    </w:rPr>
  </w:style>
  <w:style w:type="character" w:styleId="Ttulo5Char" w:customStyle="1">
    <w:name w:val="Título 5 Char"/>
    <w:basedOn w:val="Fontepargpadro"/>
    <w:link w:val="Ttulo5"/>
    <w:uiPriority w:val="9"/>
    <w:semiHidden/>
    <w:rsid w:val="008D1BF9"/>
    <w:rPr>
      <w:rFonts w:asciiTheme="majorHAnsi" w:hAnsiTheme="majorHAnsi" w:eastAsiaTheme="majorEastAsia" w:cstheme="majorBidi"/>
      <w:color w:val="243F60" w:themeColor="accent1" w:themeShade="7F"/>
      <w:lang w:val="en-US"/>
    </w:rPr>
  </w:style>
  <w:style w:type="character" w:styleId="Ttulo6Char" w:customStyle="1">
    <w:name w:val="Título 6 Char"/>
    <w:basedOn w:val="Fontepargpadro"/>
    <w:link w:val="Ttulo6"/>
    <w:uiPriority w:val="9"/>
    <w:semiHidden/>
    <w:rsid w:val="008D1BF9"/>
    <w:rPr>
      <w:rFonts w:asciiTheme="majorHAnsi" w:hAnsiTheme="majorHAnsi" w:eastAsiaTheme="majorEastAsia" w:cstheme="majorBidi"/>
      <w:i/>
      <w:iCs/>
      <w:color w:val="243F60" w:themeColor="accent1" w:themeShade="7F"/>
      <w:lang w:val="en-US"/>
    </w:rPr>
  </w:style>
  <w:style w:type="character" w:styleId="Ttulo7Char" w:customStyle="1">
    <w:name w:val="Título 7 Char"/>
    <w:basedOn w:val="Fontepargpadro"/>
    <w:link w:val="Ttulo7"/>
    <w:uiPriority w:val="9"/>
    <w:semiHidden/>
    <w:rsid w:val="008D1BF9"/>
    <w:rPr>
      <w:rFonts w:asciiTheme="majorHAnsi" w:hAnsiTheme="majorHAnsi" w:eastAsiaTheme="majorEastAsia" w:cstheme="majorBidi"/>
      <w:i/>
      <w:iCs/>
      <w:color w:val="404040" w:themeColor="text1" w:themeTint="BF"/>
      <w:lang w:val="en-US"/>
    </w:rPr>
  </w:style>
  <w:style w:type="character" w:styleId="Ttulo8Char" w:customStyle="1">
    <w:name w:val="Título 8 Char"/>
    <w:basedOn w:val="Fontepargpadro"/>
    <w:link w:val="Ttulo8"/>
    <w:uiPriority w:val="9"/>
    <w:semiHidden/>
    <w:rsid w:val="008D1BF9"/>
    <w:rPr>
      <w:rFonts w:asciiTheme="majorHAnsi" w:hAnsiTheme="majorHAnsi" w:eastAsiaTheme="majorEastAsia" w:cstheme="majorBidi"/>
      <w:color w:val="4F81BD" w:themeColor="accent1"/>
      <w:sz w:val="20"/>
      <w:szCs w:val="20"/>
      <w:lang w:val="en-US"/>
    </w:rPr>
  </w:style>
  <w:style w:type="character" w:styleId="Ttulo9Char" w:customStyle="1">
    <w:name w:val="Título 9 Char"/>
    <w:basedOn w:val="Fontepargpadro"/>
    <w:link w:val="Ttulo9"/>
    <w:uiPriority w:val="9"/>
    <w:semiHidden/>
    <w:rsid w:val="008D1BF9"/>
    <w:rPr>
      <w:rFonts w:asciiTheme="majorHAnsi" w:hAnsiTheme="majorHAnsi" w:eastAsiaTheme="majorEastAsia" w:cstheme="majorBidi"/>
      <w:i/>
      <w:iCs/>
      <w:color w:val="404040" w:themeColor="text1" w:themeTint="BF"/>
      <w:sz w:val="20"/>
      <w:szCs w:val="20"/>
      <w:lang w:val="en-US"/>
    </w:rPr>
  </w:style>
  <w:style w:type="paragraph" w:styleId="SemEspaamento">
    <w:name w:val="No Spacing"/>
    <w:uiPriority w:val="1"/>
    <w:qFormat/>
    <w:rsid w:val="008D1BF9"/>
    <w:pPr>
      <w:spacing w:after="0" w:line="240" w:lineRule="auto"/>
    </w:pPr>
    <w:rPr>
      <w:rFonts w:eastAsiaTheme="minorEastAsia"/>
      <w:lang w:val="en-US"/>
    </w:rPr>
  </w:style>
  <w:style w:type="paragraph" w:styleId="Corpodetexto">
    <w:name w:val="Body Text"/>
    <w:basedOn w:val="Normal"/>
    <w:link w:val="CorpodetextoChar"/>
    <w:uiPriority w:val="99"/>
    <w:unhideWhenUsed/>
    <w:rsid w:val="008D1BF9"/>
    <w:pPr>
      <w:spacing w:after="120" w:line="276" w:lineRule="auto"/>
    </w:pPr>
    <w:rPr>
      <w:rFonts w:asciiTheme="minorHAnsi" w:hAnsiTheme="minorHAnsi" w:eastAsiaTheme="minorEastAsia" w:cstheme="minorBidi"/>
      <w:szCs w:val="22"/>
      <w:lang w:val="en-US" w:eastAsia="en-US"/>
    </w:rPr>
  </w:style>
  <w:style w:type="character" w:styleId="CorpodetextoChar" w:customStyle="1">
    <w:name w:val="Corpo de texto Char"/>
    <w:basedOn w:val="Fontepargpadro"/>
    <w:link w:val="Corpodetexto"/>
    <w:uiPriority w:val="99"/>
    <w:rsid w:val="008D1BF9"/>
    <w:rPr>
      <w:rFonts w:eastAsiaTheme="minorEastAsia"/>
      <w:lang w:val="en-US"/>
    </w:rPr>
  </w:style>
  <w:style w:type="paragraph" w:styleId="Corpodetexto2">
    <w:name w:val="Body Text 2"/>
    <w:basedOn w:val="Normal"/>
    <w:link w:val="Corpodetexto2Char"/>
    <w:uiPriority w:val="99"/>
    <w:unhideWhenUsed/>
    <w:rsid w:val="008D1BF9"/>
    <w:pPr>
      <w:spacing w:after="120" w:line="480" w:lineRule="auto"/>
    </w:pPr>
    <w:rPr>
      <w:rFonts w:asciiTheme="minorHAnsi" w:hAnsiTheme="minorHAnsi" w:eastAsiaTheme="minorEastAsia" w:cstheme="minorBidi"/>
      <w:szCs w:val="22"/>
      <w:lang w:val="en-US" w:eastAsia="en-US"/>
    </w:rPr>
  </w:style>
  <w:style w:type="character" w:styleId="Corpodetexto2Char" w:customStyle="1">
    <w:name w:val="Corpo de texto 2 Char"/>
    <w:basedOn w:val="Fontepargpadro"/>
    <w:link w:val="Corpodetexto2"/>
    <w:uiPriority w:val="99"/>
    <w:rsid w:val="008D1BF9"/>
    <w:rPr>
      <w:rFonts w:eastAsiaTheme="minorEastAsia"/>
      <w:lang w:val="en-US"/>
    </w:rPr>
  </w:style>
  <w:style w:type="paragraph" w:styleId="Corpodetexto3">
    <w:name w:val="Body Text 3"/>
    <w:basedOn w:val="Normal"/>
    <w:link w:val="Corpodetexto3Char"/>
    <w:uiPriority w:val="99"/>
    <w:unhideWhenUsed/>
    <w:rsid w:val="008D1BF9"/>
    <w:pPr>
      <w:spacing w:after="120" w:line="276" w:lineRule="auto"/>
    </w:pPr>
    <w:rPr>
      <w:rFonts w:asciiTheme="minorHAnsi" w:hAnsiTheme="minorHAnsi" w:eastAsiaTheme="minorEastAsia" w:cstheme="minorBidi"/>
      <w:sz w:val="16"/>
      <w:szCs w:val="16"/>
      <w:lang w:val="en-US" w:eastAsia="en-US"/>
    </w:rPr>
  </w:style>
  <w:style w:type="character" w:styleId="Corpodetexto3Char" w:customStyle="1">
    <w:name w:val="Corpo de texto 3 Char"/>
    <w:basedOn w:val="Fontepargpadro"/>
    <w:link w:val="Corpodetexto3"/>
    <w:uiPriority w:val="99"/>
    <w:rsid w:val="008D1BF9"/>
    <w:rPr>
      <w:rFonts w:eastAsiaTheme="minorEastAsia"/>
      <w:sz w:val="16"/>
      <w:szCs w:val="16"/>
      <w:lang w:val="en-US"/>
    </w:rPr>
  </w:style>
  <w:style w:type="paragraph" w:styleId="Lista">
    <w:name w:val="List"/>
    <w:basedOn w:val="Normal"/>
    <w:uiPriority w:val="99"/>
    <w:unhideWhenUsed/>
    <w:rsid w:val="008D1BF9"/>
    <w:pPr>
      <w:spacing w:after="200" w:line="276" w:lineRule="auto"/>
      <w:ind w:left="360" w:hanging="360"/>
      <w:contextualSpacing/>
    </w:pPr>
    <w:rPr>
      <w:rFonts w:asciiTheme="minorHAnsi" w:hAnsiTheme="minorHAnsi" w:eastAsiaTheme="minorEastAsia" w:cstheme="minorBidi"/>
      <w:szCs w:val="22"/>
      <w:lang w:val="en-US" w:eastAsia="en-US"/>
    </w:rPr>
  </w:style>
  <w:style w:type="paragraph" w:styleId="Lista2">
    <w:name w:val="List 2"/>
    <w:basedOn w:val="Normal"/>
    <w:uiPriority w:val="99"/>
    <w:unhideWhenUsed/>
    <w:rsid w:val="008D1BF9"/>
    <w:pPr>
      <w:spacing w:after="200" w:line="276" w:lineRule="auto"/>
      <w:ind w:left="720" w:hanging="360"/>
      <w:contextualSpacing/>
    </w:pPr>
    <w:rPr>
      <w:rFonts w:asciiTheme="minorHAnsi" w:hAnsiTheme="minorHAnsi" w:eastAsiaTheme="minorEastAsia" w:cstheme="minorBidi"/>
      <w:szCs w:val="22"/>
      <w:lang w:val="en-US" w:eastAsia="en-US"/>
    </w:rPr>
  </w:style>
  <w:style w:type="paragraph" w:styleId="Lista3">
    <w:name w:val="List 3"/>
    <w:basedOn w:val="Normal"/>
    <w:uiPriority w:val="99"/>
    <w:unhideWhenUsed/>
    <w:rsid w:val="008D1BF9"/>
    <w:pPr>
      <w:spacing w:after="200" w:line="276" w:lineRule="auto"/>
      <w:ind w:left="1080" w:hanging="360"/>
      <w:contextualSpacing/>
    </w:pPr>
    <w:rPr>
      <w:rFonts w:asciiTheme="minorHAnsi" w:hAnsiTheme="minorHAnsi" w:eastAsiaTheme="minorEastAsia" w:cstheme="minorBidi"/>
      <w:szCs w:val="22"/>
      <w:lang w:val="en-US" w:eastAsia="en-US"/>
    </w:rPr>
  </w:style>
  <w:style w:type="paragraph" w:styleId="Commarcadores">
    <w:name w:val="List Bullet"/>
    <w:basedOn w:val="Normal"/>
    <w:uiPriority w:val="99"/>
    <w:unhideWhenUsed/>
    <w:rsid w:val="008D1BF9"/>
    <w:pPr>
      <w:numPr>
        <w:numId w:val="2"/>
      </w:numPr>
      <w:spacing w:after="200" w:line="276" w:lineRule="auto"/>
      <w:contextualSpacing/>
    </w:pPr>
    <w:rPr>
      <w:rFonts w:asciiTheme="minorHAnsi" w:hAnsiTheme="minorHAnsi" w:eastAsiaTheme="minorEastAsia" w:cstheme="minorBidi"/>
      <w:szCs w:val="22"/>
      <w:lang w:val="en-US" w:eastAsia="en-US"/>
    </w:rPr>
  </w:style>
  <w:style w:type="paragraph" w:styleId="Commarcadores2">
    <w:name w:val="List Bullet 2"/>
    <w:basedOn w:val="Normal"/>
    <w:uiPriority w:val="99"/>
    <w:unhideWhenUsed/>
    <w:rsid w:val="008D1BF9"/>
    <w:pPr>
      <w:numPr>
        <w:numId w:val="3"/>
      </w:numPr>
      <w:spacing w:after="200" w:line="276" w:lineRule="auto"/>
      <w:contextualSpacing/>
    </w:pPr>
    <w:rPr>
      <w:rFonts w:asciiTheme="minorHAnsi" w:hAnsiTheme="minorHAnsi" w:eastAsiaTheme="minorEastAsia" w:cstheme="minorBidi"/>
      <w:szCs w:val="22"/>
      <w:lang w:val="en-US" w:eastAsia="en-US"/>
    </w:rPr>
  </w:style>
  <w:style w:type="paragraph" w:styleId="Commarcadores3">
    <w:name w:val="List Bullet 3"/>
    <w:basedOn w:val="Normal"/>
    <w:uiPriority w:val="99"/>
    <w:unhideWhenUsed/>
    <w:rsid w:val="008D1BF9"/>
    <w:pPr>
      <w:numPr>
        <w:numId w:val="4"/>
      </w:numPr>
      <w:spacing w:after="200" w:line="276" w:lineRule="auto"/>
      <w:contextualSpacing/>
    </w:pPr>
    <w:rPr>
      <w:rFonts w:asciiTheme="minorHAnsi" w:hAnsiTheme="minorHAnsi" w:eastAsiaTheme="minorEastAsia" w:cstheme="minorBidi"/>
      <w:szCs w:val="22"/>
      <w:lang w:val="en-US" w:eastAsia="en-US"/>
    </w:rPr>
  </w:style>
  <w:style w:type="paragraph" w:styleId="Numerada">
    <w:name w:val="List Number"/>
    <w:basedOn w:val="Normal"/>
    <w:uiPriority w:val="99"/>
    <w:unhideWhenUsed/>
    <w:rsid w:val="008D1BF9"/>
    <w:pPr>
      <w:numPr>
        <w:numId w:val="5"/>
      </w:numPr>
      <w:spacing w:after="200" w:line="276" w:lineRule="auto"/>
      <w:contextualSpacing/>
    </w:pPr>
    <w:rPr>
      <w:rFonts w:asciiTheme="minorHAnsi" w:hAnsiTheme="minorHAnsi" w:eastAsiaTheme="minorEastAsia" w:cstheme="minorBidi"/>
      <w:szCs w:val="22"/>
      <w:lang w:val="en-US" w:eastAsia="en-US"/>
    </w:rPr>
  </w:style>
  <w:style w:type="paragraph" w:styleId="Numerada2">
    <w:name w:val="List Number 2"/>
    <w:basedOn w:val="Normal"/>
    <w:uiPriority w:val="99"/>
    <w:unhideWhenUsed/>
    <w:rsid w:val="008D1BF9"/>
    <w:pPr>
      <w:numPr>
        <w:numId w:val="6"/>
      </w:numPr>
      <w:spacing w:after="200" w:line="276" w:lineRule="auto"/>
      <w:contextualSpacing/>
    </w:pPr>
    <w:rPr>
      <w:rFonts w:asciiTheme="minorHAnsi" w:hAnsiTheme="minorHAnsi" w:eastAsiaTheme="minorEastAsia" w:cstheme="minorBidi"/>
      <w:szCs w:val="22"/>
      <w:lang w:val="en-US" w:eastAsia="en-US"/>
    </w:rPr>
  </w:style>
  <w:style w:type="paragraph" w:styleId="Numerada3">
    <w:name w:val="List Number 3"/>
    <w:basedOn w:val="Normal"/>
    <w:uiPriority w:val="99"/>
    <w:unhideWhenUsed/>
    <w:rsid w:val="008D1BF9"/>
    <w:pPr>
      <w:numPr>
        <w:numId w:val="7"/>
      </w:numPr>
      <w:spacing w:after="200" w:line="276" w:lineRule="auto"/>
      <w:contextualSpacing/>
    </w:pPr>
    <w:rPr>
      <w:rFonts w:asciiTheme="minorHAnsi" w:hAnsiTheme="minorHAnsi" w:eastAsiaTheme="minorEastAsia" w:cstheme="minorBidi"/>
      <w:szCs w:val="22"/>
      <w:lang w:val="en-US" w:eastAsia="en-US"/>
    </w:rPr>
  </w:style>
  <w:style w:type="paragraph" w:styleId="Listadecontinuao">
    <w:name w:val="List Continue"/>
    <w:basedOn w:val="Normal"/>
    <w:uiPriority w:val="99"/>
    <w:unhideWhenUsed/>
    <w:rsid w:val="008D1BF9"/>
    <w:pPr>
      <w:spacing w:after="120" w:line="276" w:lineRule="auto"/>
      <w:ind w:left="360"/>
      <w:contextualSpacing/>
    </w:pPr>
    <w:rPr>
      <w:rFonts w:asciiTheme="minorHAnsi" w:hAnsiTheme="minorHAnsi" w:eastAsiaTheme="minorEastAsia" w:cstheme="minorBidi"/>
      <w:szCs w:val="22"/>
      <w:lang w:val="en-US" w:eastAsia="en-US"/>
    </w:rPr>
  </w:style>
  <w:style w:type="paragraph" w:styleId="Listadecontinuao2">
    <w:name w:val="List Continue 2"/>
    <w:basedOn w:val="Normal"/>
    <w:uiPriority w:val="99"/>
    <w:unhideWhenUsed/>
    <w:rsid w:val="008D1BF9"/>
    <w:pPr>
      <w:spacing w:after="120" w:line="276" w:lineRule="auto"/>
      <w:ind w:left="720"/>
      <w:contextualSpacing/>
    </w:pPr>
    <w:rPr>
      <w:rFonts w:asciiTheme="minorHAnsi" w:hAnsiTheme="minorHAnsi" w:eastAsiaTheme="minorEastAsia" w:cstheme="minorBidi"/>
      <w:szCs w:val="22"/>
      <w:lang w:val="en-US" w:eastAsia="en-US"/>
    </w:rPr>
  </w:style>
  <w:style w:type="paragraph" w:styleId="Listadecontinuao3">
    <w:name w:val="List Continue 3"/>
    <w:basedOn w:val="Normal"/>
    <w:uiPriority w:val="99"/>
    <w:unhideWhenUsed/>
    <w:rsid w:val="008D1BF9"/>
    <w:pPr>
      <w:spacing w:after="120" w:line="276" w:lineRule="auto"/>
      <w:ind w:left="1080"/>
      <w:contextualSpacing/>
    </w:pPr>
    <w:rPr>
      <w:rFonts w:asciiTheme="minorHAnsi" w:hAnsiTheme="minorHAnsi" w:eastAsiaTheme="minorEastAsia" w:cstheme="minorBidi"/>
      <w:szCs w:val="22"/>
      <w:lang w:val="en-US" w:eastAsia="en-US"/>
    </w:rPr>
  </w:style>
  <w:style w:type="paragraph" w:styleId="Textodemacro">
    <w:name w:val="macro"/>
    <w:link w:val="TextodemacroChar"/>
    <w:uiPriority w:val="99"/>
    <w:unhideWhenUsed/>
    <w:rsid w:val="008D1BF9"/>
    <w:pPr>
      <w:tabs>
        <w:tab w:val="left" w:pos="576"/>
        <w:tab w:val="left" w:pos="1152"/>
        <w:tab w:val="left" w:pos="1728"/>
        <w:tab w:val="left" w:pos="2304"/>
        <w:tab w:val="left" w:pos="2880"/>
        <w:tab w:val="left" w:pos="3456"/>
        <w:tab w:val="left" w:pos="4032"/>
      </w:tabs>
    </w:pPr>
    <w:rPr>
      <w:rFonts w:ascii="Courier" w:hAnsi="Courier" w:eastAsiaTheme="minorEastAsia"/>
      <w:sz w:val="20"/>
      <w:szCs w:val="20"/>
      <w:lang w:val="en-US"/>
    </w:rPr>
  </w:style>
  <w:style w:type="character" w:styleId="TextodemacroChar" w:customStyle="1">
    <w:name w:val="Texto de macro Char"/>
    <w:basedOn w:val="Fontepargpadro"/>
    <w:link w:val="Textodemacro"/>
    <w:uiPriority w:val="99"/>
    <w:rsid w:val="008D1BF9"/>
    <w:rPr>
      <w:rFonts w:ascii="Courier" w:hAnsi="Courier" w:eastAsiaTheme="minorEastAsia"/>
      <w:sz w:val="20"/>
      <w:szCs w:val="20"/>
      <w:lang w:val="en-US"/>
    </w:rPr>
  </w:style>
  <w:style w:type="paragraph" w:styleId="Citao">
    <w:name w:val="Quote"/>
    <w:basedOn w:val="Normal"/>
    <w:next w:val="Normal"/>
    <w:link w:val="CitaoChar"/>
    <w:uiPriority w:val="29"/>
    <w:qFormat/>
    <w:rsid w:val="008D1BF9"/>
    <w:pPr>
      <w:spacing w:after="200" w:line="276" w:lineRule="auto"/>
    </w:pPr>
    <w:rPr>
      <w:rFonts w:asciiTheme="minorHAnsi" w:hAnsiTheme="minorHAnsi" w:eastAsiaTheme="minorEastAsia" w:cstheme="minorBidi"/>
      <w:i/>
      <w:iCs/>
      <w:color w:val="000000" w:themeColor="text1"/>
      <w:szCs w:val="22"/>
      <w:lang w:val="en-US" w:eastAsia="en-US"/>
    </w:rPr>
  </w:style>
  <w:style w:type="character" w:styleId="CitaoChar" w:customStyle="1">
    <w:name w:val="Citação Char"/>
    <w:basedOn w:val="Fontepargpadro"/>
    <w:link w:val="Citao"/>
    <w:uiPriority w:val="29"/>
    <w:rsid w:val="008D1BF9"/>
    <w:rPr>
      <w:rFonts w:eastAsiaTheme="minorEastAsia"/>
      <w:i/>
      <w:iCs/>
      <w:color w:val="000000" w:themeColor="text1"/>
      <w:lang w:val="en-US"/>
    </w:rPr>
  </w:style>
  <w:style w:type="paragraph" w:styleId="CitaoIntensa">
    <w:name w:val="Intense Quote"/>
    <w:basedOn w:val="Normal"/>
    <w:next w:val="Normal"/>
    <w:link w:val="CitaoIntensaChar"/>
    <w:uiPriority w:val="30"/>
    <w:qFormat/>
    <w:rsid w:val="008D1BF9"/>
    <w:pPr>
      <w:pBdr>
        <w:bottom w:val="single" w:color="4F81BD" w:themeColor="accent1" w:sz="4" w:space="4"/>
      </w:pBdr>
      <w:spacing w:before="200" w:after="280" w:line="276" w:lineRule="auto"/>
      <w:ind w:left="936" w:right="936"/>
    </w:pPr>
    <w:rPr>
      <w:rFonts w:asciiTheme="minorHAnsi" w:hAnsiTheme="minorHAnsi" w:eastAsiaTheme="minorEastAsia" w:cstheme="minorBidi"/>
      <w:b/>
      <w:bCs/>
      <w:i/>
      <w:iCs/>
      <w:color w:val="4F81BD" w:themeColor="accent1"/>
      <w:szCs w:val="22"/>
      <w:lang w:val="en-US" w:eastAsia="en-US"/>
    </w:rPr>
  </w:style>
  <w:style w:type="character" w:styleId="CitaoIntensaChar" w:customStyle="1">
    <w:name w:val="Citação Intensa Char"/>
    <w:basedOn w:val="Fontepargpadro"/>
    <w:link w:val="CitaoIntensa"/>
    <w:uiPriority w:val="30"/>
    <w:rsid w:val="008D1BF9"/>
    <w:rPr>
      <w:rFonts w:eastAsiaTheme="minorEastAsia"/>
      <w:b/>
      <w:bCs/>
      <w:i/>
      <w:iCs/>
      <w:color w:val="4F81BD" w:themeColor="accent1"/>
      <w:lang w:val="en-US"/>
    </w:rPr>
  </w:style>
  <w:style w:type="character" w:styleId="nfaseSutil">
    <w:name w:val="Subtle Emphasis"/>
    <w:basedOn w:val="Fontepargpadro"/>
    <w:uiPriority w:val="19"/>
    <w:qFormat/>
    <w:rsid w:val="008D1BF9"/>
    <w:rPr>
      <w:i/>
      <w:iCs/>
      <w:color w:val="808080" w:themeColor="text1" w:themeTint="7F"/>
    </w:rPr>
  </w:style>
  <w:style w:type="character" w:styleId="nfaseIntensa">
    <w:name w:val="Intense Emphasis"/>
    <w:basedOn w:val="Fontepargpadro"/>
    <w:uiPriority w:val="21"/>
    <w:qFormat/>
    <w:rsid w:val="008D1BF9"/>
    <w:rPr>
      <w:b/>
      <w:bCs/>
      <w:i/>
      <w:iCs/>
      <w:color w:val="4F81BD" w:themeColor="accent1"/>
    </w:rPr>
  </w:style>
  <w:style w:type="character" w:styleId="RefernciaSutil">
    <w:name w:val="Subtle Reference"/>
    <w:basedOn w:val="Fontepargpadro"/>
    <w:uiPriority w:val="31"/>
    <w:qFormat/>
    <w:rsid w:val="008D1BF9"/>
    <w:rPr>
      <w:smallCaps/>
      <w:color w:val="C0504D" w:themeColor="accent2"/>
      <w:u w:val="single"/>
    </w:rPr>
  </w:style>
  <w:style w:type="character" w:styleId="RefernciaIntensa">
    <w:name w:val="Intense Reference"/>
    <w:basedOn w:val="Fontepargpadro"/>
    <w:uiPriority w:val="32"/>
    <w:qFormat/>
    <w:rsid w:val="008D1BF9"/>
    <w:rPr>
      <w:b/>
      <w:bCs/>
      <w:smallCaps/>
      <w:color w:val="C0504D" w:themeColor="accent2"/>
      <w:spacing w:val="5"/>
      <w:u w:val="single"/>
    </w:rPr>
  </w:style>
  <w:style w:type="character" w:styleId="TtulodoLivro">
    <w:name w:val="Book Title"/>
    <w:basedOn w:val="Fontepargpadro"/>
    <w:uiPriority w:val="33"/>
    <w:qFormat/>
    <w:rsid w:val="008D1BF9"/>
    <w:rPr>
      <w:b/>
      <w:bCs/>
      <w:smallCaps/>
      <w:spacing w:val="5"/>
    </w:rPr>
  </w:style>
  <w:style w:type="paragraph" w:styleId="CabealhodoSumrio">
    <w:name w:val="TOC Heading"/>
    <w:basedOn w:val="Ttulo1"/>
    <w:next w:val="Normal"/>
    <w:uiPriority w:val="39"/>
    <w:unhideWhenUsed/>
    <w:qFormat/>
    <w:rsid w:val="008D1BF9"/>
    <w:pPr>
      <w:spacing w:line="276" w:lineRule="auto"/>
      <w:outlineLvl w:val="9"/>
    </w:pPr>
    <w:rPr>
      <w:lang w:val="en-US" w:eastAsia="en-US"/>
    </w:rPr>
  </w:style>
  <w:style w:type="table" w:styleId="SombreamentoClaro">
    <w:name w:val="Light Shading"/>
    <w:basedOn w:val="Tabelanormal"/>
    <w:uiPriority w:val="60"/>
    <w:rsid w:val="008D1BF9"/>
    <w:pPr>
      <w:spacing w:after="0" w:line="240" w:lineRule="auto"/>
    </w:pPr>
    <w:rPr>
      <w:rFonts w:eastAsiaTheme="minorEastAsia"/>
      <w:color w:val="000000" w:themeColor="text1" w:themeShade="BF"/>
      <w:lang w:val="en-US"/>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8D1BF9"/>
    <w:pPr>
      <w:spacing w:after="0" w:line="240" w:lineRule="auto"/>
    </w:pPr>
    <w:rPr>
      <w:rFonts w:eastAsiaTheme="minorEastAsia"/>
      <w:color w:val="365F91" w:themeColor="accent1" w:themeShade="BF"/>
      <w:lang w:val="en-US"/>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8D1BF9"/>
    <w:pPr>
      <w:spacing w:after="0" w:line="240" w:lineRule="auto"/>
    </w:pPr>
    <w:rPr>
      <w:rFonts w:eastAsiaTheme="minorEastAsia"/>
      <w:color w:val="943634" w:themeColor="accent2" w:themeShade="BF"/>
      <w:lang w:val="en-US"/>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8D1BF9"/>
    <w:pPr>
      <w:spacing w:after="0" w:line="240" w:lineRule="auto"/>
    </w:pPr>
    <w:rPr>
      <w:rFonts w:eastAsiaTheme="minorEastAsia"/>
      <w:color w:val="76923C" w:themeColor="accent3" w:themeShade="BF"/>
      <w:lang w:val="en-US"/>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8D1BF9"/>
    <w:pPr>
      <w:spacing w:after="0" w:line="240" w:lineRule="auto"/>
    </w:pPr>
    <w:rPr>
      <w:rFonts w:eastAsiaTheme="minorEastAsia"/>
      <w:color w:val="5F497A" w:themeColor="accent4" w:themeShade="BF"/>
      <w:lang w:val="en-US"/>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8D1BF9"/>
    <w:pPr>
      <w:spacing w:after="0" w:line="240" w:lineRule="auto"/>
    </w:pPr>
    <w:rPr>
      <w:rFonts w:eastAsiaTheme="minorEastAsia"/>
      <w:color w:val="31849B" w:themeColor="accent5" w:themeShade="BF"/>
      <w:lang w:val="en-US"/>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8D1BF9"/>
    <w:pPr>
      <w:spacing w:after="0" w:line="240" w:lineRule="auto"/>
    </w:pPr>
    <w:rPr>
      <w:rFonts w:eastAsiaTheme="minorEastAsia"/>
      <w:color w:val="E36C0A" w:themeColor="accent6" w:themeShade="BF"/>
      <w:lang w:val="en-US"/>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8D1BF9"/>
    <w:pPr>
      <w:spacing w:after="0" w:line="240" w:lineRule="auto"/>
    </w:pPr>
    <w:rPr>
      <w:rFonts w:eastAsiaTheme="minorEastAsia"/>
      <w:lang w:val="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8D1BF9"/>
    <w:pPr>
      <w:spacing w:after="0" w:line="240" w:lineRule="auto"/>
    </w:pPr>
    <w:rPr>
      <w:rFonts w:eastAsiaTheme="minorEastAsia"/>
      <w:lang w:val="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8D1BF9"/>
    <w:pPr>
      <w:spacing w:after="0" w:line="240" w:lineRule="auto"/>
    </w:pPr>
    <w:rPr>
      <w:rFonts w:eastAsiaTheme="minorEastAsia"/>
      <w:lang w:val="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8D1BF9"/>
    <w:pPr>
      <w:spacing w:after="0" w:line="240" w:lineRule="auto"/>
    </w:pPr>
    <w:rPr>
      <w:rFonts w:eastAsiaTheme="minorEastAsia"/>
      <w:lang w:val="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8D1BF9"/>
    <w:pPr>
      <w:spacing w:after="0" w:line="240" w:lineRule="auto"/>
    </w:pPr>
    <w:rPr>
      <w:rFonts w:eastAsiaTheme="minorEastAsia"/>
      <w:lang w:val="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8D1BF9"/>
    <w:pPr>
      <w:spacing w:after="0" w:line="240" w:lineRule="auto"/>
    </w:pPr>
    <w:rPr>
      <w:rFonts w:eastAsiaTheme="minorEastAsia"/>
      <w:lang w:val="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8D1BF9"/>
    <w:pPr>
      <w:spacing w:after="0" w:line="240" w:lineRule="auto"/>
    </w:pPr>
    <w:rPr>
      <w:rFonts w:eastAsiaTheme="minorEastAsia"/>
      <w:lang w:val="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8D1BF9"/>
    <w:pPr>
      <w:spacing w:after="0" w:line="240" w:lineRule="auto"/>
    </w:pPr>
    <w:rPr>
      <w:rFonts w:eastAsiaTheme="minorEastAsia"/>
      <w:lang w:val="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8D1BF9"/>
    <w:pPr>
      <w:spacing w:after="0" w:line="240" w:lineRule="auto"/>
    </w:pPr>
    <w:rPr>
      <w:rFonts w:eastAsiaTheme="minorEastAsia"/>
      <w:lang w:val="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8D1BF9"/>
    <w:pPr>
      <w:spacing w:after="0" w:line="240" w:lineRule="auto"/>
    </w:pPr>
    <w:rPr>
      <w:rFonts w:eastAsiaTheme="minorEastAsia"/>
      <w:lang w:val="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8D1BF9"/>
    <w:pPr>
      <w:spacing w:after="0" w:line="240" w:lineRule="auto"/>
    </w:pPr>
    <w:rPr>
      <w:rFonts w:eastAsiaTheme="minorEastAsia"/>
      <w:lang w:val="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8D1BF9"/>
    <w:pPr>
      <w:spacing w:after="0" w:line="240" w:lineRule="auto"/>
    </w:pPr>
    <w:rPr>
      <w:rFonts w:eastAsiaTheme="minorEastAsia"/>
      <w:lang w:val="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8D1BF9"/>
    <w:pPr>
      <w:spacing w:after="0" w:line="240" w:lineRule="auto"/>
    </w:pPr>
    <w:rPr>
      <w:rFonts w:eastAsiaTheme="minorEastAsia"/>
      <w:lang w:val="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8D1BF9"/>
    <w:pPr>
      <w:spacing w:after="0" w:line="240" w:lineRule="auto"/>
    </w:pPr>
    <w:rPr>
      <w:rFonts w:eastAsiaTheme="minorEastAsia"/>
      <w:lang w:val="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8D1BF9"/>
    <w:pPr>
      <w:spacing w:after="0" w:line="240" w:lineRule="auto"/>
    </w:pPr>
    <w:rPr>
      <w:rFonts w:eastAsiaTheme="minorEastAsia"/>
      <w:lang w:val="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8D1BF9"/>
    <w:pPr>
      <w:spacing w:after="0" w:line="240" w:lineRule="auto"/>
    </w:pPr>
    <w:rPr>
      <w:rFonts w:eastAsiaTheme="minorEastAsia"/>
      <w:lang w:val="en-US"/>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8D1BF9"/>
    <w:pPr>
      <w:spacing w:after="0" w:line="240" w:lineRule="auto"/>
    </w:pPr>
    <w:rPr>
      <w:rFonts w:eastAsiaTheme="minorEastAsia"/>
      <w:lang w:val="en-US"/>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8D1BF9"/>
    <w:pPr>
      <w:spacing w:after="0" w:line="240" w:lineRule="auto"/>
    </w:pPr>
    <w:rPr>
      <w:rFonts w:eastAsiaTheme="minorEastAsia"/>
      <w:lang w:val="en-US"/>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8D1BF9"/>
    <w:pPr>
      <w:spacing w:after="0" w:line="240" w:lineRule="auto"/>
    </w:pPr>
    <w:rPr>
      <w:rFonts w:eastAsiaTheme="minorEastAsia"/>
      <w:lang w:val="en-US"/>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8D1BF9"/>
    <w:pPr>
      <w:spacing w:after="0" w:line="240" w:lineRule="auto"/>
    </w:pPr>
    <w:rPr>
      <w:rFonts w:eastAsiaTheme="minorEastAsia"/>
      <w:lang w:val="en-US"/>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8D1BF9"/>
    <w:pPr>
      <w:spacing w:after="0" w:line="240" w:lineRule="auto"/>
    </w:pPr>
    <w:rPr>
      <w:rFonts w:eastAsiaTheme="minorEastAsia"/>
      <w:lang w:val="en-US"/>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8D1BF9"/>
    <w:pPr>
      <w:spacing w:after="0" w:line="240" w:lineRule="auto"/>
    </w:pPr>
    <w:rPr>
      <w:rFonts w:eastAsiaTheme="minorEastAsia"/>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8D1BF9"/>
    <w:pPr>
      <w:spacing w:after="0" w:line="240" w:lineRule="auto"/>
    </w:pPr>
    <w:rPr>
      <w:rFonts w:eastAsiaTheme="minorEastAsia"/>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8D1BF9"/>
    <w:pPr>
      <w:spacing w:after="0" w:line="240" w:lineRule="auto"/>
    </w:pPr>
    <w:rPr>
      <w:rFonts w:eastAsiaTheme="minorEastAsia"/>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8D1BF9"/>
    <w:pPr>
      <w:spacing w:after="0" w:line="240" w:lineRule="auto"/>
    </w:pPr>
    <w:rPr>
      <w:rFonts w:eastAsiaTheme="minorEastAsia"/>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8D1BF9"/>
    <w:pPr>
      <w:spacing w:after="0" w:line="240" w:lineRule="auto"/>
    </w:pPr>
    <w:rPr>
      <w:rFonts w:eastAsiaTheme="minorEastAsia"/>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8D1BF9"/>
    <w:pPr>
      <w:spacing w:after="0" w:line="240" w:lineRule="auto"/>
    </w:pPr>
    <w:rPr>
      <w:rFonts w:eastAsiaTheme="minorEastAsia"/>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8D1BF9"/>
    <w:pPr>
      <w:spacing w:after="0" w:line="240" w:lineRule="auto"/>
    </w:pPr>
    <w:rPr>
      <w:rFonts w:eastAsiaTheme="minorEastAsia"/>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8D1BF9"/>
    <w:pPr>
      <w:spacing w:after="0" w:line="240" w:lineRule="auto"/>
    </w:pPr>
    <w:rPr>
      <w:rFonts w:eastAsiaTheme="minorEastAsia"/>
      <w:color w:val="000000" w:themeColor="text1"/>
      <w:lang w:val="en-US"/>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8D1BF9"/>
    <w:pPr>
      <w:spacing w:after="0" w:line="240" w:lineRule="auto"/>
    </w:pPr>
    <w:rPr>
      <w:rFonts w:eastAsiaTheme="minorEastAsia"/>
      <w:color w:val="000000" w:themeColor="text1"/>
      <w:lang w:val="en-US"/>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8D1BF9"/>
    <w:pPr>
      <w:spacing w:after="0" w:line="240" w:lineRule="auto"/>
    </w:pPr>
    <w:rPr>
      <w:rFonts w:eastAsiaTheme="minorEastAsia"/>
      <w:color w:val="000000" w:themeColor="text1"/>
      <w:lang w:val="en-US"/>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8D1BF9"/>
    <w:pPr>
      <w:spacing w:after="0" w:line="240" w:lineRule="auto"/>
    </w:pPr>
    <w:rPr>
      <w:rFonts w:eastAsiaTheme="minorEastAsia"/>
      <w:color w:val="000000" w:themeColor="text1"/>
      <w:lang w:val="en-US"/>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8D1BF9"/>
    <w:pPr>
      <w:spacing w:after="0" w:line="240" w:lineRule="auto"/>
    </w:pPr>
    <w:rPr>
      <w:rFonts w:eastAsiaTheme="minorEastAsia"/>
      <w:color w:val="000000" w:themeColor="text1"/>
      <w:lang w:val="en-US"/>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8D1BF9"/>
    <w:pPr>
      <w:spacing w:after="0" w:line="240" w:lineRule="auto"/>
    </w:pPr>
    <w:rPr>
      <w:rFonts w:eastAsiaTheme="minorEastAsia"/>
      <w:color w:val="000000" w:themeColor="text1"/>
      <w:lang w:val="en-US"/>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8D1BF9"/>
    <w:pPr>
      <w:spacing w:after="0" w:line="240" w:lineRule="auto"/>
    </w:pPr>
    <w:rPr>
      <w:rFonts w:eastAsiaTheme="minorEastAsia"/>
      <w:color w:val="000000" w:themeColor="text1"/>
      <w:lang w:val="en-US"/>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8D1BF9"/>
    <w:pPr>
      <w:spacing w:after="0" w:line="240" w:lineRule="auto"/>
    </w:pPr>
    <w:rPr>
      <w:rFonts w:asciiTheme="majorHAnsi" w:hAnsiTheme="majorHAnsi" w:eastAsiaTheme="majorEastAsia" w:cstheme="majorBidi"/>
      <w:color w:val="000000" w:themeColor="text1"/>
      <w:lang w:val="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8D1BF9"/>
    <w:pPr>
      <w:spacing w:after="0" w:line="240" w:lineRule="auto"/>
    </w:pPr>
    <w:rPr>
      <w:rFonts w:asciiTheme="majorHAnsi" w:hAnsiTheme="majorHAnsi" w:eastAsiaTheme="majorEastAsia" w:cstheme="majorBidi"/>
      <w:color w:val="000000" w:themeColor="text1"/>
      <w:lang w:val="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8D1BF9"/>
    <w:pPr>
      <w:spacing w:after="0" w:line="240" w:lineRule="auto"/>
    </w:pPr>
    <w:rPr>
      <w:rFonts w:asciiTheme="majorHAnsi" w:hAnsiTheme="majorHAnsi" w:eastAsiaTheme="majorEastAsia" w:cstheme="majorBidi"/>
      <w:color w:val="000000" w:themeColor="text1"/>
      <w:lang w:val="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8D1BF9"/>
    <w:pPr>
      <w:spacing w:after="0" w:line="240" w:lineRule="auto"/>
    </w:pPr>
    <w:rPr>
      <w:rFonts w:asciiTheme="majorHAnsi" w:hAnsiTheme="majorHAnsi" w:eastAsiaTheme="majorEastAsia" w:cstheme="majorBidi"/>
      <w:color w:val="000000" w:themeColor="text1"/>
      <w:lang w:val="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8D1BF9"/>
    <w:pPr>
      <w:spacing w:after="0" w:line="240" w:lineRule="auto"/>
    </w:pPr>
    <w:rPr>
      <w:rFonts w:asciiTheme="majorHAnsi" w:hAnsiTheme="majorHAnsi" w:eastAsiaTheme="majorEastAsia" w:cstheme="majorBidi"/>
      <w:color w:val="000000" w:themeColor="text1"/>
      <w:lang w:val="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8D1BF9"/>
    <w:pPr>
      <w:spacing w:after="0" w:line="240" w:lineRule="auto"/>
    </w:pPr>
    <w:rPr>
      <w:rFonts w:asciiTheme="majorHAnsi" w:hAnsiTheme="majorHAnsi" w:eastAsiaTheme="majorEastAsia" w:cstheme="majorBidi"/>
      <w:color w:val="000000" w:themeColor="text1"/>
      <w:lang w:val="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8D1BF9"/>
    <w:pPr>
      <w:spacing w:after="0" w:line="240" w:lineRule="auto"/>
    </w:pPr>
    <w:rPr>
      <w:rFonts w:asciiTheme="majorHAnsi" w:hAnsiTheme="majorHAnsi" w:eastAsiaTheme="majorEastAsia" w:cstheme="majorBidi"/>
      <w:color w:val="000000" w:themeColor="text1"/>
      <w:lang w:val="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8D1BF9"/>
    <w:pPr>
      <w:spacing w:after="0" w:line="240" w:lineRule="auto"/>
    </w:pPr>
    <w:rPr>
      <w:rFonts w:eastAsiaTheme="minorEastAsia"/>
      <w:lang w:val="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8D1BF9"/>
    <w:pPr>
      <w:spacing w:after="0" w:line="240" w:lineRule="auto"/>
    </w:pPr>
    <w:rPr>
      <w:rFonts w:eastAsiaTheme="minorEastAsia"/>
      <w:lang w:val="en-US"/>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8D1BF9"/>
    <w:pPr>
      <w:spacing w:after="0" w:line="240" w:lineRule="auto"/>
    </w:pPr>
    <w:rPr>
      <w:rFonts w:eastAsiaTheme="minorEastAsia"/>
      <w:lang w:val="en-US"/>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8D1BF9"/>
    <w:pPr>
      <w:spacing w:after="0" w:line="240" w:lineRule="auto"/>
    </w:pPr>
    <w:rPr>
      <w:rFonts w:eastAsiaTheme="minorEastAsia"/>
      <w:lang w:val="en-US"/>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8D1BF9"/>
    <w:pPr>
      <w:spacing w:after="0" w:line="240" w:lineRule="auto"/>
    </w:pPr>
    <w:rPr>
      <w:rFonts w:eastAsiaTheme="minorEastAsia"/>
      <w:lang w:val="en-US"/>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8D1BF9"/>
    <w:pPr>
      <w:spacing w:after="0" w:line="240" w:lineRule="auto"/>
    </w:pPr>
    <w:rPr>
      <w:rFonts w:eastAsiaTheme="minorEastAsia"/>
      <w:lang w:val="en-US"/>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8D1BF9"/>
    <w:pPr>
      <w:spacing w:after="0" w:line="240" w:lineRule="auto"/>
    </w:pPr>
    <w:rPr>
      <w:rFonts w:eastAsiaTheme="minorEastAsia"/>
      <w:lang w:val="en-US"/>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8D1BF9"/>
    <w:pPr>
      <w:spacing w:after="0" w:line="240" w:lineRule="auto"/>
    </w:pPr>
    <w:rPr>
      <w:rFonts w:asciiTheme="majorHAnsi" w:hAnsiTheme="majorHAnsi" w:eastAsiaTheme="majorEastAsia" w:cstheme="majorBidi"/>
      <w:color w:val="000000" w:themeColor="text1"/>
      <w:lang w:val="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8D1BF9"/>
    <w:pPr>
      <w:spacing w:after="0" w:line="240" w:lineRule="auto"/>
    </w:pPr>
    <w:rPr>
      <w:rFonts w:asciiTheme="majorHAnsi" w:hAnsiTheme="majorHAnsi" w:eastAsiaTheme="majorEastAsia" w:cstheme="majorBidi"/>
      <w:color w:val="000000" w:themeColor="text1"/>
      <w:lang w:val="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8D1BF9"/>
    <w:pPr>
      <w:spacing w:after="0" w:line="240" w:lineRule="auto"/>
    </w:pPr>
    <w:rPr>
      <w:rFonts w:asciiTheme="majorHAnsi" w:hAnsiTheme="majorHAnsi" w:eastAsiaTheme="majorEastAsia" w:cstheme="majorBidi"/>
      <w:color w:val="000000" w:themeColor="text1"/>
      <w:lang w:val="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8D1BF9"/>
    <w:pPr>
      <w:spacing w:after="0" w:line="240" w:lineRule="auto"/>
    </w:pPr>
    <w:rPr>
      <w:rFonts w:asciiTheme="majorHAnsi" w:hAnsiTheme="majorHAnsi" w:eastAsiaTheme="majorEastAsia" w:cstheme="majorBidi"/>
      <w:color w:val="000000" w:themeColor="text1"/>
      <w:lang w:val="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8D1BF9"/>
    <w:pPr>
      <w:spacing w:after="0" w:line="240" w:lineRule="auto"/>
    </w:pPr>
    <w:rPr>
      <w:rFonts w:asciiTheme="majorHAnsi" w:hAnsiTheme="majorHAnsi" w:eastAsiaTheme="majorEastAsia" w:cstheme="majorBidi"/>
      <w:color w:val="000000" w:themeColor="text1"/>
      <w:lang w:val="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8D1BF9"/>
    <w:pPr>
      <w:spacing w:after="0" w:line="240" w:lineRule="auto"/>
    </w:pPr>
    <w:rPr>
      <w:rFonts w:asciiTheme="majorHAnsi" w:hAnsiTheme="majorHAnsi" w:eastAsiaTheme="majorEastAsia" w:cstheme="majorBidi"/>
      <w:color w:val="000000" w:themeColor="text1"/>
      <w:lang w:val="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8D1BF9"/>
    <w:pPr>
      <w:spacing w:after="0" w:line="240" w:lineRule="auto"/>
    </w:pPr>
    <w:rPr>
      <w:rFonts w:asciiTheme="majorHAnsi" w:hAnsiTheme="majorHAnsi" w:eastAsiaTheme="majorEastAsia" w:cstheme="majorBidi"/>
      <w:color w:val="000000" w:themeColor="text1"/>
      <w:lang w:val="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8D1BF9"/>
    <w:pPr>
      <w:spacing w:after="0" w:line="240" w:lineRule="auto"/>
    </w:pPr>
    <w:rPr>
      <w:rFonts w:eastAsiaTheme="minorEastAsia"/>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8D1BF9"/>
    <w:pPr>
      <w:spacing w:after="0" w:line="240" w:lineRule="auto"/>
    </w:pPr>
    <w:rPr>
      <w:rFonts w:eastAsiaTheme="minorEastAsia"/>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8D1BF9"/>
    <w:pPr>
      <w:spacing w:after="0" w:line="240" w:lineRule="auto"/>
    </w:pPr>
    <w:rPr>
      <w:rFonts w:eastAsiaTheme="minorEastAsia"/>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8D1BF9"/>
    <w:pPr>
      <w:spacing w:after="0" w:line="240" w:lineRule="auto"/>
    </w:pPr>
    <w:rPr>
      <w:rFonts w:eastAsiaTheme="minorEastAsia"/>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8D1BF9"/>
    <w:pPr>
      <w:spacing w:after="0" w:line="240" w:lineRule="auto"/>
    </w:pPr>
    <w:rPr>
      <w:rFonts w:eastAsiaTheme="minorEastAsia"/>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8D1BF9"/>
    <w:pPr>
      <w:spacing w:after="0" w:line="240" w:lineRule="auto"/>
    </w:pPr>
    <w:rPr>
      <w:rFonts w:eastAsiaTheme="minorEastAsia"/>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8D1BF9"/>
    <w:pPr>
      <w:spacing w:after="0" w:line="240" w:lineRule="auto"/>
    </w:pPr>
    <w:rPr>
      <w:rFonts w:eastAsiaTheme="minorEastAsia"/>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8D1BF9"/>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8D1BF9"/>
    <w:pPr>
      <w:spacing w:after="0" w:line="240" w:lineRule="auto"/>
    </w:pPr>
    <w:rPr>
      <w:rFonts w:eastAsiaTheme="minorEastAsia"/>
      <w:color w:val="FFFFFF" w:themeColor="background1"/>
      <w:lang w:val="en-US"/>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8D1BF9"/>
    <w:pPr>
      <w:spacing w:after="0" w:line="240" w:lineRule="auto"/>
    </w:pPr>
    <w:rPr>
      <w:rFonts w:eastAsiaTheme="minorEastAsia"/>
      <w:color w:val="FFFFFF" w:themeColor="background1"/>
      <w:lang w:val="en-US"/>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8D1BF9"/>
    <w:pPr>
      <w:spacing w:after="0" w:line="240" w:lineRule="auto"/>
    </w:pPr>
    <w:rPr>
      <w:rFonts w:eastAsiaTheme="minorEastAsia"/>
      <w:color w:val="FFFFFF" w:themeColor="background1"/>
      <w:lang w:val="en-US"/>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8D1BF9"/>
    <w:pPr>
      <w:spacing w:after="0" w:line="240" w:lineRule="auto"/>
    </w:pPr>
    <w:rPr>
      <w:rFonts w:eastAsiaTheme="minorEastAsia"/>
      <w:color w:val="FFFFFF" w:themeColor="background1"/>
      <w:lang w:val="en-US"/>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8D1BF9"/>
    <w:pPr>
      <w:spacing w:after="0" w:line="240" w:lineRule="auto"/>
    </w:pPr>
    <w:rPr>
      <w:rFonts w:eastAsiaTheme="minorEastAsia"/>
      <w:color w:val="FFFFFF" w:themeColor="background1"/>
      <w:lang w:val="en-US"/>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8D1BF9"/>
    <w:pPr>
      <w:spacing w:after="0" w:line="240" w:lineRule="auto"/>
    </w:pPr>
    <w:rPr>
      <w:rFonts w:eastAsiaTheme="minorEastAsia"/>
      <w:color w:val="FFFFFF" w:themeColor="background1"/>
      <w:lang w:val="en-US"/>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8D1BF9"/>
    <w:pPr>
      <w:spacing w:after="0" w:line="240" w:lineRule="auto"/>
    </w:pPr>
    <w:rPr>
      <w:rFonts w:eastAsiaTheme="minorEastAsia"/>
      <w:color w:val="000000" w:themeColor="text1"/>
      <w:lang w:val="en-US"/>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8D1BF9"/>
    <w:pPr>
      <w:spacing w:after="0" w:line="240" w:lineRule="auto"/>
    </w:pPr>
    <w:rPr>
      <w:rFonts w:eastAsiaTheme="minorEastAsia"/>
      <w:color w:val="000000" w:themeColor="text1"/>
      <w:lang w:val="en-US"/>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8D1BF9"/>
    <w:pPr>
      <w:spacing w:after="0" w:line="240" w:lineRule="auto"/>
    </w:pPr>
    <w:rPr>
      <w:rFonts w:eastAsiaTheme="minorEastAsia"/>
      <w:color w:val="000000" w:themeColor="text1"/>
      <w:lang w:val="en-US"/>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8D1BF9"/>
    <w:pPr>
      <w:spacing w:after="0" w:line="240" w:lineRule="auto"/>
    </w:pPr>
    <w:rPr>
      <w:rFonts w:eastAsiaTheme="minorEastAsia"/>
      <w:color w:val="000000" w:themeColor="text1"/>
      <w:lang w:val="en-US"/>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8D1BF9"/>
    <w:pPr>
      <w:spacing w:after="0" w:line="240" w:lineRule="auto"/>
    </w:pPr>
    <w:rPr>
      <w:rFonts w:eastAsiaTheme="minorEastAsia"/>
      <w:color w:val="000000" w:themeColor="text1"/>
      <w:lang w:val="en-US"/>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8D1BF9"/>
    <w:pPr>
      <w:spacing w:after="0" w:line="240" w:lineRule="auto"/>
    </w:pPr>
    <w:rPr>
      <w:rFonts w:eastAsiaTheme="minorEastAsia"/>
      <w:color w:val="000000" w:themeColor="text1"/>
      <w:lang w:val="en-US"/>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8D1BF9"/>
    <w:pPr>
      <w:spacing w:after="0" w:line="240" w:lineRule="auto"/>
    </w:pPr>
    <w:rPr>
      <w:rFonts w:eastAsiaTheme="minorEastAsia"/>
      <w:color w:val="000000" w:themeColor="text1"/>
      <w:lang w:val="en-US"/>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8D1BF9"/>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8D1BF9"/>
    <w:pPr>
      <w:spacing w:after="0" w:line="240" w:lineRule="auto"/>
    </w:pPr>
    <w:rPr>
      <w:rFonts w:eastAsiaTheme="minorEastAsia"/>
      <w:color w:val="000000" w:themeColor="text1"/>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8D1BF9"/>
    <w:pPr>
      <w:spacing w:after="0" w:line="240" w:lineRule="auto"/>
    </w:pPr>
    <w:rPr>
      <w:rFonts w:eastAsiaTheme="minorEastAsia"/>
      <w:color w:val="000000" w:themeColor="text1"/>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8D1BF9"/>
    <w:pPr>
      <w:spacing w:after="0" w:line="240" w:lineRule="auto"/>
    </w:pPr>
    <w:rPr>
      <w:rFonts w:eastAsiaTheme="minorEastAsia"/>
      <w:color w:val="000000" w:themeColor="text1"/>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8D1BF9"/>
    <w:pPr>
      <w:spacing w:after="0" w:line="240" w:lineRule="auto"/>
    </w:pPr>
    <w:rPr>
      <w:rFonts w:eastAsiaTheme="minorEastAsia"/>
      <w:color w:val="000000" w:themeColor="text1"/>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8D1BF9"/>
    <w:pPr>
      <w:spacing w:after="0" w:line="240" w:lineRule="auto"/>
    </w:pPr>
    <w:rPr>
      <w:rFonts w:eastAsiaTheme="minorEastAsia"/>
      <w:color w:val="000000" w:themeColor="text1"/>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8D1BF9"/>
    <w:pPr>
      <w:spacing w:after="0" w:line="240" w:lineRule="auto"/>
    </w:pPr>
    <w:rPr>
      <w:rFonts w:eastAsiaTheme="minorEastAsia"/>
      <w:color w:val="000000" w:themeColor="text1"/>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8D1BF9"/>
    <w:pPr>
      <w:spacing w:after="0" w:line="240" w:lineRule="auto"/>
    </w:pPr>
    <w:rPr>
      <w:rFonts w:eastAsiaTheme="minorEastAsia"/>
      <w:color w:val="000000" w:themeColor="text1"/>
      <w:lang w:val="en-US"/>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8D1BF9"/>
    <w:pPr>
      <w:spacing w:after="0" w:line="240" w:lineRule="auto"/>
    </w:pPr>
    <w:rPr>
      <w:rFonts w:eastAsiaTheme="minorEastAsia"/>
      <w:color w:val="000000" w:themeColor="text1"/>
      <w:lang w:val="en-US"/>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8D1BF9"/>
    <w:pPr>
      <w:spacing w:after="0" w:line="240" w:lineRule="auto"/>
    </w:pPr>
    <w:rPr>
      <w:rFonts w:eastAsiaTheme="minorEastAsia"/>
      <w:color w:val="000000" w:themeColor="text1"/>
      <w:lang w:val="en-US"/>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8D1BF9"/>
    <w:pPr>
      <w:spacing w:after="0" w:line="240" w:lineRule="auto"/>
    </w:pPr>
    <w:rPr>
      <w:rFonts w:eastAsiaTheme="minorEastAsia"/>
      <w:color w:val="000000" w:themeColor="text1"/>
      <w:lang w:val="en-US"/>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8D1BF9"/>
    <w:pPr>
      <w:spacing w:after="0" w:line="240" w:lineRule="auto"/>
    </w:pPr>
    <w:rPr>
      <w:rFonts w:eastAsiaTheme="minorEastAsia"/>
      <w:color w:val="000000" w:themeColor="text1"/>
      <w:lang w:val="en-US"/>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8D1BF9"/>
    <w:pPr>
      <w:spacing w:after="0" w:line="240" w:lineRule="auto"/>
    </w:pPr>
    <w:rPr>
      <w:rFonts w:eastAsiaTheme="minorEastAsia"/>
      <w:color w:val="000000" w:themeColor="text1"/>
      <w:lang w:val="en-US"/>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8D1BF9"/>
    <w:pPr>
      <w:spacing w:after="0" w:line="240" w:lineRule="auto"/>
    </w:pPr>
    <w:rPr>
      <w:rFonts w:eastAsiaTheme="minorEastAsia"/>
      <w:color w:val="000000" w:themeColor="text1"/>
      <w:lang w:val="en-US"/>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aragrafo" w:customStyle="1">
    <w:name w:val="paragrafo"/>
    <w:rsid w:val="008D1BF9"/>
    <w:pPr>
      <w:ind w:firstLine="360"/>
      <w:jc w:val="both"/>
    </w:pPr>
    <w:rPr>
      <w:rFonts w:ascii="Arial" w:hAnsi="Arial" w:eastAsiaTheme="minorEastAsia"/>
      <w:lang w:val="en-US"/>
    </w:rPr>
  </w:style>
  <w:style w:type="paragraph" w:styleId="legenda0" w:customStyle="1">
    <w:name w:val="legenda"/>
    <w:rsid w:val="008D1BF9"/>
    <w:pPr>
      <w:jc w:val="center"/>
    </w:pPr>
    <w:rPr>
      <w:rFonts w:ascii="Arial" w:hAnsi="Arial" w:eastAsiaTheme="minorEastAsia"/>
      <w:sz w:val="16"/>
      <w:lang w:val="en-US"/>
    </w:rPr>
  </w:style>
  <w:style w:type="paragraph" w:styleId="topico" w:customStyle="1">
    <w:name w:val="topico"/>
    <w:rsid w:val="008D1BF9"/>
    <w:rPr>
      <w:rFonts w:ascii="Calibri Light" w:hAnsi="Calibri Light" w:eastAsiaTheme="minorEastAsia"/>
      <w:color w:val="4F81BD" w:themeColor="accent1"/>
      <w:sz w:val="32"/>
      <w:lang w:val="en-US"/>
    </w:rPr>
  </w:style>
  <w:style w:type="paragraph" w:styleId="Reviso">
    <w:name w:val="Revision"/>
    <w:hidden/>
    <w:uiPriority w:val="99"/>
    <w:semiHidden/>
    <w:rsid w:val="00D72053"/>
    <w:pPr>
      <w:spacing w:after="0" w:line="240" w:lineRule="auto"/>
    </w:pPr>
    <w:rPr>
      <w:rFonts w:ascii="Times New Roman" w:hAnsi="Times New Roman" w:eastAsia="Times New Roman" w:cs="Times New Roman"/>
      <w:sz w:val="20"/>
      <w:szCs w:val="20"/>
      <w:lang w:eastAsia="pt-BR"/>
    </w:rPr>
  </w:style>
  <w:style w:type="paragraph" w:styleId="artigo" w:customStyle="1">
    <w:name w:val="artigo"/>
    <w:basedOn w:val="Normal"/>
    <w:rsid w:val="00E278AA"/>
    <w:pPr>
      <w:spacing w:before="100" w:beforeAutospacing="1" w:after="100" w:afterAutospacing="1"/>
    </w:pPr>
    <w:rPr>
      <w:sz w:val="24"/>
      <w:szCs w:val="24"/>
    </w:rPr>
  </w:style>
  <w:style w:type="character" w:styleId="MenoPendente">
    <w:name w:val="Unresolved Mention"/>
    <w:basedOn w:val="Fontepargpadro"/>
    <w:uiPriority w:val="99"/>
    <w:semiHidden/>
    <w:unhideWhenUsed/>
    <w:rsid w:val="00FA15F0"/>
    <w:rPr>
      <w:color w:val="605E5C"/>
      <w:shd w:val="clear" w:color="auto" w:fill="E1DFDD"/>
    </w:rPr>
  </w:style>
  <w:style w:type="character" w:styleId="eop" w:customStyle="1">
    <w:name w:val="eop"/>
    <w:basedOn w:val="Fontepargpadro"/>
    <w:rsid w:val="00FF3061"/>
  </w:style>
  <w:style w:type="character" w:styleId="normaltextrun" w:customStyle="1">
    <w:name w:val="normaltextrun"/>
    <w:basedOn w:val="Fontepargpadro"/>
    <w:rsid w:val="00DA3871"/>
  </w:style>
  <w:style w:type="paragraph" w:styleId="Default" w:customStyle="1">
    <w:name w:val="Default"/>
    <w:rsid w:val="00A0510A"/>
    <w:pPr>
      <w:autoSpaceDE w:val="0"/>
      <w:autoSpaceDN w:val="0"/>
      <w:adjustRightInd w:val="0"/>
      <w:spacing w:after="0" w:line="240" w:lineRule="auto"/>
    </w:pPr>
    <w:rPr>
      <w:rFonts w:ascii="Calibri" w:hAnsi="Calibri" w:cs="Calibri"/>
      <w:color w:val="000000"/>
      <w:sz w:val="24"/>
      <w:szCs w:val="24"/>
    </w:rPr>
  </w:style>
  <w:style w:type="character" w:styleId="HiperlinkVisitado">
    <w:name w:val="FollowedHyperlink"/>
    <w:basedOn w:val="Fontepargpadro"/>
    <w:uiPriority w:val="99"/>
    <w:semiHidden/>
    <w:unhideWhenUsed/>
    <w:rsid w:val="003E7A2E"/>
    <w:rPr>
      <w:color w:val="800080" w:themeColor="followedHyperlink"/>
      <w:u w:val="single"/>
    </w:rPr>
  </w:style>
  <w:style w:type="paragraph" w:styleId="Pr-formataoHTML">
    <w:name w:val="HTML Preformatted"/>
    <w:basedOn w:val="Normal"/>
    <w:link w:val="Pr-formataoHTMLChar"/>
    <w:uiPriority w:val="99"/>
    <w:unhideWhenUsed/>
    <w:rsid w:val="00720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styleId="Pr-formataoHTMLChar" w:customStyle="1">
    <w:name w:val="Pré-formatação HTML Char"/>
    <w:basedOn w:val="Fontepargpadro"/>
    <w:link w:val="Pr-formataoHTML"/>
    <w:uiPriority w:val="99"/>
    <w:rsid w:val="007201D6"/>
    <w:rPr>
      <w:rFonts w:ascii="Courier New" w:hAnsi="Courier New" w:eastAsia="Times New Roman" w:cs="Courier New"/>
      <w:sz w:val="20"/>
      <w:szCs w:val="20"/>
      <w:lang w:eastAsia="pt-BR"/>
    </w:rPr>
  </w:style>
  <w:style w:type="paragraph" w:styleId="Sumrio4">
    <w:name w:val="toc 4"/>
    <w:basedOn w:val="Normal"/>
    <w:next w:val="Normal"/>
    <w:autoRedefine/>
    <w:uiPriority w:val="39"/>
    <w:unhideWhenUsed/>
    <w:rsid w:val="00CA56D7"/>
    <w:pPr>
      <w:spacing w:after="100" w:line="259" w:lineRule="auto"/>
      <w:ind w:left="660"/>
    </w:pPr>
    <w:rPr>
      <w:rFonts w:asciiTheme="minorHAnsi" w:hAnsiTheme="minorHAnsi" w:eastAsiaTheme="minorEastAsia" w:cstheme="minorBidi"/>
      <w:szCs w:val="22"/>
    </w:rPr>
  </w:style>
  <w:style w:type="paragraph" w:styleId="Sumrio5">
    <w:name w:val="toc 5"/>
    <w:basedOn w:val="Normal"/>
    <w:next w:val="Normal"/>
    <w:autoRedefine/>
    <w:uiPriority w:val="39"/>
    <w:unhideWhenUsed/>
    <w:rsid w:val="00CA56D7"/>
    <w:pPr>
      <w:spacing w:after="100" w:line="259" w:lineRule="auto"/>
      <w:ind w:left="880"/>
    </w:pPr>
    <w:rPr>
      <w:rFonts w:asciiTheme="minorHAnsi" w:hAnsiTheme="minorHAnsi" w:eastAsiaTheme="minorEastAsia" w:cstheme="minorBidi"/>
      <w:szCs w:val="22"/>
    </w:rPr>
  </w:style>
  <w:style w:type="paragraph" w:styleId="Sumrio6">
    <w:name w:val="toc 6"/>
    <w:basedOn w:val="Normal"/>
    <w:next w:val="Normal"/>
    <w:autoRedefine/>
    <w:uiPriority w:val="39"/>
    <w:unhideWhenUsed/>
    <w:rsid w:val="00CA56D7"/>
    <w:pPr>
      <w:spacing w:after="100" w:line="259" w:lineRule="auto"/>
      <w:ind w:left="1100"/>
    </w:pPr>
    <w:rPr>
      <w:rFonts w:asciiTheme="minorHAnsi" w:hAnsiTheme="minorHAnsi" w:eastAsiaTheme="minorEastAsia" w:cstheme="minorBidi"/>
      <w:szCs w:val="22"/>
    </w:rPr>
  </w:style>
  <w:style w:type="paragraph" w:styleId="Sumrio7">
    <w:name w:val="toc 7"/>
    <w:basedOn w:val="Normal"/>
    <w:next w:val="Normal"/>
    <w:autoRedefine/>
    <w:uiPriority w:val="39"/>
    <w:unhideWhenUsed/>
    <w:rsid w:val="00CA56D7"/>
    <w:pPr>
      <w:spacing w:after="100" w:line="259" w:lineRule="auto"/>
      <w:ind w:left="1320"/>
    </w:pPr>
    <w:rPr>
      <w:rFonts w:asciiTheme="minorHAnsi" w:hAnsiTheme="minorHAnsi" w:eastAsiaTheme="minorEastAsia" w:cstheme="minorBidi"/>
      <w:szCs w:val="22"/>
    </w:rPr>
  </w:style>
  <w:style w:type="paragraph" w:styleId="Sumrio8">
    <w:name w:val="toc 8"/>
    <w:basedOn w:val="Normal"/>
    <w:next w:val="Normal"/>
    <w:autoRedefine/>
    <w:uiPriority w:val="39"/>
    <w:unhideWhenUsed/>
    <w:rsid w:val="00CA56D7"/>
    <w:pPr>
      <w:spacing w:after="100" w:line="259" w:lineRule="auto"/>
      <w:ind w:left="1540"/>
    </w:pPr>
    <w:rPr>
      <w:rFonts w:asciiTheme="minorHAnsi" w:hAnsiTheme="minorHAnsi" w:eastAsiaTheme="minorEastAsia" w:cstheme="minorBidi"/>
      <w:szCs w:val="22"/>
    </w:rPr>
  </w:style>
  <w:style w:type="paragraph" w:styleId="Sumrio9">
    <w:name w:val="toc 9"/>
    <w:basedOn w:val="Normal"/>
    <w:next w:val="Normal"/>
    <w:autoRedefine/>
    <w:uiPriority w:val="39"/>
    <w:unhideWhenUsed/>
    <w:rsid w:val="00CA56D7"/>
    <w:pPr>
      <w:spacing w:after="100" w:line="259" w:lineRule="auto"/>
      <w:ind w:left="1760"/>
    </w:pPr>
    <w:rPr>
      <w:rFonts w:asciiTheme="minorHAnsi" w:hAnsiTheme="minorHAnsi" w:eastAsiaTheme="minorEastAsia" w:cstheme="minorBidi"/>
      <w:szCs w:val="22"/>
    </w:rPr>
  </w:style>
  <w:style w:type="table" w:styleId="TabelaSimples4">
    <w:name w:val="Plain Table 4"/>
    <w:basedOn w:val="Tabelanormal"/>
    <w:uiPriority w:val="44"/>
    <w:rsid w:val="006564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fia">
    <w:name w:val="Bibliography"/>
    <w:basedOn w:val="Normal"/>
    <w:next w:val="Normal"/>
    <w:uiPriority w:val="37"/>
    <w:unhideWhenUsed/>
    <w:rsid w:val="00AC1B19"/>
  </w:style>
  <w:style w:type="table" w:styleId="TabeladeGrade5Escura-nfase1">
    <w:name w:val="Grid Table 5 Dark Accent 1"/>
    <w:basedOn w:val="Tabelanormal"/>
    <w:uiPriority w:val="50"/>
    <w:rsid w:val="0084259F"/>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eladeGrade4-nfase1">
    <w:name w:val="Grid Table 4 Accent 1"/>
    <w:basedOn w:val="Tabelanormal"/>
    <w:uiPriority w:val="49"/>
    <w:rsid w:val="00050EBA"/>
    <w:pPr>
      <w:spacing w:after="0"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TextodoEspaoReservado">
    <w:name w:val="Placeholder Text"/>
    <w:basedOn w:val="Fontepargpadro"/>
    <w:uiPriority w:val="99"/>
    <w:semiHidden/>
    <w:rsid w:val="0071031A"/>
    <w:rPr>
      <w:color w:val="808080"/>
    </w:rPr>
  </w:style>
  <w:style w:type="paragraph" w:styleId="paragraph" w:customStyle="1">
    <w:name w:val="paragraph"/>
    <w:basedOn w:val="Normal"/>
    <w:rsid w:val="00E0597F"/>
    <w:pPr>
      <w:spacing w:before="100" w:beforeAutospacing="1" w:after="100" w:afterAutospacing="1"/>
    </w:pPr>
    <w:rPr>
      <w:sz w:val="24"/>
      <w:szCs w:val="24"/>
    </w:rPr>
  </w:style>
  <w:style w:type="character" w:styleId="relative" w:customStyle="1">
    <w:name w:val="relative"/>
    <w:basedOn w:val="Fontepargpadro"/>
    <w:rsid w:val="003623BD"/>
  </w:style>
  <w:style w:type="paragraph" w:styleId="not-prose" w:customStyle="1">
    <w:name w:val="not-prose"/>
    <w:basedOn w:val="Normal"/>
    <w:rsid w:val="003623BD"/>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5617">
      <w:bodyDiv w:val="1"/>
      <w:marLeft w:val="0"/>
      <w:marRight w:val="0"/>
      <w:marTop w:val="0"/>
      <w:marBottom w:val="0"/>
      <w:divBdr>
        <w:top w:val="none" w:sz="0" w:space="0" w:color="auto"/>
        <w:left w:val="none" w:sz="0" w:space="0" w:color="auto"/>
        <w:bottom w:val="none" w:sz="0" w:space="0" w:color="auto"/>
        <w:right w:val="none" w:sz="0" w:space="0" w:color="auto"/>
      </w:divBdr>
    </w:div>
    <w:div w:id="4140878">
      <w:bodyDiv w:val="1"/>
      <w:marLeft w:val="0"/>
      <w:marRight w:val="0"/>
      <w:marTop w:val="0"/>
      <w:marBottom w:val="0"/>
      <w:divBdr>
        <w:top w:val="none" w:sz="0" w:space="0" w:color="auto"/>
        <w:left w:val="none" w:sz="0" w:space="0" w:color="auto"/>
        <w:bottom w:val="none" w:sz="0" w:space="0" w:color="auto"/>
        <w:right w:val="none" w:sz="0" w:space="0" w:color="auto"/>
      </w:divBdr>
    </w:div>
    <w:div w:id="4288648">
      <w:bodyDiv w:val="1"/>
      <w:marLeft w:val="0"/>
      <w:marRight w:val="0"/>
      <w:marTop w:val="0"/>
      <w:marBottom w:val="0"/>
      <w:divBdr>
        <w:top w:val="none" w:sz="0" w:space="0" w:color="auto"/>
        <w:left w:val="none" w:sz="0" w:space="0" w:color="auto"/>
        <w:bottom w:val="none" w:sz="0" w:space="0" w:color="auto"/>
        <w:right w:val="none" w:sz="0" w:space="0" w:color="auto"/>
      </w:divBdr>
    </w:div>
    <w:div w:id="12726518">
      <w:bodyDiv w:val="1"/>
      <w:marLeft w:val="0"/>
      <w:marRight w:val="0"/>
      <w:marTop w:val="0"/>
      <w:marBottom w:val="0"/>
      <w:divBdr>
        <w:top w:val="none" w:sz="0" w:space="0" w:color="auto"/>
        <w:left w:val="none" w:sz="0" w:space="0" w:color="auto"/>
        <w:bottom w:val="none" w:sz="0" w:space="0" w:color="auto"/>
        <w:right w:val="none" w:sz="0" w:space="0" w:color="auto"/>
      </w:divBdr>
    </w:div>
    <w:div w:id="19092679">
      <w:bodyDiv w:val="1"/>
      <w:marLeft w:val="0"/>
      <w:marRight w:val="0"/>
      <w:marTop w:val="0"/>
      <w:marBottom w:val="0"/>
      <w:divBdr>
        <w:top w:val="none" w:sz="0" w:space="0" w:color="auto"/>
        <w:left w:val="none" w:sz="0" w:space="0" w:color="auto"/>
        <w:bottom w:val="none" w:sz="0" w:space="0" w:color="auto"/>
        <w:right w:val="none" w:sz="0" w:space="0" w:color="auto"/>
      </w:divBdr>
    </w:div>
    <w:div w:id="45372833">
      <w:bodyDiv w:val="1"/>
      <w:marLeft w:val="0"/>
      <w:marRight w:val="0"/>
      <w:marTop w:val="0"/>
      <w:marBottom w:val="0"/>
      <w:divBdr>
        <w:top w:val="none" w:sz="0" w:space="0" w:color="auto"/>
        <w:left w:val="none" w:sz="0" w:space="0" w:color="auto"/>
        <w:bottom w:val="none" w:sz="0" w:space="0" w:color="auto"/>
        <w:right w:val="none" w:sz="0" w:space="0" w:color="auto"/>
      </w:divBdr>
    </w:div>
    <w:div w:id="63647503">
      <w:bodyDiv w:val="1"/>
      <w:marLeft w:val="0"/>
      <w:marRight w:val="0"/>
      <w:marTop w:val="0"/>
      <w:marBottom w:val="0"/>
      <w:divBdr>
        <w:top w:val="none" w:sz="0" w:space="0" w:color="auto"/>
        <w:left w:val="none" w:sz="0" w:space="0" w:color="auto"/>
        <w:bottom w:val="none" w:sz="0" w:space="0" w:color="auto"/>
        <w:right w:val="none" w:sz="0" w:space="0" w:color="auto"/>
      </w:divBdr>
    </w:div>
    <w:div w:id="74398740">
      <w:bodyDiv w:val="1"/>
      <w:marLeft w:val="0"/>
      <w:marRight w:val="0"/>
      <w:marTop w:val="0"/>
      <w:marBottom w:val="0"/>
      <w:divBdr>
        <w:top w:val="none" w:sz="0" w:space="0" w:color="auto"/>
        <w:left w:val="none" w:sz="0" w:space="0" w:color="auto"/>
        <w:bottom w:val="none" w:sz="0" w:space="0" w:color="auto"/>
        <w:right w:val="none" w:sz="0" w:space="0" w:color="auto"/>
      </w:divBdr>
    </w:div>
    <w:div w:id="84808719">
      <w:bodyDiv w:val="1"/>
      <w:marLeft w:val="0"/>
      <w:marRight w:val="0"/>
      <w:marTop w:val="0"/>
      <w:marBottom w:val="0"/>
      <w:divBdr>
        <w:top w:val="none" w:sz="0" w:space="0" w:color="auto"/>
        <w:left w:val="none" w:sz="0" w:space="0" w:color="auto"/>
        <w:bottom w:val="none" w:sz="0" w:space="0" w:color="auto"/>
        <w:right w:val="none" w:sz="0" w:space="0" w:color="auto"/>
      </w:divBdr>
    </w:div>
    <w:div w:id="91056282">
      <w:bodyDiv w:val="1"/>
      <w:marLeft w:val="0"/>
      <w:marRight w:val="0"/>
      <w:marTop w:val="0"/>
      <w:marBottom w:val="0"/>
      <w:divBdr>
        <w:top w:val="none" w:sz="0" w:space="0" w:color="auto"/>
        <w:left w:val="none" w:sz="0" w:space="0" w:color="auto"/>
        <w:bottom w:val="none" w:sz="0" w:space="0" w:color="auto"/>
        <w:right w:val="none" w:sz="0" w:space="0" w:color="auto"/>
      </w:divBdr>
    </w:div>
    <w:div w:id="92240280">
      <w:bodyDiv w:val="1"/>
      <w:marLeft w:val="0"/>
      <w:marRight w:val="0"/>
      <w:marTop w:val="0"/>
      <w:marBottom w:val="0"/>
      <w:divBdr>
        <w:top w:val="none" w:sz="0" w:space="0" w:color="auto"/>
        <w:left w:val="none" w:sz="0" w:space="0" w:color="auto"/>
        <w:bottom w:val="none" w:sz="0" w:space="0" w:color="auto"/>
        <w:right w:val="none" w:sz="0" w:space="0" w:color="auto"/>
      </w:divBdr>
    </w:div>
    <w:div w:id="102305360">
      <w:bodyDiv w:val="1"/>
      <w:marLeft w:val="0"/>
      <w:marRight w:val="0"/>
      <w:marTop w:val="0"/>
      <w:marBottom w:val="0"/>
      <w:divBdr>
        <w:top w:val="none" w:sz="0" w:space="0" w:color="auto"/>
        <w:left w:val="none" w:sz="0" w:space="0" w:color="auto"/>
        <w:bottom w:val="none" w:sz="0" w:space="0" w:color="auto"/>
        <w:right w:val="none" w:sz="0" w:space="0" w:color="auto"/>
      </w:divBdr>
    </w:div>
    <w:div w:id="103498968">
      <w:bodyDiv w:val="1"/>
      <w:marLeft w:val="0"/>
      <w:marRight w:val="0"/>
      <w:marTop w:val="0"/>
      <w:marBottom w:val="0"/>
      <w:divBdr>
        <w:top w:val="none" w:sz="0" w:space="0" w:color="auto"/>
        <w:left w:val="none" w:sz="0" w:space="0" w:color="auto"/>
        <w:bottom w:val="none" w:sz="0" w:space="0" w:color="auto"/>
        <w:right w:val="none" w:sz="0" w:space="0" w:color="auto"/>
      </w:divBdr>
    </w:div>
    <w:div w:id="121264484">
      <w:bodyDiv w:val="1"/>
      <w:marLeft w:val="0"/>
      <w:marRight w:val="0"/>
      <w:marTop w:val="0"/>
      <w:marBottom w:val="0"/>
      <w:divBdr>
        <w:top w:val="none" w:sz="0" w:space="0" w:color="auto"/>
        <w:left w:val="none" w:sz="0" w:space="0" w:color="auto"/>
        <w:bottom w:val="none" w:sz="0" w:space="0" w:color="auto"/>
        <w:right w:val="none" w:sz="0" w:space="0" w:color="auto"/>
      </w:divBdr>
    </w:div>
    <w:div w:id="125124499">
      <w:bodyDiv w:val="1"/>
      <w:marLeft w:val="0"/>
      <w:marRight w:val="0"/>
      <w:marTop w:val="0"/>
      <w:marBottom w:val="0"/>
      <w:divBdr>
        <w:top w:val="none" w:sz="0" w:space="0" w:color="auto"/>
        <w:left w:val="none" w:sz="0" w:space="0" w:color="auto"/>
        <w:bottom w:val="none" w:sz="0" w:space="0" w:color="auto"/>
        <w:right w:val="none" w:sz="0" w:space="0" w:color="auto"/>
      </w:divBdr>
    </w:div>
    <w:div w:id="128986019">
      <w:bodyDiv w:val="1"/>
      <w:marLeft w:val="0"/>
      <w:marRight w:val="0"/>
      <w:marTop w:val="0"/>
      <w:marBottom w:val="0"/>
      <w:divBdr>
        <w:top w:val="none" w:sz="0" w:space="0" w:color="auto"/>
        <w:left w:val="none" w:sz="0" w:space="0" w:color="auto"/>
        <w:bottom w:val="none" w:sz="0" w:space="0" w:color="auto"/>
        <w:right w:val="none" w:sz="0" w:space="0" w:color="auto"/>
      </w:divBdr>
    </w:div>
    <w:div w:id="138111253">
      <w:bodyDiv w:val="1"/>
      <w:marLeft w:val="0"/>
      <w:marRight w:val="0"/>
      <w:marTop w:val="0"/>
      <w:marBottom w:val="0"/>
      <w:divBdr>
        <w:top w:val="none" w:sz="0" w:space="0" w:color="auto"/>
        <w:left w:val="none" w:sz="0" w:space="0" w:color="auto"/>
        <w:bottom w:val="none" w:sz="0" w:space="0" w:color="auto"/>
        <w:right w:val="none" w:sz="0" w:space="0" w:color="auto"/>
      </w:divBdr>
    </w:div>
    <w:div w:id="141696166">
      <w:bodyDiv w:val="1"/>
      <w:marLeft w:val="0"/>
      <w:marRight w:val="0"/>
      <w:marTop w:val="0"/>
      <w:marBottom w:val="0"/>
      <w:divBdr>
        <w:top w:val="none" w:sz="0" w:space="0" w:color="auto"/>
        <w:left w:val="none" w:sz="0" w:space="0" w:color="auto"/>
        <w:bottom w:val="none" w:sz="0" w:space="0" w:color="auto"/>
        <w:right w:val="none" w:sz="0" w:space="0" w:color="auto"/>
      </w:divBdr>
    </w:div>
    <w:div w:id="149949188">
      <w:bodyDiv w:val="1"/>
      <w:marLeft w:val="0"/>
      <w:marRight w:val="0"/>
      <w:marTop w:val="0"/>
      <w:marBottom w:val="0"/>
      <w:divBdr>
        <w:top w:val="none" w:sz="0" w:space="0" w:color="auto"/>
        <w:left w:val="none" w:sz="0" w:space="0" w:color="auto"/>
        <w:bottom w:val="none" w:sz="0" w:space="0" w:color="auto"/>
        <w:right w:val="none" w:sz="0" w:space="0" w:color="auto"/>
      </w:divBdr>
    </w:div>
    <w:div w:id="150874889">
      <w:bodyDiv w:val="1"/>
      <w:marLeft w:val="0"/>
      <w:marRight w:val="0"/>
      <w:marTop w:val="0"/>
      <w:marBottom w:val="0"/>
      <w:divBdr>
        <w:top w:val="none" w:sz="0" w:space="0" w:color="auto"/>
        <w:left w:val="none" w:sz="0" w:space="0" w:color="auto"/>
        <w:bottom w:val="none" w:sz="0" w:space="0" w:color="auto"/>
        <w:right w:val="none" w:sz="0" w:space="0" w:color="auto"/>
      </w:divBdr>
    </w:div>
    <w:div w:id="151221193">
      <w:bodyDiv w:val="1"/>
      <w:marLeft w:val="0"/>
      <w:marRight w:val="0"/>
      <w:marTop w:val="0"/>
      <w:marBottom w:val="0"/>
      <w:divBdr>
        <w:top w:val="none" w:sz="0" w:space="0" w:color="auto"/>
        <w:left w:val="none" w:sz="0" w:space="0" w:color="auto"/>
        <w:bottom w:val="none" w:sz="0" w:space="0" w:color="auto"/>
        <w:right w:val="none" w:sz="0" w:space="0" w:color="auto"/>
      </w:divBdr>
      <w:divsChild>
        <w:div w:id="617688501">
          <w:marLeft w:val="0"/>
          <w:marRight w:val="0"/>
          <w:marTop w:val="0"/>
          <w:marBottom w:val="0"/>
          <w:divBdr>
            <w:top w:val="none" w:sz="0" w:space="0" w:color="auto"/>
            <w:left w:val="none" w:sz="0" w:space="0" w:color="auto"/>
            <w:bottom w:val="none" w:sz="0" w:space="0" w:color="auto"/>
            <w:right w:val="none" w:sz="0" w:space="0" w:color="auto"/>
          </w:divBdr>
        </w:div>
      </w:divsChild>
    </w:div>
    <w:div w:id="154103518">
      <w:bodyDiv w:val="1"/>
      <w:marLeft w:val="0"/>
      <w:marRight w:val="0"/>
      <w:marTop w:val="0"/>
      <w:marBottom w:val="0"/>
      <w:divBdr>
        <w:top w:val="none" w:sz="0" w:space="0" w:color="auto"/>
        <w:left w:val="none" w:sz="0" w:space="0" w:color="auto"/>
        <w:bottom w:val="none" w:sz="0" w:space="0" w:color="auto"/>
        <w:right w:val="none" w:sz="0" w:space="0" w:color="auto"/>
      </w:divBdr>
    </w:div>
    <w:div w:id="173347561">
      <w:bodyDiv w:val="1"/>
      <w:marLeft w:val="0"/>
      <w:marRight w:val="0"/>
      <w:marTop w:val="0"/>
      <w:marBottom w:val="0"/>
      <w:divBdr>
        <w:top w:val="none" w:sz="0" w:space="0" w:color="auto"/>
        <w:left w:val="none" w:sz="0" w:space="0" w:color="auto"/>
        <w:bottom w:val="none" w:sz="0" w:space="0" w:color="auto"/>
        <w:right w:val="none" w:sz="0" w:space="0" w:color="auto"/>
      </w:divBdr>
    </w:div>
    <w:div w:id="192042938">
      <w:bodyDiv w:val="1"/>
      <w:marLeft w:val="0"/>
      <w:marRight w:val="0"/>
      <w:marTop w:val="0"/>
      <w:marBottom w:val="0"/>
      <w:divBdr>
        <w:top w:val="none" w:sz="0" w:space="0" w:color="auto"/>
        <w:left w:val="none" w:sz="0" w:space="0" w:color="auto"/>
        <w:bottom w:val="none" w:sz="0" w:space="0" w:color="auto"/>
        <w:right w:val="none" w:sz="0" w:space="0" w:color="auto"/>
      </w:divBdr>
    </w:div>
    <w:div w:id="205684177">
      <w:bodyDiv w:val="1"/>
      <w:marLeft w:val="0"/>
      <w:marRight w:val="0"/>
      <w:marTop w:val="0"/>
      <w:marBottom w:val="0"/>
      <w:divBdr>
        <w:top w:val="none" w:sz="0" w:space="0" w:color="auto"/>
        <w:left w:val="none" w:sz="0" w:space="0" w:color="auto"/>
        <w:bottom w:val="none" w:sz="0" w:space="0" w:color="auto"/>
        <w:right w:val="none" w:sz="0" w:space="0" w:color="auto"/>
      </w:divBdr>
    </w:div>
    <w:div w:id="228855861">
      <w:bodyDiv w:val="1"/>
      <w:marLeft w:val="0"/>
      <w:marRight w:val="0"/>
      <w:marTop w:val="0"/>
      <w:marBottom w:val="0"/>
      <w:divBdr>
        <w:top w:val="none" w:sz="0" w:space="0" w:color="auto"/>
        <w:left w:val="none" w:sz="0" w:space="0" w:color="auto"/>
        <w:bottom w:val="none" w:sz="0" w:space="0" w:color="auto"/>
        <w:right w:val="none" w:sz="0" w:space="0" w:color="auto"/>
      </w:divBdr>
    </w:div>
    <w:div w:id="229997653">
      <w:bodyDiv w:val="1"/>
      <w:marLeft w:val="0"/>
      <w:marRight w:val="0"/>
      <w:marTop w:val="0"/>
      <w:marBottom w:val="0"/>
      <w:divBdr>
        <w:top w:val="none" w:sz="0" w:space="0" w:color="auto"/>
        <w:left w:val="none" w:sz="0" w:space="0" w:color="auto"/>
        <w:bottom w:val="none" w:sz="0" w:space="0" w:color="auto"/>
        <w:right w:val="none" w:sz="0" w:space="0" w:color="auto"/>
      </w:divBdr>
    </w:div>
    <w:div w:id="235213948">
      <w:bodyDiv w:val="1"/>
      <w:marLeft w:val="0"/>
      <w:marRight w:val="0"/>
      <w:marTop w:val="0"/>
      <w:marBottom w:val="0"/>
      <w:divBdr>
        <w:top w:val="none" w:sz="0" w:space="0" w:color="auto"/>
        <w:left w:val="none" w:sz="0" w:space="0" w:color="auto"/>
        <w:bottom w:val="none" w:sz="0" w:space="0" w:color="auto"/>
        <w:right w:val="none" w:sz="0" w:space="0" w:color="auto"/>
      </w:divBdr>
    </w:div>
    <w:div w:id="248127802">
      <w:bodyDiv w:val="1"/>
      <w:marLeft w:val="0"/>
      <w:marRight w:val="0"/>
      <w:marTop w:val="0"/>
      <w:marBottom w:val="0"/>
      <w:divBdr>
        <w:top w:val="none" w:sz="0" w:space="0" w:color="auto"/>
        <w:left w:val="none" w:sz="0" w:space="0" w:color="auto"/>
        <w:bottom w:val="none" w:sz="0" w:space="0" w:color="auto"/>
        <w:right w:val="none" w:sz="0" w:space="0" w:color="auto"/>
      </w:divBdr>
    </w:div>
    <w:div w:id="266432011">
      <w:bodyDiv w:val="1"/>
      <w:marLeft w:val="0"/>
      <w:marRight w:val="0"/>
      <w:marTop w:val="0"/>
      <w:marBottom w:val="0"/>
      <w:divBdr>
        <w:top w:val="none" w:sz="0" w:space="0" w:color="auto"/>
        <w:left w:val="none" w:sz="0" w:space="0" w:color="auto"/>
        <w:bottom w:val="none" w:sz="0" w:space="0" w:color="auto"/>
        <w:right w:val="none" w:sz="0" w:space="0" w:color="auto"/>
      </w:divBdr>
    </w:div>
    <w:div w:id="267667482">
      <w:bodyDiv w:val="1"/>
      <w:marLeft w:val="0"/>
      <w:marRight w:val="0"/>
      <w:marTop w:val="0"/>
      <w:marBottom w:val="0"/>
      <w:divBdr>
        <w:top w:val="none" w:sz="0" w:space="0" w:color="auto"/>
        <w:left w:val="none" w:sz="0" w:space="0" w:color="auto"/>
        <w:bottom w:val="none" w:sz="0" w:space="0" w:color="auto"/>
        <w:right w:val="none" w:sz="0" w:space="0" w:color="auto"/>
      </w:divBdr>
    </w:div>
    <w:div w:id="269970744">
      <w:bodyDiv w:val="1"/>
      <w:marLeft w:val="0"/>
      <w:marRight w:val="0"/>
      <w:marTop w:val="0"/>
      <w:marBottom w:val="0"/>
      <w:divBdr>
        <w:top w:val="none" w:sz="0" w:space="0" w:color="auto"/>
        <w:left w:val="none" w:sz="0" w:space="0" w:color="auto"/>
        <w:bottom w:val="none" w:sz="0" w:space="0" w:color="auto"/>
        <w:right w:val="none" w:sz="0" w:space="0" w:color="auto"/>
      </w:divBdr>
    </w:div>
    <w:div w:id="272136121">
      <w:bodyDiv w:val="1"/>
      <w:marLeft w:val="0"/>
      <w:marRight w:val="0"/>
      <w:marTop w:val="0"/>
      <w:marBottom w:val="0"/>
      <w:divBdr>
        <w:top w:val="none" w:sz="0" w:space="0" w:color="auto"/>
        <w:left w:val="none" w:sz="0" w:space="0" w:color="auto"/>
        <w:bottom w:val="none" w:sz="0" w:space="0" w:color="auto"/>
        <w:right w:val="none" w:sz="0" w:space="0" w:color="auto"/>
      </w:divBdr>
    </w:div>
    <w:div w:id="274213126">
      <w:bodyDiv w:val="1"/>
      <w:marLeft w:val="0"/>
      <w:marRight w:val="0"/>
      <w:marTop w:val="0"/>
      <w:marBottom w:val="0"/>
      <w:divBdr>
        <w:top w:val="none" w:sz="0" w:space="0" w:color="auto"/>
        <w:left w:val="none" w:sz="0" w:space="0" w:color="auto"/>
        <w:bottom w:val="none" w:sz="0" w:space="0" w:color="auto"/>
        <w:right w:val="none" w:sz="0" w:space="0" w:color="auto"/>
      </w:divBdr>
    </w:div>
    <w:div w:id="285284499">
      <w:bodyDiv w:val="1"/>
      <w:marLeft w:val="0"/>
      <w:marRight w:val="0"/>
      <w:marTop w:val="0"/>
      <w:marBottom w:val="0"/>
      <w:divBdr>
        <w:top w:val="none" w:sz="0" w:space="0" w:color="auto"/>
        <w:left w:val="none" w:sz="0" w:space="0" w:color="auto"/>
        <w:bottom w:val="none" w:sz="0" w:space="0" w:color="auto"/>
        <w:right w:val="none" w:sz="0" w:space="0" w:color="auto"/>
      </w:divBdr>
    </w:div>
    <w:div w:id="296958476">
      <w:bodyDiv w:val="1"/>
      <w:marLeft w:val="0"/>
      <w:marRight w:val="0"/>
      <w:marTop w:val="0"/>
      <w:marBottom w:val="0"/>
      <w:divBdr>
        <w:top w:val="none" w:sz="0" w:space="0" w:color="auto"/>
        <w:left w:val="none" w:sz="0" w:space="0" w:color="auto"/>
        <w:bottom w:val="none" w:sz="0" w:space="0" w:color="auto"/>
        <w:right w:val="none" w:sz="0" w:space="0" w:color="auto"/>
      </w:divBdr>
    </w:div>
    <w:div w:id="317735460">
      <w:bodyDiv w:val="1"/>
      <w:marLeft w:val="0"/>
      <w:marRight w:val="0"/>
      <w:marTop w:val="0"/>
      <w:marBottom w:val="0"/>
      <w:divBdr>
        <w:top w:val="none" w:sz="0" w:space="0" w:color="auto"/>
        <w:left w:val="none" w:sz="0" w:space="0" w:color="auto"/>
        <w:bottom w:val="none" w:sz="0" w:space="0" w:color="auto"/>
        <w:right w:val="none" w:sz="0" w:space="0" w:color="auto"/>
      </w:divBdr>
    </w:div>
    <w:div w:id="323438266">
      <w:bodyDiv w:val="1"/>
      <w:marLeft w:val="0"/>
      <w:marRight w:val="0"/>
      <w:marTop w:val="0"/>
      <w:marBottom w:val="0"/>
      <w:divBdr>
        <w:top w:val="none" w:sz="0" w:space="0" w:color="auto"/>
        <w:left w:val="none" w:sz="0" w:space="0" w:color="auto"/>
        <w:bottom w:val="none" w:sz="0" w:space="0" w:color="auto"/>
        <w:right w:val="none" w:sz="0" w:space="0" w:color="auto"/>
      </w:divBdr>
    </w:div>
    <w:div w:id="328874763">
      <w:bodyDiv w:val="1"/>
      <w:marLeft w:val="0"/>
      <w:marRight w:val="0"/>
      <w:marTop w:val="0"/>
      <w:marBottom w:val="0"/>
      <w:divBdr>
        <w:top w:val="none" w:sz="0" w:space="0" w:color="auto"/>
        <w:left w:val="none" w:sz="0" w:space="0" w:color="auto"/>
        <w:bottom w:val="none" w:sz="0" w:space="0" w:color="auto"/>
        <w:right w:val="none" w:sz="0" w:space="0" w:color="auto"/>
      </w:divBdr>
    </w:div>
    <w:div w:id="330765615">
      <w:bodyDiv w:val="1"/>
      <w:marLeft w:val="0"/>
      <w:marRight w:val="0"/>
      <w:marTop w:val="0"/>
      <w:marBottom w:val="0"/>
      <w:divBdr>
        <w:top w:val="none" w:sz="0" w:space="0" w:color="auto"/>
        <w:left w:val="none" w:sz="0" w:space="0" w:color="auto"/>
        <w:bottom w:val="none" w:sz="0" w:space="0" w:color="auto"/>
        <w:right w:val="none" w:sz="0" w:space="0" w:color="auto"/>
      </w:divBdr>
    </w:div>
    <w:div w:id="333067740">
      <w:bodyDiv w:val="1"/>
      <w:marLeft w:val="0"/>
      <w:marRight w:val="0"/>
      <w:marTop w:val="0"/>
      <w:marBottom w:val="0"/>
      <w:divBdr>
        <w:top w:val="none" w:sz="0" w:space="0" w:color="auto"/>
        <w:left w:val="none" w:sz="0" w:space="0" w:color="auto"/>
        <w:bottom w:val="none" w:sz="0" w:space="0" w:color="auto"/>
        <w:right w:val="none" w:sz="0" w:space="0" w:color="auto"/>
      </w:divBdr>
    </w:div>
    <w:div w:id="333917838">
      <w:bodyDiv w:val="1"/>
      <w:marLeft w:val="0"/>
      <w:marRight w:val="0"/>
      <w:marTop w:val="0"/>
      <w:marBottom w:val="0"/>
      <w:divBdr>
        <w:top w:val="none" w:sz="0" w:space="0" w:color="auto"/>
        <w:left w:val="none" w:sz="0" w:space="0" w:color="auto"/>
        <w:bottom w:val="none" w:sz="0" w:space="0" w:color="auto"/>
        <w:right w:val="none" w:sz="0" w:space="0" w:color="auto"/>
      </w:divBdr>
    </w:div>
    <w:div w:id="337729577">
      <w:bodyDiv w:val="1"/>
      <w:marLeft w:val="0"/>
      <w:marRight w:val="0"/>
      <w:marTop w:val="0"/>
      <w:marBottom w:val="0"/>
      <w:divBdr>
        <w:top w:val="none" w:sz="0" w:space="0" w:color="auto"/>
        <w:left w:val="none" w:sz="0" w:space="0" w:color="auto"/>
        <w:bottom w:val="none" w:sz="0" w:space="0" w:color="auto"/>
        <w:right w:val="none" w:sz="0" w:space="0" w:color="auto"/>
      </w:divBdr>
    </w:div>
    <w:div w:id="349526146">
      <w:bodyDiv w:val="1"/>
      <w:marLeft w:val="0"/>
      <w:marRight w:val="0"/>
      <w:marTop w:val="0"/>
      <w:marBottom w:val="0"/>
      <w:divBdr>
        <w:top w:val="none" w:sz="0" w:space="0" w:color="auto"/>
        <w:left w:val="none" w:sz="0" w:space="0" w:color="auto"/>
        <w:bottom w:val="none" w:sz="0" w:space="0" w:color="auto"/>
        <w:right w:val="none" w:sz="0" w:space="0" w:color="auto"/>
      </w:divBdr>
    </w:div>
    <w:div w:id="351609183">
      <w:bodyDiv w:val="1"/>
      <w:marLeft w:val="0"/>
      <w:marRight w:val="0"/>
      <w:marTop w:val="0"/>
      <w:marBottom w:val="0"/>
      <w:divBdr>
        <w:top w:val="none" w:sz="0" w:space="0" w:color="auto"/>
        <w:left w:val="none" w:sz="0" w:space="0" w:color="auto"/>
        <w:bottom w:val="none" w:sz="0" w:space="0" w:color="auto"/>
        <w:right w:val="none" w:sz="0" w:space="0" w:color="auto"/>
      </w:divBdr>
      <w:divsChild>
        <w:div w:id="1835757760">
          <w:marLeft w:val="0"/>
          <w:marRight w:val="0"/>
          <w:marTop w:val="0"/>
          <w:marBottom w:val="0"/>
          <w:divBdr>
            <w:top w:val="none" w:sz="0" w:space="0" w:color="auto"/>
            <w:left w:val="none" w:sz="0" w:space="0" w:color="auto"/>
            <w:bottom w:val="none" w:sz="0" w:space="0" w:color="auto"/>
            <w:right w:val="none" w:sz="0" w:space="0" w:color="auto"/>
          </w:divBdr>
        </w:div>
      </w:divsChild>
    </w:div>
    <w:div w:id="398865477">
      <w:bodyDiv w:val="1"/>
      <w:marLeft w:val="0"/>
      <w:marRight w:val="0"/>
      <w:marTop w:val="0"/>
      <w:marBottom w:val="0"/>
      <w:divBdr>
        <w:top w:val="none" w:sz="0" w:space="0" w:color="auto"/>
        <w:left w:val="none" w:sz="0" w:space="0" w:color="auto"/>
        <w:bottom w:val="none" w:sz="0" w:space="0" w:color="auto"/>
        <w:right w:val="none" w:sz="0" w:space="0" w:color="auto"/>
      </w:divBdr>
    </w:div>
    <w:div w:id="401024522">
      <w:bodyDiv w:val="1"/>
      <w:marLeft w:val="0"/>
      <w:marRight w:val="0"/>
      <w:marTop w:val="0"/>
      <w:marBottom w:val="0"/>
      <w:divBdr>
        <w:top w:val="none" w:sz="0" w:space="0" w:color="auto"/>
        <w:left w:val="none" w:sz="0" w:space="0" w:color="auto"/>
        <w:bottom w:val="none" w:sz="0" w:space="0" w:color="auto"/>
        <w:right w:val="none" w:sz="0" w:space="0" w:color="auto"/>
      </w:divBdr>
    </w:div>
    <w:div w:id="403067091">
      <w:bodyDiv w:val="1"/>
      <w:marLeft w:val="0"/>
      <w:marRight w:val="0"/>
      <w:marTop w:val="0"/>
      <w:marBottom w:val="0"/>
      <w:divBdr>
        <w:top w:val="none" w:sz="0" w:space="0" w:color="auto"/>
        <w:left w:val="none" w:sz="0" w:space="0" w:color="auto"/>
        <w:bottom w:val="none" w:sz="0" w:space="0" w:color="auto"/>
        <w:right w:val="none" w:sz="0" w:space="0" w:color="auto"/>
      </w:divBdr>
      <w:divsChild>
        <w:div w:id="695891647">
          <w:marLeft w:val="0"/>
          <w:marRight w:val="0"/>
          <w:marTop w:val="0"/>
          <w:marBottom w:val="0"/>
          <w:divBdr>
            <w:top w:val="none" w:sz="0" w:space="0" w:color="auto"/>
            <w:left w:val="none" w:sz="0" w:space="0" w:color="auto"/>
            <w:bottom w:val="none" w:sz="0" w:space="0" w:color="auto"/>
            <w:right w:val="none" w:sz="0" w:space="0" w:color="auto"/>
          </w:divBdr>
        </w:div>
      </w:divsChild>
    </w:div>
    <w:div w:id="414598536">
      <w:bodyDiv w:val="1"/>
      <w:marLeft w:val="0"/>
      <w:marRight w:val="0"/>
      <w:marTop w:val="0"/>
      <w:marBottom w:val="0"/>
      <w:divBdr>
        <w:top w:val="none" w:sz="0" w:space="0" w:color="auto"/>
        <w:left w:val="none" w:sz="0" w:space="0" w:color="auto"/>
        <w:bottom w:val="none" w:sz="0" w:space="0" w:color="auto"/>
        <w:right w:val="none" w:sz="0" w:space="0" w:color="auto"/>
      </w:divBdr>
    </w:div>
    <w:div w:id="418529114">
      <w:bodyDiv w:val="1"/>
      <w:marLeft w:val="0"/>
      <w:marRight w:val="0"/>
      <w:marTop w:val="0"/>
      <w:marBottom w:val="0"/>
      <w:divBdr>
        <w:top w:val="none" w:sz="0" w:space="0" w:color="auto"/>
        <w:left w:val="none" w:sz="0" w:space="0" w:color="auto"/>
        <w:bottom w:val="none" w:sz="0" w:space="0" w:color="auto"/>
        <w:right w:val="none" w:sz="0" w:space="0" w:color="auto"/>
      </w:divBdr>
    </w:div>
    <w:div w:id="424885785">
      <w:bodyDiv w:val="1"/>
      <w:marLeft w:val="0"/>
      <w:marRight w:val="0"/>
      <w:marTop w:val="0"/>
      <w:marBottom w:val="0"/>
      <w:divBdr>
        <w:top w:val="none" w:sz="0" w:space="0" w:color="auto"/>
        <w:left w:val="none" w:sz="0" w:space="0" w:color="auto"/>
        <w:bottom w:val="none" w:sz="0" w:space="0" w:color="auto"/>
        <w:right w:val="none" w:sz="0" w:space="0" w:color="auto"/>
      </w:divBdr>
    </w:div>
    <w:div w:id="427653322">
      <w:bodyDiv w:val="1"/>
      <w:marLeft w:val="0"/>
      <w:marRight w:val="0"/>
      <w:marTop w:val="0"/>
      <w:marBottom w:val="0"/>
      <w:divBdr>
        <w:top w:val="none" w:sz="0" w:space="0" w:color="auto"/>
        <w:left w:val="none" w:sz="0" w:space="0" w:color="auto"/>
        <w:bottom w:val="none" w:sz="0" w:space="0" w:color="auto"/>
        <w:right w:val="none" w:sz="0" w:space="0" w:color="auto"/>
      </w:divBdr>
    </w:div>
    <w:div w:id="432677529">
      <w:bodyDiv w:val="1"/>
      <w:marLeft w:val="0"/>
      <w:marRight w:val="0"/>
      <w:marTop w:val="0"/>
      <w:marBottom w:val="0"/>
      <w:divBdr>
        <w:top w:val="none" w:sz="0" w:space="0" w:color="auto"/>
        <w:left w:val="none" w:sz="0" w:space="0" w:color="auto"/>
        <w:bottom w:val="none" w:sz="0" w:space="0" w:color="auto"/>
        <w:right w:val="none" w:sz="0" w:space="0" w:color="auto"/>
      </w:divBdr>
    </w:div>
    <w:div w:id="439107684">
      <w:bodyDiv w:val="1"/>
      <w:marLeft w:val="0"/>
      <w:marRight w:val="0"/>
      <w:marTop w:val="0"/>
      <w:marBottom w:val="0"/>
      <w:divBdr>
        <w:top w:val="none" w:sz="0" w:space="0" w:color="auto"/>
        <w:left w:val="none" w:sz="0" w:space="0" w:color="auto"/>
        <w:bottom w:val="none" w:sz="0" w:space="0" w:color="auto"/>
        <w:right w:val="none" w:sz="0" w:space="0" w:color="auto"/>
      </w:divBdr>
    </w:div>
    <w:div w:id="443769301">
      <w:bodyDiv w:val="1"/>
      <w:marLeft w:val="0"/>
      <w:marRight w:val="0"/>
      <w:marTop w:val="0"/>
      <w:marBottom w:val="0"/>
      <w:divBdr>
        <w:top w:val="none" w:sz="0" w:space="0" w:color="auto"/>
        <w:left w:val="none" w:sz="0" w:space="0" w:color="auto"/>
        <w:bottom w:val="none" w:sz="0" w:space="0" w:color="auto"/>
        <w:right w:val="none" w:sz="0" w:space="0" w:color="auto"/>
      </w:divBdr>
    </w:div>
    <w:div w:id="459884496">
      <w:bodyDiv w:val="1"/>
      <w:marLeft w:val="0"/>
      <w:marRight w:val="0"/>
      <w:marTop w:val="0"/>
      <w:marBottom w:val="0"/>
      <w:divBdr>
        <w:top w:val="none" w:sz="0" w:space="0" w:color="auto"/>
        <w:left w:val="none" w:sz="0" w:space="0" w:color="auto"/>
        <w:bottom w:val="none" w:sz="0" w:space="0" w:color="auto"/>
        <w:right w:val="none" w:sz="0" w:space="0" w:color="auto"/>
      </w:divBdr>
    </w:div>
    <w:div w:id="462964289">
      <w:bodyDiv w:val="1"/>
      <w:marLeft w:val="0"/>
      <w:marRight w:val="0"/>
      <w:marTop w:val="0"/>
      <w:marBottom w:val="0"/>
      <w:divBdr>
        <w:top w:val="none" w:sz="0" w:space="0" w:color="auto"/>
        <w:left w:val="none" w:sz="0" w:space="0" w:color="auto"/>
        <w:bottom w:val="none" w:sz="0" w:space="0" w:color="auto"/>
        <w:right w:val="none" w:sz="0" w:space="0" w:color="auto"/>
      </w:divBdr>
    </w:div>
    <w:div w:id="477961876">
      <w:bodyDiv w:val="1"/>
      <w:marLeft w:val="0"/>
      <w:marRight w:val="0"/>
      <w:marTop w:val="0"/>
      <w:marBottom w:val="0"/>
      <w:divBdr>
        <w:top w:val="none" w:sz="0" w:space="0" w:color="auto"/>
        <w:left w:val="none" w:sz="0" w:space="0" w:color="auto"/>
        <w:bottom w:val="none" w:sz="0" w:space="0" w:color="auto"/>
        <w:right w:val="none" w:sz="0" w:space="0" w:color="auto"/>
      </w:divBdr>
    </w:div>
    <w:div w:id="488860593">
      <w:bodyDiv w:val="1"/>
      <w:marLeft w:val="0"/>
      <w:marRight w:val="0"/>
      <w:marTop w:val="0"/>
      <w:marBottom w:val="0"/>
      <w:divBdr>
        <w:top w:val="none" w:sz="0" w:space="0" w:color="auto"/>
        <w:left w:val="none" w:sz="0" w:space="0" w:color="auto"/>
        <w:bottom w:val="none" w:sz="0" w:space="0" w:color="auto"/>
        <w:right w:val="none" w:sz="0" w:space="0" w:color="auto"/>
      </w:divBdr>
    </w:div>
    <w:div w:id="489490436">
      <w:bodyDiv w:val="1"/>
      <w:marLeft w:val="0"/>
      <w:marRight w:val="0"/>
      <w:marTop w:val="0"/>
      <w:marBottom w:val="0"/>
      <w:divBdr>
        <w:top w:val="none" w:sz="0" w:space="0" w:color="auto"/>
        <w:left w:val="none" w:sz="0" w:space="0" w:color="auto"/>
        <w:bottom w:val="none" w:sz="0" w:space="0" w:color="auto"/>
        <w:right w:val="none" w:sz="0" w:space="0" w:color="auto"/>
      </w:divBdr>
    </w:div>
    <w:div w:id="494027849">
      <w:bodyDiv w:val="1"/>
      <w:marLeft w:val="0"/>
      <w:marRight w:val="0"/>
      <w:marTop w:val="0"/>
      <w:marBottom w:val="0"/>
      <w:divBdr>
        <w:top w:val="none" w:sz="0" w:space="0" w:color="auto"/>
        <w:left w:val="none" w:sz="0" w:space="0" w:color="auto"/>
        <w:bottom w:val="none" w:sz="0" w:space="0" w:color="auto"/>
        <w:right w:val="none" w:sz="0" w:space="0" w:color="auto"/>
      </w:divBdr>
    </w:div>
    <w:div w:id="505025352">
      <w:bodyDiv w:val="1"/>
      <w:marLeft w:val="0"/>
      <w:marRight w:val="0"/>
      <w:marTop w:val="0"/>
      <w:marBottom w:val="0"/>
      <w:divBdr>
        <w:top w:val="none" w:sz="0" w:space="0" w:color="auto"/>
        <w:left w:val="none" w:sz="0" w:space="0" w:color="auto"/>
        <w:bottom w:val="none" w:sz="0" w:space="0" w:color="auto"/>
        <w:right w:val="none" w:sz="0" w:space="0" w:color="auto"/>
      </w:divBdr>
    </w:div>
    <w:div w:id="518081406">
      <w:bodyDiv w:val="1"/>
      <w:marLeft w:val="0"/>
      <w:marRight w:val="0"/>
      <w:marTop w:val="0"/>
      <w:marBottom w:val="0"/>
      <w:divBdr>
        <w:top w:val="none" w:sz="0" w:space="0" w:color="auto"/>
        <w:left w:val="none" w:sz="0" w:space="0" w:color="auto"/>
        <w:bottom w:val="none" w:sz="0" w:space="0" w:color="auto"/>
        <w:right w:val="none" w:sz="0" w:space="0" w:color="auto"/>
      </w:divBdr>
    </w:div>
    <w:div w:id="518156180">
      <w:bodyDiv w:val="1"/>
      <w:marLeft w:val="0"/>
      <w:marRight w:val="0"/>
      <w:marTop w:val="0"/>
      <w:marBottom w:val="0"/>
      <w:divBdr>
        <w:top w:val="none" w:sz="0" w:space="0" w:color="auto"/>
        <w:left w:val="none" w:sz="0" w:space="0" w:color="auto"/>
        <w:bottom w:val="none" w:sz="0" w:space="0" w:color="auto"/>
        <w:right w:val="none" w:sz="0" w:space="0" w:color="auto"/>
      </w:divBdr>
    </w:div>
    <w:div w:id="520707595">
      <w:bodyDiv w:val="1"/>
      <w:marLeft w:val="0"/>
      <w:marRight w:val="0"/>
      <w:marTop w:val="0"/>
      <w:marBottom w:val="0"/>
      <w:divBdr>
        <w:top w:val="none" w:sz="0" w:space="0" w:color="auto"/>
        <w:left w:val="none" w:sz="0" w:space="0" w:color="auto"/>
        <w:bottom w:val="none" w:sz="0" w:space="0" w:color="auto"/>
        <w:right w:val="none" w:sz="0" w:space="0" w:color="auto"/>
      </w:divBdr>
    </w:div>
    <w:div w:id="526988268">
      <w:bodyDiv w:val="1"/>
      <w:marLeft w:val="0"/>
      <w:marRight w:val="0"/>
      <w:marTop w:val="0"/>
      <w:marBottom w:val="0"/>
      <w:divBdr>
        <w:top w:val="none" w:sz="0" w:space="0" w:color="auto"/>
        <w:left w:val="none" w:sz="0" w:space="0" w:color="auto"/>
        <w:bottom w:val="none" w:sz="0" w:space="0" w:color="auto"/>
        <w:right w:val="none" w:sz="0" w:space="0" w:color="auto"/>
      </w:divBdr>
    </w:div>
    <w:div w:id="529805778">
      <w:bodyDiv w:val="1"/>
      <w:marLeft w:val="0"/>
      <w:marRight w:val="0"/>
      <w:marTop w:val="0"/>
      <w:marBottom w:val="0"/>
      <w:divBdr>
        <w:top w:val="none" w:sz="0" w:space="0" w:color="auto"/>
        <w:left w:val="none" w:sz="0" w:space="0" w:color="auto"/>
        <w:bottom w:val="none" w:sz="0" w:space="0" w:color="auto"/>
        <w:right w:val="none" w:sz="0" w:space="0" w:color="auto"/>
      </w:divBdr>
    </w:div>
    <w:div w:id="532304801">
      <w:bodyDiv w:val="1"/>
      <w:marLeft w:val="0"/>
      <w:marRight w:val="0"/>
      <w:marTop w:val="0"/>
      <w:marBottom w:val="0"/>
      <w:divBdr>
        <w:top w:val="none" w:sz="0" w:space="0" w:color="auto"/>
        <w:left w:val="none" w:sz="0" w:space="0" w:color="auto"/>
        <w:bottom w:val="none" w:sz="0" w:space="0" w:color="auto"/>
        <w:right w:val="none" w:sz="0" w:space="0" w:color="auto"/>
      </w:divBdr>
    </w:div>
    <w:div w:id="554779738">
      <w:bodyDiv w:val="1"/>
      <w:marLeft w:val="0"/>
      <w:marRight w:val="0"/>
      <w:marTop w:val="0"/>
      <w:marBottom w:val="0"/>
      <w:divBdr>
        <w:top w:val="none" w:sz="0" w:space="0" w:color="auto"/>
        <w:left w:val="none" w:sz="0" w:space="0" w:color="auto"/>
        <w:bottom w:val="none" w:sz="0" w:space="0" w:color="auto"/>
        <w:right w:val="none" w:sz="0" w:space="0" w:color="auto"/>
      </w:divBdr>
      <w:divsChild>
        <w:div w:id="41945426">
          <w:marLeft w:val="0"/>
          <w:marRight w:val="0"/>
          <w:marTop w:val="0"/>
          <w:marBottom w:val="0"/>
          <w:divBdr>
            <w:top w:val="none" w:sz="0" w:space="0" w:color="auto"/>
            <w:left w:val="none" w:sz="0" w:space="0" w:color="auto"/>
            <w:bottom w:val="none" w:sz="0" w:space="0" w:color="auto"/>
            <w:right w:val="none" w:sz="0" w:space="0" w:color="auto"/>
          </w:divBdr>
        </w:div>
      </w:divsChild>
    </w:div>
    <w:div w:id="556743822">
      <w:bodyDiv w:val="1"/>
      <w:marLeft w:val="0"/>
      <w:marRight w:val="0"/>
      <w:marTop w:val="0"/>
      <w:marBottom w:val="0"/>
      <w:divBdr>
        <w:top w:val="none" w:sz="0" w:space="0" w:color="auto"/>
        <w:left w:val="none" w:sz="0" w:space="0" w:color="auto"/>
        <w:bottom w:val="none" w:sz="0" w:space="0" w:color="auto"/>
        <w:right w:val="none" w:sz="0" w:space="0" w:color="auto"/>
      </w:divBdr>
    </w:div>
    <w:div w:id="558397424">
      <w:bodyDiv w:val="1"/>
      <w:marLeft w:val="0"/>
      <w:marRight w:val="0"/>
      <w:marTop w:val="0"/>
      <w:marBottom w:val="0"/>
      <w:divBdr>
        <w:top w:val="none" w:sz="0" w:space="0" w:color="auto"/>
        <w:left w:val="none" w:sz="0" w:space="0" w:color="auto"/>
        <w:bottom w:val="none" w:sz="0" w:space="0" w:color="auto"/>
        <w:right w:val="none" w:sz="0" w:space="0" w:color="auto"/>
      </w:divBdr>
    </w:div>
    <w:div w:id="566305746">
      <w:bodyDiv w:val="1"/>
      <w:marLeft w:val="0"/>
      <w:marRight w:val="0"/>
      <w:marTop w:val="0"/>
      <w:marBottom w:val="0"/>
      <w:divBdr>
        <w:top w:val="none" w:sz="0" w:space="0" w:color="auto"/>
        <w:left w:val="none" w:sz="0" w:space="0" w:color="auto"/>
        <w:bottom w:val="none" w:sz="0" w:space="0" w:color="auto"/>
        <w:right w:val="none" w:sz="0" w:space="0" w:color="auto"/>
      </w:divBdr>
    </w:div>
    <w:div w:id="578634241">
      <w:bodyDiv w:val="1"/>
      <w:marLeft w:val="0"/>
      <w:marRight w:val="0"/>
      <w:marTop w:val="0"/>
      <w:marBottom w:val="0"/>
      <w:divBdr>
        <w:top w:val="none" w:sz="0" w:space="0" w:color="auto"/>
        <w:left w:val="none" w:sz="0" w:space="0" w:color="auto"/>
        <w:bottom w:val="none" w:sz="0" w:space="0" w:color="auto"/>
        <w:right w:val="none" w:sz="0" w:space="0" w:color="auto"/>
      </w:divBdr>
    </w:div>
    <w:div w:id="585966895">
      <w:bodyDiv w:val="1"/>
      <w:marLeft w:val="0"/>
      <w:marRight w:val="0"/>
      <w:marTop w:val="0"/>
      <w:marBottom w:val="0"/>
      <w:divBdr>
        <w:top w:val="none" w:sz="0" w:space="0" w:color="auto"/>
        <w:left w:val="none" w:sz="0" w:space="0" w:color="auto"/>
        <w:bottom w:val="none" w:sz="0" w:space="0" w:color="auto"/>
        <w:right w:val="none" w:sz="0" w:space="0" w:color="auto"/>
      </w:divBdr>
    </w:div>
    <w:div w:id="618222584">
      <w:bodyDiv w:val="1"/>
      <w:marLeft w:val="0"/>
      <w:marRight w:val="0"/>
      <w:marTop w:val="0"/>
      <w:marBottom w:val="0"/>
      <w:divBdr>
        <w:top w:val="none" w:sz="0" w:space="0" w:color="auto"/>
        <w:left w:val="none" w:sz="0" w:space="0" w:color="auto"/>
        <w:bottom w:val="none" w:sz="0" w:space="0" w:color="auto"/>
        <w:right w:val="none" w:sz="0" w:space="0" w:color="auto"/>
      </w:divBdr>
    </w:div>
    <w:div w:id="618924840">
      <w:bodyDiv w:val="1"/>
      <w:marLeft w:val="0"/>
      <w:marRight w:val="0"/>
      <w:marTop w:val="0"/>
      <w:marBottom w:val="0"/>
      <w:divBdr>
        <w:top w:val="none" w:sz="0" w:space="0" w:color="auto"/>
        <w:left w:val="none" w:sz="0" w:space="0" w:color="auto"/>
        <w:bottom w:val="none" w:sz="0" w:space="0" w:color="auto"/>
        <w:right w:val="none" w:sz="0" w:space="0" w:color="auto"/>
      </w:divBdr>
    </w:div>
    <w:div w:id="620379029">
      <w:bodyDiv w:val="1"/>
      <w:marLeft w:val="0"/>
      <w:marRight w:val="0"/>
      <w:marTop w:val="0"/>
      <w:marBottom w:val="0"/>
      <w:divBdr>
        <w:top w:val="none" w:sz="0" w:space="0" w:color="auto"/>
        <w:left w:val="none" w:sz="0" w:space="0" w:color="auto"/>
        <w:bottom w:val="none" w:sz="0" w:space="0" w:color="auto"/>
        <w:right w:val="none" w:sz="0" w:space="0" w:color="auto"/>
      </w:divBdr>
    </w:div>
    <w:div w:id="631133393">
      <w:bodyDiv w:val="1"/>
      <w:marLeft w:val="0"/>
      <w:marRight w:val="0"/>
      <w:marTop w:val="0"/>
      <w:marBottom w:val="0"/>
      <w:divBdr>
        <w:top w:val="none" w:sz="0" w:space="0" w:color="auto"/>
        <w:left w:val="none" w:sz="0" w:space="0" w:color="auto"/>
        <w:bottom w:val="none" w:sz="0" w:space="0" w:color="auto"/>
        <w:right w:val="none" w:sz="0" w:space="0" w:color="auto"/>
      </w:divBdr>
    </w:div>
    <w:div w:id="631861923">
      <w:bodyDiv w:val="1"/>
      <w:marLeft w:val="0"/>
      <w:marRight w:val="0"/>
      <w:marTop w:val="0"/>
      <w:marBottom w:val="0"/>
      <w:divBdr>
        <w:top w:val="none" w:sz="0" w:space="0" w:color="auto"/>
        <w:left w:val="none" w:sz="0" w:space="0" w:color="auto"/>
        <w:bottom w:val="none" w:sz="0" w:space="0" w:color="auto"/>
        <w:right w:val="none" w:sz="0" w:space="0" w:color="auto"/>
      </w:divBdr>
    </w:div>
    <w:div w:id="632564048">
      <w:bodyDiv w:val="1"/>
      <w:marLeft w:val="0"/>
      <w:marRight w:val="0"/>
      <w:marTop w:val="0"/>
      <w:marBottom w:val="0"/>
      <w:divBdr>
        <w:top w:val="none" w:sz="0" w:space="0" w:color="auto"/>
        <w:left w:val="none" w:sz="0" w:space="0" w:color="auto"/>
        <w:bottom w:val="none" w:sz="0" w:space="0" w:color="auto"/>
        <w:right w:val="none" w:sz="0" w:space="0" w:color="auto"/>
      </w:divBdr>
    </w:div>
    <w:div w:id="650712744">
      <w:bodyDiv w:val="1"/>
      <w:marLeft w:val="0"/>
      <w:marRight w:val="0"/>
      <w:marTop w:val="0"/>
      <w:marBottom w:val="0"/>
      <w:divBdr>
        <w:top w:val="none" w:sz="0" w:space="0" w:color="auto"/>
        <w:left w:val="none" w:sz="0" w:space="0" w:color="auto"/>
        <w:bottom w:val="none" w:sz="0" w:space="0" w:color="auto"/>
        <w:right w:val="none" w:sz="0" w:space="0" w:color="auto"/>
      </w:divBdr>
    </w:div>
    <w:div w:id="662587592">
      <w:bodyDiv w:val="1"/>
      <w:marLeft w:val="0"/>
      <w:marRight w:val="0"/>
      <w:marTop w:val="0"/>
      <w:marBottom w:val="0"/>
      <w:divBdr>
        <w:top w:val="none" w:sz="0" w:space="0" w:color="auto"/>
        <w:left w:val="none" w:sz="0" w:space="0" w:color="auto"/>
        <w:bottom w:val="none" w:sz="0" w:space="0" w:color="auto"/>
        <w:right w:val="none" w:sz="0" w:space="0" w:color="auto"/>
      </w:divBdr>
    </w:div>
    <w:div w:id="691683444">
      <w:bodyDiv w:val="1"/>
      <w:marLeft w:val="0"/>
      <w:marRight w:val="0"/>
      <w:marTop w:val="0"/>
      <w:marBottom w:val="0"/>
      <w:divBdr>
        <w:top w:val="none" w:sz="0" w:space="0" w:color="auto"/>
        <w:left w:val="none" w:sz="0" w:space="0" w:color="auto"/>
        <w:bottom w:val="none" w:sz="0" w:space="0" w:color="auto"/>
        <w:right w:val="none" w:sz="0" w:space="0" w:color="auto"/>
      </w:divBdr>
    </w:div>
    <w:div w:id="694499640">
      <w:bodyDiv w:val="1"/>
      <w:marLeft w:val="0"/>
      <w:marRight w:val="0"/>
      <w:marTop w:val="0"/>
      <w:marBottom w:val="0"/>
      <w:divBdr>
        <w:top w:val="none" w:sz="0" w:space="0" w:color="auto"/>
        <w:left w:val="none" w:sz="0" w:space="0" w:color="auto"/>
        <w:bottom w:val="none" w:sz="0" w:space="0" w:color="auto"/>
        <w:right w:val="none" w:sz="0" w:space="0" w:color="auto"/>
      </w:divBdr>
    </w:div>
    <w:div w:id="713850403">
      <w:bodyDiv w:val="1"/>
      <w:marLeft w:val="0"/>
      <w:marRight w:val="0"/>
      <w:marTop w:val="0"/>
      <w:marBottom w:val="0"/>
      <w:divBdr>
        <w:top w:val="none" w:sz="0" w:space="0" w:color="auto"/>
        <w:left w:val="none" w:sz="0" w:space="0" w:color="auto"/>
        <w:bottom w:val="none" w:sz="0" w:space="0" w:color="auto"/>
        <w:right w:val="none" w:sz="0" w:space="0" w:color="auto"/>
      </w:divBdr>
    </w:div>
    <w:div w:id="737553479">
      <w:bodyDiv w:val="1"/>
      <w:marLeft w:val="0"/>
      <w:marRight w:val="0"/>
      <w:marTop w:val="0"/>
      <w:marBottom w:val="0"/>
      <w:divBdr>
        <w:top w:val="none" w:sz="0" w:space="0" w:color="auto"/>
        <w:left w:val="none" w:sz="0" w:space="0" w:color="auto"/>
        <w:bottom w:val="none" w:sz="0" w:space="0" w:color="auto"/>
        <w:right w:val="none" w:sz="0" w:space="0" w:color="auto"/>
      </w:divBdr>
    </w:div>
    <w:div w:id="740912488">
      <w:bodyDiv w:val="1"/>
      <w:marLeft w:val="0"/>
      <w:marRight w:val="0"/>
      <w:marTop w:val="0"/>
      <w:marBottom w:val="0"/>
      <w:divBdr>
        <w:top w:val="none" w:sz="0" w:space="0" w:color="auto"/>
        <w:left w:val="none" w:sz="0" w:space="0" w:color="auto"/>
        <w:bottom w:val="none" w:sz="0" w:space="0" w:color="auto"/>
        <w:right w:val="none" w:sz="0" w:space="0" w:color="auto"/>
      </w:divBdr>
    </w:div>
    <w:div w:id="752510706">
      <w:bodyDiv w:val="1"/>
      <w:marLeft w:val="0"/>
      <w:marRight w:val="0"/>
      <w:marTop w:val="0"/>
      <w:marBottom w:val="0"/>
      <w:divBdr>
        <w:top w:val="none" w:sz="0" w:space="0" w:color="auto"/>
        <w:left w:val="none" w:sz="0" w:space="0" w:color="auto"/>
        <w:bottom w:val="none" w:sz="0" w:space="0" w:color="auto"/>
        <w:right w:val="none" w:sz="0" w:space="0" w:color="auto"/>
      </w:divBdr>
    </w:div>
    <w:div w:id="753207788">
      <w:bodyDiv w:val="1"/>
      <w:marLeft w:val="0"/>
      <w:marRight w:val="0"/>
      <w:marTop w:val="0"/>
      <w:marBottom w:val="0"/>
      <w:divBdr>
        <w:top w:val="none" w:sz="0" w:space="0" w:color="auto"/>
        <w:left w:val="none" w:sz="0" w:space="0" w:color="auto"/>
        <w:bottom w:val="none" w:sz="0" w:space="0" w:color="auto"/>
        <w:right w:val="none" w:sz="0" w:space="0" w:color="auto"/>
      </w:divBdr>
    </w:div>
    <w:div w:id="765344224">
      <w:bodyDiv w:val="1"/>
      <w:marLeft w:val="0"/>
      <w:marRight w:val="0"/>
      <w:marTop w:val="0"/>
      <w:marBottom w:val="0"/>
      <w:divBdr>
        <w:top w:val="none" w:sz="0" w:space="0" w:color="auto"/>
        <w:left w:val="none" w:sz="0" w:space="0" w:color="auto"/>
        <w:bottom w:val="none" w:sz="0" w:space="0" w:color="auto"/>
        <w:right w:val="none" w:sz="0" w:space="0" w:color="auto"/>
      </w:divBdr>
    </w:div>
    <w:div w:id="780806866">
      <w:bodyDiv w:val="1"/>
      <w:marLeft w:val="0"/>
      <w:marRight w:val="0"/>
      <w:marTop w:val="0"/>
      <w:marBottom w:val="0"/>
      <w:divBdr>
        <w:top w:val="none" w:sz="0" w:space="0" w:color="auto"/>
        <w:left w:val="none" w:sz="0" w:space="0" w:color="auto"/>
        <w:bottom w:val="none" w:sz="0" w:space="0" w:color="auto"/>
        <w:right w:val="none" w:sz="0" w:space="0" w:color="auto"/>
      </w:divBdr>
    </w:div>
    <w:div w:id="795026082">
      <w:bodyDiv w:val="1"/>
      <w:marLeft w:val="0"/>
      <w:marRight w:val="0"/>
      <w:marTop w:val="0"/>
      <w:marBottom w:val="0"/>
      <w:divBdr>
        <w:top w:val="none" w:sz="0" w:space="0" w:color="auto"/>
        <w:left w:val="none" w:sz="0" w:space="0" w:color="auto"/>
        <w:bottom w:val="none" w:sz="0" w:space="0" w:color="auto"/>
        <w:right w:val="none" w:sz="0" w:space="0" w:color="auto"/>
      </w:divBdr>
    </w:div>
    <w:div w:id="795877709">
      <w:bodyDiv w:val="1"/>
      <w:marLeft w:val="0"/>
      <w:marRight w:val="0"/>
      <w:marTop w:val="0"/>
      <w:marBottom w:val="0"/>
      <w:divBdr>
        <w:top w:val="none" w:sz="0" w:space="0" w:color="auto"/>
        <w:left w:val="none" w:sz="0" w:space="0" w:color="auto"/>
        <w:bottom w:val="none" w:sz="0" w:space="0" w:color="auto"/>
        <w:right w:val="none" w:sz="0" w:space="0" w:color="auto"/>
      </w:divBdr>
    </w:div>
    <w:div w:id="802045268">
      <w:bodyDiv w:val="1"/>
      <w:marLeft w:val="0"/>
      <w:marRight w:val="0"/>
      <w:marTop w:val="0"/>
      <w:marBottom w:val="0"/>
      <w:divBdr>
        <w:top w:val="none" w:sz="0" w:space="0" w:color="auto"/>
        <w:left w:val="none" w:sz="0" w:space="0" w:color="auto"/>
        <w:bottom w:val="none" w:sz="0" w:space="0" w:color="auto"/>
        <w:right w:val="none" w:sz="0" w:space="0" w:color="auto"/>
      </w:divBdr>
    </w:div>
    <w:div w:id="802576952">
      <w:bodyDiv w:val="1"/>
      <w:marLeft w:val="0"/>
      <w:marRight w:val="0"/>
      <w:marTop w:val="0"/>
      <w:marBottom w:val="0"/>
      <w:divBdr>
        <w:top w:val="none" w:sz="0" w:space="0" w:color="auto"/>
        <w:left w:val="none" w:sz="0" w:space="0" w:color="auto"/>
        <w:bottom w:val="none" w:sz="0" w:space="0" w:color="auto"/>
        <w:right w:val="none" w:sz="0" w:space="0" w:color="auto"/>
      </w:divBdr>
    </w:div>
    <w:div w:id="804591771">
      <w:bodyDiv w:val="1"/>
      <w:marLeft w:val="0"/>
      <w:marRight w:val="0"/>
      <w:marTop w:val="0"/>
      <w:marBottom w:val="0"/>
      <w:divBdr>
        <w:top w:val="none" w:sz="0" w:space="0" w:color="auto"/>
        <w:left w:val="none" w:sz="0" w:space="0" w:color="auto"/>
        <w:bottom w:val="none" w:sz="0" w:space="0" w:color="auto"/>
        <w:right w:val="none" w:sz="0" w:space="0" w:color="auto"/>
      </w:divBdr>
    </w:div>
    <w:div w:id="804930026">
      <w:bodyDiv w:val="1"/>
      <w:marLeft w:val="0"/>
      <w:marRight w:val="0"/>
      <w:marTop w:val="0"/>
      <w:marBottom w:val="0"/>
      <w:divBdr>
        <w:top w:val="none" w:sz="0" w:space="0" w:color="auto"/>
        <w:left w:val="none" w:sz="0" w:space="0" w:color="auto"/>
        <w:bottom w:val="none" w:sz="0" w:space="0" w:color="auto"/>
        <w:right w:val="none" w:sz="0" w:space="0" w:color="auto"/>
      </w:divBdr>
    </w:div>
    <w:div w:id="814830754">
      <w:bodyDiv w:val="1"/>
      <w:marLeft w:val="0"/>
      <w:marRight w:val="0"/>
      <w:marTop w:val="0"/>
      <w:marBottom w:val="0"/>
      <w:divBdr>
        <w:top w:val="none" w:sz="0" w:space="0" w:color="auto"/>
        <w:left w:val="none" w:sz="0" w:space="0" w:color="auto"/>
        <w:bottom w:val="none" w:sz="0" w:space="0" w:color="auto"/>
        <w:right w:val="none" w:sz="0" w:space="0" w:color="auto"/>
      </w:divBdr>
    </w:div>
    <w:div w:id="815604374">
      <w:bodyDiv w:val="1"/>
      <w:marLeft w:val="0"/>
      <w:marRight w:val="0"/>
      <w:marTop w:val="0"/>
      <w:marBottom w:val="0"/>
      <w:divBdr>
        <w:top w:val="none" w:sz="0" w:space="0" w:color="auto"/>
        <w:left w:val="none" w:sz="0" w:space="0" w:color="auto"/>
        <w:bottom w:val="none" w:sz="0" w:space="0" w:color="auto"/>
        <w:right w:val="none" w:sz="0" w:space="0" w:color="auto"/>
      </w:divBdr>
    </w:div>
    <w:div w:id="827862249">
      <w:bodyDiv w:val="1"/>
      <w:marLeft w:val="0"/>
      <w:marRight w:val="0"/>
      <w:marTop w:val="0"/>
      <w:marBottom w:val="0"/>
      <w:divBdr>
        <w:top w:val="none" w:sz="0" w:space="0" w:color="auto"/>
        <w:left w:val="none" w:sz="0" w:space="0" w:color="auto"/>
        <w:bottom w:val="none" w:sz="0" w:space="0" w:color="auto"/>
        <w:right w:val="none" w:sz="0" w:space="0" w:color="auto"/>
      </w:divBdr>
    </w:div>
    <w:div w:id="865292223">
      <w:bodyDiv w:val="1"/>
      <w:marLeft w:val="0"/>
      <w:marRight w:val="0"/>
      <w:marTop w:val="0"/>
      <w:marBottom w:val="0"/>
      <w:divBdr>
        <w:top w:val="none" w:sz="0" w:space="0" w:color="auto"/>
        <w:left w:val="none" w:sz="0" w:space="0" w:color="auto"/>
        <w:bottom w:val="none" w:sz="0" w:space="0" w:color="auto"/>
        <w:right w:val="none" w:sz="0" w:space="0" w:color="auto"/>
      </w:divBdr>
    </w:div>
    <w:div w:id="869300672">
      <w:bodyDiv w:val="1"/>
      <w:marLeft w:val="0"/>
      <w:marRight w:val="0"/>
      <w:marTop w:val="0"/>
      <w:marBottom w:val="0"/>
      <w:divBdr>
        <w:top w:val="none" w:sz="0" w:space="0" w:color="auto"/>
        <w:left w:val="none" w:sz="0" w:space="0" w:color="auto"/>
        <w:bottom w:val="none" w:sz="0" w:space="0" w:color="auto"/>
        <w:right w:val="none" w:sz="0" w:space="0" w:color="auto"/>
      </w:divBdr>
    </w:div>
    <w:div w:id="889074254">
      <w:bodyDiv w:val="1"/>
      <w:marLeft w:val="0"/>
      <w:marRight w:val="0"/>
      <w:marTop w:val="0"/>
      <w:marBottom w:val="0"/>
      <w:divBdr>
        <w:top w:val="none" w:sz="0" w:space="0" w:color="auto"/>
        <w:left w:val="none" w:sz="0" w:space="0" w:color="auto"/>
        <w:bottom w:val="none" w:sz="0" w:space="0" w:color="auto"/>
        <w:right w:val="none" w:sz="0" w:space="0" w:color="auto"/>
      </w:divBdr>
    </w:div>
    <w:div w:id="897591723">
      <w:bodyDiv w:val="1"/>
      <w:marLeft w:val="0"/>
      <w:marRight w:val="0"/>
      <w:marTop w:val="0"/>
      <w:marBottom w:val="0"/>
      <w:divBdr>
        <w:top w:val="none" w:sz="0" w:space="0" w:color="auto"/>
        <w:left w:val="none" w:sz="0" w:space="0" w:color="auto"/>
        <w:bottom w:val="none" w:sz="0" w:space="0" w:color="auto"/>
        <w:right w:val="none" w:sz="0" w:space="0" w:color="auto"/>
      </w:divBdr>
    </w:div>
    <w:div w:id="904143866">
      <w:bodyDiv w:val="1"/>
      <w:marLeft w:val="0"/>
      <w:marRight w:val="0"/>
      <w:marTop w:val="0"/>
      <w:marBottom w:val="0"/>
      <w:divBdr>
        <w:top w:val="none" w:sz="0" w:space="0" w:color="auto"/>
        <w:left w:val="none" w:sz="0" w:space="0" w:color="auto"/>
        <w:bottom w:val="none" w:sz="0" w:space="0" w:color="auto"/>
        <w:right w:val="none" w:sz="0" w:space="0" w:color="auto"/>
      </w:divBdr>
    </w:div>
    <w:div w:id="919363843">
      <w:bodyDiv w:val="1"/>
      <w:marLeft w:val="0"/>
      <w:marRight w:val="0"/>
      <w:marTop w:val="0"/>
      <w:marBottom w:val="0"/>
      <w:divBdr>
        <w:top w:val="none" w:sz="0" w:space="0" w:color="auto"/>
        <w:left w:val="none" w:sz="0" w:space="0" w:color="auto"/>
        <w:bottom w:val="none" w:sz="0" w:space="0" w:color="auto"/>
        <w:right w:val="none" w:sz="0" w:space="0" w:color="auto"/>
      </w:divBdr>
    </w:div>
    <w:div w:id="923680898">
      <w:bodyDiv w:val="1"/>
      <w:marLeft w:val="0"/>
      <w:marRight w:val="0"/>
      <w:marTop w:val="0"/>
      <w:marBottom w:val="0"/>
      <w:divBdr>
        <w:top w:val="none" w:sz="0" w:space="0" w:color="auto"/>
        <w:left w:val="none" w:sz="0" w:space="0" w:color="auto"/>
        <w:bottom w:val="none" w:sz="0" w:space="0" w:color="auto"/>
        <w:right w:val="none" w:sz="0" w:space="0" w:color="auto"/>
      </w:divBdr>
    </w:div>
    <w:div w:id="926036955">
      <w:bodyDiv w:val="1"/>
      <w:marLeft w:val="0"/>
      <w:marRight w:val="0"/>
      <w:marTop w:val="0"/>
      <w:marBottom w:val="0"/>
      <w:divBdr>
        <w:top w:val="none" w:sz="0" w:space="0" w:color="auto"/>
        <w:left w:val="none" w:sz="0" w:space="0" w:color="auto"/>
        <w:bottom w:val="none" w:sz="0" w:space="0" w:color="auto"/>
        <w:right w:val="none" w:sz="0" w:space="0" w:color="auto"/>
      </w:divBdr>
    </w:div>
    <w:div w:id="933627990">
      <w:bodyDiv w:val="1"/>
      <w:marLeft w:val="0"/>
      <w:marRight w:val="0"/>
      <w:marTop w:val="0"/>
      <w:marBottom w:val="0"/>
      <w:divBdr>
        <w:top w:val="none" w:sz="0" w:space="0" w:color="auto"/>
        <w:left w:val="none" w:sz="0" w:space="0" w:color="auto"/>
        <w:bottom w:val="none" w:sz="0" w:space="0" w:color="auto"/>
        <w:right w:val="none" w:sz="0" w:space="0" w:color="auto"/>
      </w:divBdr>
    </w:div>
    <w:div w:id="937757081">
      <w:bodyDiv w:val="1"/>
      <w:marLeft w:val="0"/>
      <w:marRight w:val="0"/>
      <w:marTop w:val="0"/>
      <w:marBottom w:val="0"/>
      <w:divBdr>
        <w:top w:val="none" w:sz="0" w:space="0" w:color="auto"/>
        <w:left w:val="none" w:sz="0" w:space="0" w:color="auto"/>
        <w:bottom w:val="none" w:sz="0" w:space="0" w:color="auto"/>
        <w:right w:val="none" w:sz="0" w:space="0" w:color="auto"/>
      </w:divBdr>
    </w:div>
    <w:div w:id="956958144">
      <w:bodyDiv w:val="1"/>
      <w:marLeft w:val="0"/>
      <w:marRight w:val="0"/>
      <w:marTop w:val="0"/>
      <w:marBottom w:val="0"/>
      <w:divBdr>
        <w:top w:val="none" w:sz="0" w:space="0" w:color="auto"/>
        <w:left w:val="none" w:sz="0" w:space="0" w:color="auto"/>
        <w:bottom w:val="none" w:sz="0" w:space="0" w:color="auto"/>
        <w:right w:val="none" w:sz="0" w:space="0" w:color="auto"/>
      </w:divBdr>
    </w:div>
    <w:div w:id="958923529">
      <w:bodyDiv w:val="1"/>
      <w:marLeft w:val="0"/>
      <w:marRight w:val="0"/>
      <w:marTop w:val="0"/>
      <w:marBottom w:val="0"/>
      <w:divBdr>
        <w:top w:val="none" w:sz="0" w:space="0" w:color="auto"/>
        <w:left w:val="none" w:sz="0" w:space="0" w:color="auto"/>
        <w:bottom w:val="none" w:sz="0" w:space="0" w:color="auto"/>
        <w:right w:val="none" w:sz="0" w:space="0" w:color="auto"/>
      </w:divBdr>
    </w:div>
    <w:div w:id="964577585">
      <w:bodyDiv w:val="1"/>
      <w:marLeft w:val="0"/>
      <w:marRight w:val="0"/>
      <w:marTop w:val="0"/>
      <w:marBottom w:val="0"/>
      <w:divBdr>
        <w:top w:val="none" w:sz="0" w:space="0" w:color="auto"/>
        <w:left w:val="none" w:sz="0" w:space="0" w:color="auto"/>
        <w:bottom w:val="none" w:sz="0" w:space="0" w:color="auto"/>
        <w:right w:val="none" w:sz="0" w:space="0" w:color="auto"/>
      </w:divBdr>
    </w:div>
    <w:div w:id="974094157">
      <w:bodyDiv w:val="1"/>
      <w:marLeft w:val="0"/>
      <w:marRight w:val="0"/>
      <w:marTop w:val="0"/>
      <w:marBottom w:val="0"/>
      <w:divBdr>
        <w:top w:val="none" w:sz="0" w:space="0" w:color="auto"/>
        <w:left w:val="none" w:sz="0" w:space="0" w:color="auto"/>
        <w:bottom w:val="none" w:sz="0" w:space="0" w:color="auto"/>
        <w:right w:val="none" w:sz="0" w:space="0" w:color="auto"/>
      </w:divBdr>
    </w:div>
    <w:div w:id="974674540">
      <w:bodyDiv w:val="1"/>
      <w:marLeft w:val="0"/>
      <w:marRight w:val="0"/>
      <w:marTop w:val="0"/>
      <w:marBottom w:val="0"/>
      <w:divBdr>
        <w:top w:val="none" w:sz="0" w:space="0" w:color="auto"/>
        <w:left w:val="none" w:sz="0" w:space="0" w:color="auto"/>
        <w:bottom w:val="none" w:sz="0" w:space="0" w:color="auto"/>
        <w:right w:val="none" w:sz="0" w:space="0" w:color="auto"/>
      </w:divBdr>
    </w:div>
    <w:div w:id="984814160">
      <w:bodyDiv w:val="1"/>
      <w:marLeft w:val="0"/>
      <w:marRight w:val="0"/>
      <w:marTop w:val="0"/>
      <w:marBottom w:val="0"/>
      <w:divBdr>
        <w:top w:val="none" w:sz="0" w:space="0" w:color="auto"/>
        <w:left w:val="none" w:sz="0" w:space="0" w:color="auto"/>
        <w:bottom w:val="none" w:sz="0" w:space="0" w:color="auto"/>
        <w:right w:val="none" w:sz="0" w:space="0" w:color="auto"/>
      </w:divBdr>
    </w:div>
    <w:div w:id="995111858">
      <w:bodyDiv w:val="1"/>
      <w:marLeft w:val="0"/>
      <w:marRight w:val="0"/>
      <w:marTop w:val="0"/>
      <w:marBottom w:val="0"/>
      <w:divBdr>
        <w:top w:val="none" w:sz="0" w:space="0" w:color="auto"/>
        <w:left w:val="none" w:sz="0" w:space="0" w:color="auto"/>
        <w:bottom w:val="none" w:sz="0" w:space="0" w:color="auto"/>
        <w:right w:val="none" w:sz="0" w:space="0" w:color="auto"/>
      </w:divBdr>
    </w:div>
    <w:div w:id="995574476">
      <w:bodyDiv w:val="1"/>
      <w:marLeft w:val="0"/>
      <w:marRight w:val="0"/>
      <w:marTop w:val="0"/>
      <w:marBottom w:val="0"/>
      <w:divBdr>
        <w:top w:val="none" w:sz="0" w:space="0" w:color="auto"/>
        <w:left w:val="none" w:sz="0" w:space="0" w:color="auto"/>
        <w:bottom w:val="none" w:sz="0" w:space="0" w:color="auto"/>
        <w:right w:val="none" w:sz="0" w:space="0" w:color="auto"/>
      </w:divBdr>
    </w:div>
    <w:div w:id="997458257">
      <w:bodyDiv w:val="1"/>
      <w:marLeft w:val="0"/>
      <w:marRight w:val="0"/>
      <w:marTop w:val="0"/>
      <w:marBottom w:val="0"/>
      <w:divBdr>
        <w:top w:val="none" w:sz="0" w:space="0" w:color="auto"/>
        <w:left w:val="none" w:sz="0" w:space="0" w:color="auto"/>
        <w:bottom w:val="none" w:sz="0" w:space="0" w:color="auto"/>
        <w:right w:val="none" w:sz="0" w:space="0" w:color="auto"/>
      </w:divBdr>
    </w:div>
    <w:div w:id="1018115163">
      <w:bodyDiv w:val="1"/>
      <w:marLeft w:val="0"/>
      <w:marRight w:val="0"/>
      <w:marTop w:val="0"/>
      <w:marBottom w:val="0"/>
      <w:divBdr>
        <w:top w:val="none" w:sz="0" w:space="0" w:color="auto"/>
        <w:left w:val="none" w:sz="0" w:space="0" w:color="auto"/>
        <w:bottom w:val="none" w:sz="0" w:space="0" w:color="auto"/>
        <w:right w:val="none" w:sz="0" w:space="0" w:color="auto"/>
      </w:divBdr>
    </w:div>
    <w:div w:id="1028798431">
      <w:bodyDiv w:val="1"/>
      <w:marLeft w:val="0"/>
      <w:marRight w:val="0"/>
      <w:marTop w:val="0"/>
      <w:marBottom w:val="0"/>
      <w:divBdr>
        <w:top w:val="none" w:sz="0" w:space="0" w:color="auto"/>
        <w:left w:val="none" w:sz="0" w:space="0" w:color="auto"/>
        <w:bottom w:val="none" w:sz="0" w:space="0" w:color="auto"/>
        <w:right w:val="none" w:sz="0" w:space="0" w:color="auto"/>
      </w:divBdr>
      <w:divsChild>
        <w:div w:id="1954939078">
          <w:marLeft w:val="0"/>
          <w:marRight w:val="0"/>
          <w:marTop w:val="0"/>
          <w:marBottom w:val="0"/>
          <w:divBdr>
            <w:top w:val="none" w:sz="0" w:space="0" w:color="auto"/>
            <w:left w:val="none" w:sz="0" w:space="0" w:color="auto"/>
            <w:bottom w:val="none" w:sz="0" w:space="0" w:color="auto"/>
            <w:right w:val="none" w:sz="0" w:space="0" w:color="auto"/>
          </w:divBdr>
        </w:div>
      </w:divsChild>
    </w:div>
    <w:div w:id="1037126387">
      <w:bodyDiv w:val="1"/>
      <w:marLeft w:val="0"/>
      <w:marRight w:val="0"/>
      <w:marTop w:val="0"/>
      <w:marBottom w:val="0"/>
      <w:divBdr>
        <w:top w:val="none" w:sz="0" w:space="0" w:color="auto"/>
        <w:left w:val="none" w:sz="0" w:space="0" w:color="auto"/>
        <w:bottom w:val="none" w:sz="0" w:space="0" w:color="auto"/>
        <w:right w:val="none" w:sz="0" w:space="0" w:color="auto"/>
      </w:divBdr>
    </w:div>
    <w:div w:id="1062026048">
      <w:bodyDiv w:val="1"/>
      <w:marLeft w:val="0"/>
      <w:marRight w:val="0"/>
      <w:marTop w:val="0"/>
      <w:marBottom w:val="0"/>
      <w:divBdr>
        <w:top w:val="none" w:sz="0" w:space="0" w:color="auto"/>
        <w:left w:val="none" w:sz="0" w:space="0" w:color="auto"/>
        <w:bottom w:val="none" w:sz="0" w:space="0" w:color="auto"/>
        <w:right w:val="none" w:sz="0" w:space="0" w:color="auto"/>
      </w:divBdr>
    </w:div>
    <w:div w:id="1068304819">
      <w:bodyDiv w:val="1"/>
      <w:marLeft w:val="0"/>
      <w:marRight w:val="0"/>
      <w:marTop w:val="0"/>
      <w:marBottom w:val="0"/>
      <w:divBdr>
        <w:top w:val="none" w:sz="0" w:space="0" w:color="auto"/>
        <w:left w:val="none" w:sz="0" w:space="0" w:color="auto"/>
        <w:bottom w:val="none" w:sz="0" w:space="0" w:color="auto"/>
        <w:right w:val="none" w:sz="0" w:space="0" w:color="auto"/>
      </w:divBdr>
      <w:divsChild>
        <w:div w:id="1559052174">
          <w:marLeft w:val="0"/>
          <w:marRight w:val="0"/>
          <w:marTop w:val="0"/>
          <w:marBottom w:val="0"/>
          <w:divBdr>
            <w:top w:val="none" w:sz="0" w:space="0" w:color="auto"/>
            <w:left w:val="none" w:sz="0" w:space="0" w:color="auto"/>
            <w:bottom w:val="none" w:sz="0" w:space="0" w:color="auto"/>
            <w:right w:val="none" w:sz="0" w:space="0" w:color="auto"/>
          </w:divBdr>
        </w:div>
      </w:divsChild>
    </w:div>
    <w:div w:id="1070345308">
      <w:bodyDiv w:val="1"/>
      <w:marLeft w:val="0"/>
      <w:marRight w:val="0"/>
      <w:marTop w:val="0"/>
      <w:marBottom w:val="0"/>
      <w:divBdr>
        <w:top w:val="none" w:sz="0" w:space="0" w:color="auto"/>
        <w:left w:val="none" w:sz="0" w:space="0" w:color="auto"/>
        <w:bottom w:val="none" w:sz="0" w:space="0" w:color="auto"/>
        <w:right w:val="none" w:sz="0" w:space="0" w:color="auto"/>
      </w:divBdr>
    </w:div>
    <w:div w:id="1079593903">
      <w:bodyDiv w:val="1"/>
      <w:marLeft w:val="0"/>
      <w:marRight w:val="0"/>
      <w:marTop w:val="0"/>
      <w:marBottom w:val="0"/>
      <w:divBdr>
        <w:top w:val="none" w:sz="0" w:space="0" w:color="auto"/>
        <w:left w:val="none" w:sz="0" w:space="0" w:color="auto"/>
        <w:bottom w:val="none" w:sz="0" w:space="0" w:color="auto"/>
        <w:right w:val="none" w:sz="0" w:space="0" w:color="auto"/>
      </w:divBdr>
    </w:div>
    <w:div w:id="1084647076">
      <w:bodyDiv w:val="1"/>
      <w:marLeft w:val="0"/>
      <w:marRight w:val="0"/>
      <w:marTop w:val="0"/>
      <w:marBottom w:val="0"/>
      <w:divBdr>
        <w:top w:val="none" w:sz="0" w:space="0" w:color="auto"/>
        <w:left w:val="none" w:sz="0" w:space="0" w:color="auto"/>
        <w:bottom w:val="none" w:sz="0" w:space="0" w:color="auto"/>
        <w:right w:val="none" w:sz="0" w:space="0" w:color="auto"/>
      </w:divBdr>
    </w:div>
    <w:div w:id="1100835802">
      <w:bodyDiv w:val="1"/>
      <w:marLeft w:val="0"/>
      <w:marRight w:val="0"/>
      <w:marTop w:val="0"/>
      <w:marBottom w:val="0"/>
      <w:divBdr>
        <w:top w:val="none" w:sz="0" w:space="0" w:color="auto"/>
        <w:left w:val="none" w:sz="0" w:space="0" w:color="auto"/>
        <w:bottom w:val="none" w:sz="0" w:space="0" w:color="auto"/>
        <w:right w:val="none" w:sz="0" w:space="0" w:color="auto"/>
      </w:divBdr>
    </w:div>
    <w:div w:id="1100877463">
      <w:bodyDiv w:val="1"/>
      <w:marLeft w:val="0"/>
      <w:marRight w:val="0"/>
      <w:marTop w:val="0"/>
      <w:marBottom w:val="0"/>
      <w:divBdr>
        <w:top w:val="none" w:sz="0" w:space="0" w:color="auto"/>
        <w:left w:val="none" w:sz="0" w:space="0" w:color="auto"/>
        <w:bottom w:val="none" w:sz="0" w:space="0" w:color="auto"/>
        <w:right w:val="none" w:sz="0" w:space="0" w:color="auto"/>
      </w:divBdr>
    </w:div>
    <w:div w:id="1119296875">
      <w:bodyDiv w:val="1"/>
      <w:marLeft w:val="0"/>
      <w:marRight w:val="0"/>
      <w:marTop w:val="0"/>
      <w:marBottom w:val="0"/>
      <w:divBdr>
        <w:top w:val="none" w:sz="0" w:space="0" w:color="auto"/>
        <w:left w:val="none" w:sz="0" w:space="0" w:color="auto"/>
        <w:bottom w:val="none" w:sz="0" w:space="0" w:color="auto"/>
        <w:right w:val="none" w:sz="0" w:space="0" w:color="auto"/>
      </w:divBdr>
    </w:div>
    <w:div w:id="1120955344">
      <w:bodyDiv w:val="1"/>
      <w:marLeft w:val="0"/>
      <w:marRight w:val="0"/>
      <w:marTop w:val="0"/>
      <w:marBottom w:val="0"/>
      <w:divBdr>
        <w:top w:val="none" w:sz="0" w:space="0" w:color="auto"/>
        <w:left w:val="none" w:sz="0" w:space="0" w:color="auto"/>
        <w:bottom w:val="none" w:sz="0" w:space="0" w:color="auto"/>
        <w:right w:val="none" w:sz="0" w:space="0" w:color="auto"/>
      </w:divBdr>
    </w:div>
    <w:div w:id="1122726365">
      <w:bodyDiv w:val="1"/>
      <w:marLeft w:val="0"/>
      <w:marRight w:val="0"/>
      <w:marTop w:val="0"/>
      <w:marBottom w:val="0"/>
      <w:divBdr>
        <w:top w:val="none" w:sz="0" w:space="0" w:color="auto"/>
        <w:left w:val="none" w:sz="0" w:space="0" w:color="auto"/>
        <w:bottom w:val="none" w:sz="0" w:space="0" w:color="auto"/>
        <w:right w:val="none" w:sz="0" w:space="0" w:color="auto"/>
      </w:divBdr>
    </w:div>
    <w:div w:id="1128013583">
      <w:bodyDiv w:val="1"/>
      <w:marLeft w:val="0"/>
      <w:marRight w:val="0"/>
      <w:marTop w:val="0"/>
      <w:marBottom w:val="0"/>
      <w:divBdr>
        <w:top w:val="none" w:sz="0" w:space="0" w:color="auto"/>
        <w:left w:val="none" w:sz="0" w:space="0" w:color="auto"/>
        <w:bottom w:val="none" w:sz="0" w:space="0" w:color="auto"/>
        <w:right w:val="none" w:sz="0" w:space="0" w:color="auto"/>
      </w:divBdr>
    </w:div>
    <w:div w:id="1142187368">
      <w:bodyDiv w:val="1"/>
      <w:marLeft w:val="0"/>
      <w:marRight w:val="0"/>
      <w:marTop w:val="0"/>
      <w:marBottom w:val="0"/>
      <w:divBdr>
        <w:top w:val="none" w:sz="0" w:space="0" w:color="auto"/>
        <w:left w:val="none" w:sz="0" w:space="0" w:color="auto"/>
        <w:bottom w:val="none" w:sz="0" w:space="0" w:color="auto"/>
        <w:right w:val="none" w:sz="0" w:space="0" w:color="auto"/>
      </w:divBdr>
    </w:div>
    <w:div w:id="1144927989">
      <w:bodyDiv w:val="1"/>
      <w:marLeft w:val="0"/>
      <w:marRight w:val="0"/>
      <w:marTop w:val="0"/>
      <w:marBottom w:val="0"/>
      <w:divBdr>
        <w:top w:val="none" w:sz="0" w:space="0" w:color="auto"/>
        <w:left w:val="none" w:sz="0" w:space="0" w:color="auto"/>
        <w:bottom w:val="none" w:sz="0" w:space="0" w:color="auto"/>
        <w:right w:val="none" w:sz="0" w:space="0" w:color="auto"/>
      </w:divBdr>
    </w:div>
    <w:div w:id="1169447755">
      <w:bodyDiv w:val="1"/>
      <w:marLeft w:val="0"/>
      <w:marRight w:val="0"/>
      <w:marTop w:val="0"/>
      <w:marBottom w:val="0"/>
      <w:divBdr>
        <w:top w:val="none" w:sz="0" w:space="0" w:color="auto"/>
        <w:left w:val="none" w:sz="0" w:space="0" w:color="auto"/>
        <w:bottom w:val="none" w:sz="0" w:space="0" w:color="auto"/>
        <w:right w:val="none" w:sz="0" w:space="0" w:color="auto"/>
      </w:divBdr>
    </w:div>
    <w:div w:id="1174614611">
      <w:bodyDiv w:val="1"/>
      <w:marLeft w:val="0"/>
      <w:marRight w:val="0"/>
      <w:marTop w:val="0"/>
      <w:marBottom w:val="0"/>
      <w:divBdr>
        <w:top w:val="none" w:sz="0" w:space="0" w:color="auto"/>
        <w:left w:val="none" w:sz="0" w:space="0" w:color="auto"/>
        <w:bottom w:val="none" w:sz="0" w:space="0" w:color="auto"/>
        <w:right w:val="none" w:sz="0" w:space="0" w:color="auto"/>
      </w:divBdr>
    </w:div>
    <w:div w:id="1177578589">
      <w:bodyDiv w:val="1"/>
      <w:marLeft w:val="0"/>
      <w:marRight w:val="0"/>
      <w:marTop w:val="0"/>
      <w:marBottom w:val="0"/>
      <w:divBdr>
        <w:top w:val="none" w:sz="0" w:space="0" w:color="auto"/>
        <w:left w:val="none" w:sz="0" w:space="0" w:color="auto"/>
        <w:bottom w:val="none" w:sz="0" w:space="0" w:color="auto"/>
        <w:right w:val="none" w:sz="0" w:space="0" w:color="auto"/>
      </w:divBdr>
    </w:div>
    <w:div w:id="1182624937">
      <w:bodyDiv w:val="1"/>
      <w:marLeft w:val="0"/>
      <w:marRight w:val="0"/>
      <w:marTop w:val="0"/>
      <w:marBottom w:val="0"/>
      <w:divBdr>
        <w:top w:val="none" w:sz="0" w:space="0" w:color="auto"/>
        <w:left w:val="none" w:sz="0" w:space="0" w:color="auto"/>
        <w:bottom w:val="none" w:sz="0" w:space="0" w:color="auto"/>
        <w:right w:val="none" w:sz="0" w:space="0" w:color="auto"/>
      </w:divBdr>
    </w:div>
    <w:div w:id="1183591934">
      <w:bodyDiv w:val="1"/>
      <w:marLeft w:val="0"/>
      <w:marRight w:val="0"/>
      <w:marTop w:val="0"/>
      <w:marBottom w:val="0"/>
      <w:divBdr>
        <w:top w:val="none" w:sz="0" w:space="0" w:color="auto"/>
        <w:left w:val="none" w:sz="0" w:space="0" w:color="auto"/>
        <w:bottom w:val="none" w:sz="0" w:space="0" w:color="auto"/>
        <w:right w:val="none" w:sz="0" w:space="0" w:color="auto"/>
      </w:divBdr>
    </w:div>
    <w:div w:id="1185022512">
      <w:bodyDiv w:val="1"/>
      <w:marLeft w:val="0"/>
      <w:marRight w:val="0"/>
      <w:marTop w:val="0"/>
      <w:marBottom w:val="0"/>
      <w:divBdr>
        <w:top w:val="none" w:sz="0" w:space="0" w:color="auto"/>
        <w:left w:val="none" w:sz="0" w:space="0" w:color="auto"/>
        <w:bottom w:val="none" w:sz="0" w:space="0" w:color="auto"/>
        <w:right w:val="none" w:sz="0" w:space="0" w:color="auto"/>
      </w:divBdr>
      <w:divsChild>
        <w:div w:id="1257206758">
          <w:marLeft w:val="0"/>
          <w:marRight w:val="0"/>
          <w:marTop w:val="0"/>
          <w:marBottom w:val="0"/>
          <w:divBdr>
            <w:top w:val="none" w:sz="0" w:space="0" w:color="auto"/>
            <w:left w:val="none" w:sz="0" w:space="0" w:color="auto"/>
            <w:bottom w:val="none" w:sz="0" w:space="0" w:color="auto"/>
            <w:right w:val="none" w:sz="0" w:space="0" w:color="auto"/>
          </w:divBdr>
        </w:div>
        <w:div w:id="797377168">
          <w:marLeft w:val="0"/>
          <w:marRight w:val="0"/>
          <w:marTop w:val="0"/>
          <w:marBottom w:val="0"/>
          <w:divBdr>
            <w:top w:val="none" w:sz="0" w:space="0" w:color="auto"/>
            <w:left w:val="none" w:sz="0" w:space="0" w:color="auto"/>
            <w:bottom w:val="none" w:sz="0" w:space="0" w:color="auto"/>
            <w:right w:val="none" w:sz="0" w:space="0" w:color="auto"/>
          </w:divBdr>
        </w:div>
      </w:divsChild>
    </w:div>
    <w:div w:id="1195653382">
      <w:bodyDiv w:val="1"/>
      <w:marLeft w:val="0"/>
      <w:marRight w:val="0"/>
      <w:marTop w:val="0"/>
      <w:marBottom w:val="0"/>
      <w:divBdr>
        <w:top w:val="none" w:sz="0" w:space="0" w:color="auto"/>
        <w:left w:val="none" w:sz="0" w:space="0" w:color="auto"/>
        <w:bottom w:val="none" w:sz="0" w:space="0" w:color="auto"/>
        <w:right w:val="none" w:sz="0" w:space="0" w:color="auto"/>
      </w:divBdr>
    </w:div>
    <w:div w:id="1196967999">
      <w:bodyDiv w:val="1"/>
      <w:marLeft w:val="0"/>
      <w:marRight w:val="0"/>
      <w:marTop w:val="0"/>
      <w:marBottom w:val="0"/>
      <w:divBdr>
        <w:top w:val="none" w:sz="0" w:space="0" w:color="auto"/>
        <w:left w:val="none" w:sz="0" w:space="0" w:color="auto"/>
        <w:bottom w:val="none" w:sz="0" w:space="0" w:color="auto"/>
        <w:right w:val="none" w:sz="0" w:space="0" w:color="auto"/>
      </w:divBdr>
    </w:div>
    <w:div w:id="1208184803">
      <w:bodyDiv w:val="1"/>
      <w:marLeft w:val="0"/>
      <w:marRight w:val="0"/>
      <w:marTop w:val="0"/>
      <w:marBottom w:val="0"/>
      <w:divBdr>
        <w:top w:val="none" w:sz="0" w:space="0" w:color="auto"/>
        <w:left w:val="none" w:sz="0" w:space="0" w:color="auto"/>
        <w:bottom w:val="none" w:sz="0" w:space="0" w:color="auto"/>
        <w:right w:val="none" w:sz="0" w:space="0" w:color="auto"/>
      </w:divBdr>
    </w:div>
    <w:div w:id="1222594817">
      <w:bodyDiv w:val="1"/>
      <w:marLeft w:val="0"/>
      <w:marRight w:val="0"/>
      <w:marTop w:val="0"/>
      <w:marBottom w:val="0"/>
      <w:divBdr>
        <w:top w:val="none" w:sz="0" w:space="0" w:color="auto"/>
        <w:left w:val="none" w:sz="0" w:space="0" w:color="auto"/>
        <w:bottom w:val="none" w:sz="0" w:space="0" w:color="auto"/>
        <w:right w:val="none" w:sz="0" w:space="0" w:color="auto"/>
      </w:divBdr>
    </w:div>
    <w:div w:id="1230923958">
      <w:bodyDiv w:val="1"/>
      <w:marLeft w:val="0"/>
      <w:marRight w:val="0"/>
      <w:marTop w:val="0"/>
      <w:marBottom w:val="0"/>
      <w:divBdr>
        <w:top w:val="none" w:sz="0" w:space="0" w:color="auto"/>
        <w:left w:val="none" w:sz="0" w:space="0" w:color="auto"/>
        <w:bottom w:val="none" w:sz="0" w:space="0" w:color="auto"/>
        <w:right w:val="none" w:sz="0" w:space="0" w:color="auto"/>
      </w:divBdr>
    </w:div>
    <w:div w:id="1255243094">
      <w:bodyDiv w:val="1"/>
      <w:marLeft w:val="0"/>
      <w:marRight w:val="0"/>
      <w:marTop w:val="0"/>
      <w:marBottom w:val="0"/>
      <w:divBdr>
        <w:top w:val="none" w:sz="0" w:space="0" w:color="auto"/>
        <w:left w:val="none" w:sz="0" w:space="0" w:color="auto"/>
        <w:bottom w:val="none" w:sz="0" w:space="0" w:color="auto"/>
        <w:right w:val="none" w:sz="0" w:space="0" w:color="auto"/>
      </w:divBdr>
    </w:div>
    <w:div w:id="1257982696">
      <w:bodyDiv w:val="1"/>
      <w:marLeft w:val="0"/>
      <w:marRight w:val="0"/>
      <w:marTop w:val="0"/>
      <w:marBottom w:val="0"/>
      <w:divBdr>
        <w:top w:val="none" w:sz="0" w:space="0" w:color="auto"/>
        <w:left w:val="none" w:sz="0" w:space="0" w:color="auto"/>
        <w:bottom w:val="none" w:sz="0" w:space="0" w:color="auto"/>
        <w:right w:val="none" w:sz="0" w:space="0" w:color="auto"/>
      </w:divBdr>
    </w:div>
    <w:div w:id="1266114885">
      <w:bodyDiv w:val="1"/>
      <w:marLeft w:val="0"/>
      <w:marRight w:val="0"/>
      <w:marTop w:val="0"/>
      <w:marBottom w:val="0"/>
      <w:divBdr>
        <w:top w:val="none" w:sz="0" w:space="0" w:color="auto"/>
        <w:left w:val="none" w:sz="0" w:space="0" w:color="auto"/>
        <w:bottom w:val="none" w:sz="0" w:space="0" w:color="auto"/>
        <w:right w:val="none" w:sz="0" w:space="0" w:color="auto"/>
      </w:divBdr>
    </w:div>
    <w:div w:id="1269704727">
      <w:bodyDiv w:val="1"/>
      <w:marLeft w:val="0"/>
      <w:marRight w:val="0"/>
      <w:marTop w:val="0"/>
      <w:marBottom w:val="0"/>
      <w:divBdr>
        <w:top w:val="none" w:sz="0" w:space="0" w:color="auto"/>
        <w:left w:val="none" w:sz="0" w:space="0" w:color="auto"/>
        <w:bottom w:val="none" w:sz="0" w:space="0" w:color="auto"/>
        <w:right w:val="none" w:sz="0" w:space="0" w:color="auto"/>
      </w:divBdr>
    </w:div>
    <w:div w:id="1284926834">
      <w:bodyDiv w:val="1"/>
      <w:marLeft w:val="0"/>
      <w:marRight w:val="0"/>
      <w:marTop w:val="0"/>
      <w:marBottom w:val="0"/>
      <w:divBdr>
        <w:top w:val="none" w:sz="0" w:space="0" w:color="auto"/>
        <w:left w:val="none" w:sz="0" w:space="0" w:color="auto"/>
        <w:bottom w:val="none" w:sz="0" w:space="0" w:color="auto"/>
        <w:right w:val="none" w:sz="0" w:space="0" w:color="auto"/>
      </w:divBdr>
    </w:div>
    <w:div w:id="1287588240">
      <w:bodyDiv w:val="1"/>
      <w:marLeft w:val="0"/>
      <w:marRight w:val="0"/>
      <w:marTop w:val="0"/>
      <w:marBottom w:val="0"/>
      <w:divBdr>
        <w:top w:val="none" w:sz="0" w:space="0" w:color="auto"/>
        <w:left w:val="none" w:sz="0" w:space="0" w:color="auto"/>
        <w:bottom w:val="none" w:sz="0" w:space="0" w:color="auto"/>
        <w:right w:val="none" w:sz="0" w:space="0" w:color="auto"/>
      </w:divBdr>
    </w:div>
    <w:div w:id="1304583700">
      <w:bodyDiv w:val="1"/>
      <w:marLeft w:val="0"/>
      <w:marRight w:val="0"/>
      <w:marTop w:val="0"/>
      <w:marBottom w:val="0"/>
      <w:divBdr>
        <w:top w:val="none" w:sz="0" w:space="0" w:color="auto"/>
        <w:left w:val="none" w:sz="0" w:space="0" w:color="auto"/>
        <w:bottom w:val="none" w:sz="0" w:space="0" w:color="auto"/>
        <w:right w:val="none" w:sz="0" w:space="0" w:color="auto"/>
      </w:divBdr>
    </w:div>
    <w:div w:id="1309937369">
      <w:bodyDiv w:val="1"/>
      <w:marLeft w:val="0"/>
      <w:marRight w:val="0"/>
      <w:marTop w:val="0"/>
      <w:marBottom w:val="0"/>
      <w:divBdr>
        <w:top w:val="none" w:sz="0" w:space="0" w:color="auto"/>
        <w:left w:val="none" w:sz="0" w:space="0" w:color="auto"/>
        <w:bottom w:val="none" w:sz="0" w:space="0" w:color="auto"/>
        <w:right w:val="none" w:sz="0" w:space="0" w:color="auto"/>
      </w:divBdr>
    </w:div>
    <w:div w:id="1334991144">
      <w:bodyDiv w:val="1"/>
      <w:marLeft w:val="0"/>
      <w:marRight w:val="0"/>
      <w:marTop w:val="0"/>
      <w:marBottom w:val="0"/>
      <w:divBdr>
        <w:top w:val="none" w:sz="0" w:space="0" w:color="auto"/>
        <w:left w:val="none" w:sz="0" w:space="0" w:color="auto"/>
        <w:bottom w:val="none" w:sz="0" w:space="0" w:color="auto"/>
        <w:right w:val="none" w:sz="0" w:space="0" w:color="auto"/>
      </w:divBdr>
    </w:div>
    <w:div w:id="1345009380">
      <w:bodyDiv w:val="1"/>
      <w:marLeft w:val="0"/>
      <w:marRight w:val="0"/>
      <w:marTop w:val="0"/>
      <w:marBottom w:val="0"/>
      <w:divBdr>
        <w:top w:val="none" w:sz="0" w:space="0" w:color="auto"/>
        <w:left w:val="none" w:sz="0" w:space="0" w:color="auto"/>
        <w:bottom w:val="none" w:sz="0" w:space="0" w:color="auto"/>
        <w:right w:val="none" w:sz="0" w:space="0" w:color="auto"/>
      </w:divBdr>
    </w:div>
    <w:div w:id="1346132286">
      <w:bodyDiv w:val="1"/>
      <w:marLeft w:val="0"/>
      <w:marRight w:val="0"/>
      <w:marTop w:val="0"/>
      <w:marBottom w:val="0"/>
      <w:divBdr>
        <w:top w:val="none" w:sz="0" w:space="0" w:color="auto"/>
        <w:left w:val="none" w:sz="0" w:space="0" w:color="auto"/>
        <w:bottom w:val="none" w:sz="0" w:space="0" w:color="auto"/>
        <w:right w:val="none" w:sz="0" w:space="0" w:color="auto"/>
      </w:divBdr>
    </w:div>
    <w:div w:id="1366366432">
      <w:bodyDiv w:val="1"/>
      <w:marLeft w:val="0"/>
      <w:marRight w:val="0"/>
      <w:marTop w:val="0"/>
      <w:marBottom w:val="0"/>
      <w:divBdr>
        <w:top w:val="none" w:sz="0" w:space="0" w:color="auto"/>
        <w:left w:val="none" w:sz="0" w:space="0" w:color="auto"/>
        <w:bottom w:val="none" w:sz="0" w:space="0" w:color="auto"/>
        <w:right w:val="none" w:sz="0" w:space="0" w:color="auto"/>
      </w:divBdr>
    </w:div>
    <w:div w:id="1369333014">
      <w:bodyDiv w:val="1"/>
      <w:marLeft w:val="0"/>
      <w:marRight w:val="0"/>
      <w:marTop w:val="0"/>
      <w:marBottom w:val="0"/>
      <w:divBdr>
        <w:top w:val="none" w:sz="0" w:space="0" w:color="auto"/>
        <w:left w:val="none" w:sz="0" w:space="0" w:color="auto"/>
        <w:bottom w:val="none" w:sz="0" w:space="0" w:color="auto"/>
        <w:right w:val="none" w:sz="0" w:space="0" w:color="auto"/>
      </w:divBdr>
    </w:div>
    <w:div w:id="1377394796">
      <w:bodyDiv w:val="1"/>
      <w:marLeft w:val="0"/>
      <w:marRight w:val="0"/>
      <w:marTop w:val="0"/>
      <w:marBottom w:val="0"/>
      <w:divBdr>
        <w:top w:val="none" w:sz="0" w:space="0" w:color="auto"/>
        <w:left w:val="none" w:sz="0" w:space="0" w:color="auto"/>
        <w:bottom w:val="none" w:sz="0" w:space="0" w:color="auto"/>
        <w:right w:val="none" w:sz="0" w:space="0" w:color="auto"/>
      </w:divBdr>
    </w:div>
    <w:div w:id="1380930976">
      <w:bodyDiv w:val="1"/>
      <w:marLeft w:val="0"/>
      <w:marRight w:val="0"/>
      <w:marTop w:val="0"/>
      <w:marBottom w:val="0"/>
      <w:divBdr>
        <w:top w:val="none" w:sz="0" w:space="0" w:color="auto"/>
        <w:left w:val="none" w:sz="0" w:space="0" w:color="auto"/>
        <w:bottom w:val="none" w:sz="0" w:space="0" w:color="auto"/>
        <w:right w:val="none" w:sz="0" w:space="0" w:color="auto"/>
      </w:divBdr>
    </w:div>
    <w:div w:id="1387483878">
      <w:bodyDiv w:val="1"/>
      <w:marLeft w:val="0"/>
      <w:marRight w:val="0"/>
      <w:marTop w:val="0"/>
      <w:marBottom w:val="0"/>
      <w:divBdr>
        <w:top w:val="none" w:sz="0" w:space="0" w:color="auto"/>
        <w:left w:val="none" w:sz="0" w:space="0" w:color="auto"/>
        <w:bottom w:val="none" w:sz="0" w:space="0" w:color="auto"/>
        <w:right w:val="none" w:sz="0" w:space="0" w:color="auto"/>
      </w:divBdr>
    </w:div>
    <w:div w:id="1396004404">
      <w:bodyDiv w:val="1"/>
      <w:marLeft w:val="0"/>
      <w:marRight w:val="0"/>
      <w:marTop w:val="0"/>
      <w:marBottom w:val="0"/>
      <w:divBdr>
        <w:top w:val="none" w:sz="0" w:space="0" w:color="auto"/>
        <w:left w:val="none" w:sz="0" w:space="0" w:color="auto"/>
        <w:bottom w:val="none" w:sz="0" w:space="0" w:color="auto"/>
        <w:right w:val="none" w:sz="0" w:space="0" w:color="auto"/>
      </w:divBdr>
    </w:div>
    <w:div w:id="1406148513">
      <w:bodyDiv w:val="1"/>
      <w:marLeft w:val="0"/>
      <w:marRight w:val="0"/>
      <w:marTop w:val="0"/>
      <w:marBottom w:val="0"/>
      <w:divBdr>
        <w:top w:val="none" w:sz="0" w:space="0" w:color="auto"/>
        <w:left w:val="none" w:sz="0" w:space="0" w:color="auto"/>
        <w:bottom w:val="none" w:sz="0" w:space="0" w:color="auto"/>
        <w:right w:val="none" w:sz="0" w:space="0" w:color="auto"/>
      </w:divBdr>
      <w:divsChild>
        <w:div w:id="847137119">
          <w:marLeft w:val="0"/>
          <w:marRight w:val="0"/>
          <w:marTop w:val="0"/>
          <w:marBottom w:val="0"/>
          <w:divBdr>
            <w:top w:val="none" w:sz="0" w:space="0" w:color="auto"/>
            <w:left w:val="none" w:sz="0" w:space="0" w:color="auto"/>
            <w:bottom w:val="none" w:sz="0" w:space="0" w:color="auto"/>
            <w:right w:val="none" w:sz="0" w:space="0" w:color="auto"/>
          </w:divBdr>
        </w:div>
      </w:divsChild>
    </w:div>
    <w:div w:id="1416396039">
      <w:bodyDiv w:val="1"/>
      <w:marLeft w:val="0"/>
      <w:marRight w:val="0"/>
      <w:marTop w:val="0"/>
      <w:marBottom w:val="0"/>
      <w:divBdr>
        <w:top w:val="none" w:sz="0" w:space="0" w:color="auto"/>
        <w:left w:val="none" w:sz="0" w:space="0" w:color="auto"/>
        <w:bottom w:val="none" w:sz="0" w:space="0" w:color="auto"/>
        <w:right w:val="none" w:sz="0" w:space="0" w:color="auto"/>
      </w:divBdr>
    </w:div>
    <w:div w:id="1418820480">
      <w:bodyDiv w:val="1"/>
      <w:marLeft w:val="0"/>
      <w:marRight w:val="0"/>
      <w:marTop w:val="0"/>
      <w:marBottom w:val="0"/>
      <w:divBdr>
        <w:top w:val="none" w:sz="0" w:space="0" w:color="auto"/>
        <w:left w:val="none" w:sz="0" w:space="0" w:color="auto"/>
        <w:bottom w:val="none" w:sz="0" w:space="0" w:color="auto"/>
        <w:right w:val="none" w:sz="0" w:space="0" w:color="auto"/>
      </w:divBdr>
    </w:div>
    <w:div w:id="1423064696">
      <w:bodyDiv w:val="1"/>
      <w:marLeft w:val="0"/>
      <w:marRight w:val="0"/>
      <w:marTop w:val="0"/>
      <w:marBottom w:val="0"/>
      <w:divBdr>
        <w:top w:val="none" w:sz="0" w:space="0" w:color="auto"/>
        <w:left w:val="none" w:sz="0" w:space="0" w:color="auto"/>
        <w:bottom w:val="none" w:sz="0" w:space="0" w:color="auto"/>
        <w:right w:val="none" w:sz="0" w:space="0" w:color="auto"/>
      </w:divBdr>
      <w:divsChild>
        <w:div w:id="1377048480">
          <w:marLeft w:val="0"/>
          <w:marRight w:val="0"/>
          <w:marTop w:val="0"/>
          <w:marBottom w:val="0"/>
          <w:divBdr>
            <w:top w:val="none" w:sz="0" w:space="0" w:color="auto"/>
            <w:left w:val="none" w:sz="0" w:space="0" w:color="auto"/>
            <w:bottom w:val="none" w:sz="0" w:space="0" w:color="auto"/>
            <w:right w:val="none" w:sz="0" w:space="0" w:color="auto"/>
          </w:divBdr>
        </w:div>
      </w:divsChild>
    </w:div>
    <w:div w:id="1424305109">
      <w:bodyDiv w:val="1"/>
      <w:marLeft w:val="0"/>
      <w:marRight w:val="0"/>
      <w:marTop w:val="0"/>
      <w:marBottom w:val="0"/>
      <w:divBdr>
        <w:top w:val="none" w:sz="0" w:space="0" w:color="auto"/>
        <w:left w:val="none" w:sz="0" w:space="0" w:color="auto"/>
        <w:bottom w:val="none" w:sz="0" w:space="0" w:color="auto"/>
        <w:right w:val="none" w:sz="0" w:space="0" w:color="auto"/>
      </w:divBdr>
    </w:div>
    <w:div w:id="1426417820">
      <w:bodyDiv w:val="1"/>
      <w:marLeft w:val="0"/>
      <w:marRight w:val="0"/>
      <w:marTop w:val="0"/>
      <w:marBottom w:val="0"/>
      <w:divBdr>
        <w:top w:val="none" w:sz="0" w:space="0" w:color="auto"/>
        <w:left w:val="none" w:sz="0" w:space="0" w:color="auto"/>
        <w:bottom w:val="none" w:sz="0" w:space="0" w:color="auto"/>
        <w:right w:val="none" w:sz="0" w:space="0" w:color="auto"/>
      </w:divBdr>
    </w:div>
    <w:div w:id="1435784649">
      <w:bodyDiv w:val="1"/>
      <w:marLeft w:val="0"/>
      <w:marRight w:val="0"/>
      <w:marTop w:val="0"/>
      <w:marBottom w:val="0"/>
      <w:divBdr>
        <w:top w:val="none" w:sz="0" w:space="0" w:color="auto"/>
        <w:left w:val="none" w:sz="0" w:space="0" w:color="auto"/>
        <w:bottom w:val="none" w:sz="0" w:space="0" w:color="auto"/>
        <w:right w:val="none" w:sz="0" w:space="0" w:color="auto"/>
      </w:divBdr>
    </w:div>
    <w:div w:id="1443724018">
      <w:bodyDiv w:val="1"/>
      <w:marLeft w:val="0"/>
      <w:marRight w:val="0"/>
      <w:marTop w:val="0"/>
      <w:marBottom w:val="0"/>
      <w:divBdr>
        <w:top w:val="none" w:sz="0" w:space="0" w:color="auto"/>
        <w:left w:val="none" w:sz="0" w:space="0" w:color="auto"/>
        <w:bottom w:val="none" w:sz="0" w:space="0" w:color="auto"/>
        <w:right w:val="none" w:sz="0" w:space="0" w:color="auto"/>
      </w:divBdr>
    </w:div>
    <w:div w:id="1444419033">
      <w:bodyDiv w:val="1"/>
      <w:marLeft w:val="0"/>
      <w:marRight w:val="0"/>
      <w:marTop w:val="0"/>
      <w:marBottom w:val="0"/>
      <w:divBdr>
        <w:top w:val="none" w:sz="0" w:space="0" w:color="auto"/>
        <w:left w:val="none" w:sz="0" w:space="0" w:color="auto"/>
        <w:bottom w:val="none" w:sz="0" w:space="0" w:color="auto"/>
        <w:right w:val="none" w:sz="0" w:space="0" w:color="auto"/>
      </w:divBdr>
    </w:div>
    <w:div w:id="1453937296">
      <w:bodyDiv w:val="1"/>
      <w:marLeft w:val="0"/>
      <w:marRight w:val="0"/>
      <w:marTop w:val="0"/>
      <w:marBottom w:val="0"/>
      <w:divBdr>
        <w:top w:val="none" w:sz="0" w:space="0" w:color="auto"/>
        <w:left w:val="none" w:sz="0" w:space="0" w:color="auto"/>
        <w:bottom w:val="none" w:sz="0" w:space="0" w:color="auto"/>
        <w:right w:val="none" w:sz="0" w:space="0" w:color="auto"/>
      </w:divBdr>
    </w:div>
    <w:div w:id="1478649987">
      <w:bodyDiv w:val="1"/>
      <w:marLeft w:val="0"/>
      <w:marRight w:val="0"/>
      <w:marTop w:val="0"/>
      <w:marBottom w:val="0"/>
      <w:divBdr>
        <w:top w:val="none" w:sz="0" w:space="0" w:color="auto"/>
        <w:left w:val="none" w:sz="0" w:space="0" w:color="auto"/>
        <w:bottom w:val="none" w:sz="0" w:space="0" w:color="auto"/>
        <w:right w:val="none" w:sz="0" w:space="0" w:color="auto"/>
      </w:divBdr>
    </w:div>
    <w:div w:id="1484813081">
      <w:bodyDiv w:val="1"/>
      <w:marLeft w:val="0"/>
      <w:marRight w:val="0"/>
      <w:marTop w:val="0"/>
      <w:marBottom w:val="0"/>
      <w:divBdr>
        <w:top w:val="none" w:sz="0" w:space="0" w:color="auto"/>
        <w:left w:val="none" w:sz="0" w:space="0" w:color="auto"/>
        <w:bottom w:val="none" w:sz="0" w:space="0" w:color="auto"/>
        <w:right w:val="none" w:sz="0" w:space="0" w:color="auto"/>
      </w:divBdr>
    </w:div>
    <w:div w:id="1485857026">
      <w:bodyDiv w:val="1"/>
      <w:marLeft w:val="0"/>
      <w:marRight w:val="0"/>
      <w:marTop w:val="0"/>
      <w:marBottom w:val="0"/>
      <w:divBdr>
        <w:top w:val="none" w:sz="0" w:space="0" w:color="auto"/>
        <w:left w:val="none" w:sz="0" w:space="0" w:color="auto"/>
        <w:bottom w:val="none" w:sz="0" w:space="0" w:color="auto"/>
        <w:right w:val="none" w:sz="0" w:space="0" w:color="auto"/>
      </w:divBdr>
    </w:div>
    <w:div w:id="1497915277">
      <w:bodyDiv w:val="1"/>
      <w:marLeft w:val="0"/>
      <w:marRight w:val="0"/>
      <w:marTop w:val="0"/>
      <w:marBottom w:val="0"/>
      <w:divBdr>
        <w:top w:val="none" w:sz="0" w:space="0" w:color="auto"/>
        <w:left w:val="none" w:sz="0" w:space="0" w:color="auto"/>
        <w:bottom w:val="none" w:sz="0" w:space="0" w:color="auto"/>
        <w:right w:val="none" w:sz="0" w:space="0" w:color="auto"/>
      </w:divBdr>
    </w:div>
    <w:div w:id="1504779057">
      <w:bodyDiv w:val="1"/>
      <w:marLeft w:val="0"/>
      <w:marRight w:val="0"/>
      <w:marTop w:val="0"/>
      <w:marBottom w:val="0"/>
      <w:divBdr>
        <w:top w:val="none" w:sz="0" w:space="0" w:color="auto"/>
        <w:left w:val="none" w:sz="0" w:space="0" w:color="auto"/>
        <w:bottom w:val="none" w:sz="0" w:space="0" w:color="auto"/>
        <w:right w:val="none" w:sz="0" w:space="0" w:color="auto"/>
      </w:divBdr>
    </w:div>
    <w:div w:id="1506897151">
      <w:bodyDiv w:val="1"/>
      <w:marLeft w:val="0"/>
      <w:marRight w:val="0"/>
      <w:marTop w:val="0"/>
      <w:marBottom w:val="0"/>
      <w:divBdr>
        <w:top w:val="none" w:sz="0" w:space="0" w:color="auto"/>
        <w:left w:val="none" w:sz="0" w:space="0" w:color="auto"/>
        <w:bottom w:val="none" w:sz="0" w:space="0" w:color="auto"/>
        <w:right w:val="none" w:sz="0" w:space="0" w:color="auto"/>
      </w:divBdr>
    </w:div>
    <w:div w:id="1522626115">
      <w:bodyDiv w:val="1"/>
      <w:marLeft w:val="0"/>
      <w:marRight w:val="0"/>
      <w:marTop w:val="0"/>
      <w:marBottom w:val="0"/>
      <w:divBdr>
        <w:top w:val="none" w:sz="0" w:space="0" w:color="auto"/>
        <w:left w:val="none" w:sz="0" w:space="0" w:color="auto"/>
        <w:bottom w:val="none" w:sz="0" w:space="0" w:color="auto"/>
        <w:right w:val="none" w:sz="0" w:space="0" w:color="auto"/>
      </w:divBdr>
    </w:div>
    <w:div w:id="1527283119">
      <w:bodyDiv w:val="1"/>
      <w:marLeft w:val="0"/>
      <w:marRight w:val="0"/>
      <w:marTop w:val="0"/>
      <w:marBottom w:val="0"/>
      <w:divBdr>
        <w:top w:val="none" w:sz="0" w:space="0" w:color="auto"/>
        <w:left w:val="none" w:sz="0" w:space="0" w:color="auto"/>
        <w:bottom w:val="none" w:sz="0" w:space="0" w:color="auto"/>
        <w:right w:val="none" w:sz="0" w:space="0" w:color="auto"/>
      </w:divBdr>
    </w:div>
    <w:div w:id="1528715341">
      <w:bodyDiv w:val="1"/>
      <w:marLeft w:val="0"/>
      <w:marRight w:val="0"/>
      <w:marTop w:val="0"/>
      <w:marBottom w:val="0"/>
      <w:divBdr>
        <w:top w:val="none" w:sz="0" w:space="0" w:color="auto"/>
        <w:left w:val="none" w:sz="0" w:space="0" w:color="auto"/>
        <w:bottom w:val="none" w:sz="0" w:space="0" w:color="auto"/>
        <w:right w:val="none" w:sz="0" w:space="0" w:color="auto"/>
      </w:divBdr>
    </w:div>
    <w:div w:id="1560676718">
      <w:bodyDiv w:val="1"/>
      <w:marLeft w:val="0"/>
      <w:marRight w:val="0"/>
      <w:marTop w:val="0"/>
      <w:marBottom w:val="0"/>
      <w:divBdr>
        <w:top w:val="none" w:sz="0" w:space="0" w:color="auto"/>
        <w:left w:val="none" w:sz="0" w:space="0" w:color="auto"/>
        <w:bottom w:val="none" w:sz="0" w:space="0" w:color="auto"/>
        <w:right w:val="none" w:sz="0" w:space="0" w:color="auto"/>
      </w:divBdr>
    </w:div>
    <w:div w:id="1587151636">
      <w:bodyDiv w:val="1"/>
      <w:marLeft w:val="0"/>
      <w:marRight w:val="0"/>
      <w:marTop w:val="0"/>
      <w:marBottom w:val="0"/>
      <w:divBdr>
        <w:top w:val="none" w:sz="0" w:space="0" w:color="auto"/>
        <w:left w:val="none" w:sz="0" w:space="0" w:color="auto"/>
        <w:bottom w:val="none" w:sz="0" w:space="0" w:color="auto"/>
        <w:right w:val="none" w:sz="0" w:space="0" w:color="auto"/>
      </w:divBdr>
    </w:div>
    <w:div w:id="1593591012">
      <w:bodyDiv w:val="1"/>
      <w:marLeft w:val="0"/>
      <w:marRight w:val="0"/>
      <w:marTop w:val="0"/>
      <w:marBottom w:val="0"/>
      <w:divBdr>
        <w:top w:val="none" w:sz="0" w:space="0" w:color="auto"/>
        <w:left w:val="none" w:sz="0" w:space="0" w:color="auto"/>
        <w:bottom w:val="none" w:sz="0" w:space="0" w:color="auto"/>
        <w:right w:val="none" w:sz="0" w:space="0" w:color="auto"/>
      </w:divBdr>
    </w:div>
    <w:div w:id="1595092679">
      <w:bodyDiv w:val="1"/>
      <w:marLeft w:val="0"/>
      <w:marRight w:val="0"/>
      <w:marTop w:val="0"/>
      <w:marBottom w:val="0"/>
      <w:divBdr>
        <w:top w:val="none" w:sz="0" w:space="0" w:color="auto"/>
        <w:left w:val="none" w:sz="0" w:space="0" w:color="auto"/>
        <w:bottom w:val="none" w:sz="0" w:space="0" w:color="auto"/>
        <w:right w:val="none" w:sz="0" w:space="0" w:color="auto"/>
      </w:divBdr>
    </w:div>
    <w:div w:id="1595475432">
      <w:bodyDiv w:val="1"/>
      <w:marLeft w:val="0"/>
      <w:marRight w:val="0"/>
      <w:marTop w:val="0"/>
      <w:marBottom w:val="0"/>
      <w:divBdr>
        <w:top w:val="none" w:sz="0" w:space="0" w:color="auto"/>
        <w:left w:val="none" w:sz="0" w:space="0" w:color="auto"/>
        <w:bottom w:val="none" w:sz="0" w:space="0" w:color="auto"/>
        <w:right w:val="none" w:sz="0" w:space="0" w:color="auto"/>
      </w:divBdr>
    </w:div>
    <w:div w:id="1603564617">
      <w:bodyDiv w:val="1"/>
      <w:marLeft w:val="0"/>
      <w:marRight w:val="0"/>
      <w:marTop w:val="0"/>
      <w:marBottom w:val="0"/>
      <w:divBdr>
        <w:top w:val="none" w:sz="0" w:space="0" w:color="auto"/>
        <w:left w:val="none" w:sz="0" w:space="0" w:color="auto"/>
        <w:bottom w:val="none" w:sz="0" w:space="0" w:color="auto"/>
        <w:right w:val="none" w:sz="0" w:space="0" w:color="auto"/>
      </w:divBdr>
    </w:div>
    <w:div w:id="1605727636">
      <w:bodyDiv w:val="1"/>
      <w:marLeft w:val="0"/>
      <w:marRight w:val="0"/>
      <w:marTop w:val="0"/>
      <w:marBottom w:val="0"/>
      <w:divBdr>
        <w:top w:val="none" w:sz="0" w:space="0" w:color="auto"/>
        <w:left w:val="none" w:sz="0" w:space="0" w:color="auto"/>
        <w:bottom w:val="none" w:sz="0" w:space="0" w:color="auto"/>
        <w:right w:val="none" w:sz="0" w:space="0" w:color="auto"/>
      </w:divBdr>
    </w:div>
    <w:div w:id="1616130192">
      <w:bodyDiv w:val="1"/>
      <w:marLeft w:val="0"/>
      <w:marRight w:val="0"/>
      <w:marTop w:val="0"/>
      <w:marBottom w:val="0"/>
      <w:divBdr>
        <w:top w:val="none" w:sz="0" w:space="0" w:color="auto"/>
        <w:left w:val="none" w:sz="0" w:space="0" w:color="auto"/>
        <w:bottom w:val="none" w:sz="0" w:space="0" w:color="auto"/>
        <w:right w:val="none" w:sz="0" w:space="0" w:color="auto"/>
      </w:divBdr>
    </w:div>
    <w:div w:id="1619221961">
      <w:bodyDiv w:val="1"/>
      <w:marLeft w:val="0"/>
      <w:marRight w:val="0"/>
      <w:marTop w:val="0"/>
      <w:marBottom w:val="0"/>
      <w:divBdr>
        <w:top w:val="none" w:sz="0" w:space="0" w:color="auto"/>
        <w:left w:val="none" w:sz="0" w:space="0" w:color="auto"/>
        <w:bottom w:val="none" w:sz="0" w:space="0" w:color="auto"/>
        <w:right w:val="none" w:sz="0" w:space="0" w:color="auto"/>
      </w:divBdr>
    </w:div>
    <w:div w:id="1635059652">
      <w:bodyDiv w:val="1"/>
      <w:marLeft w:val="0"/>
      <w:marRight w:val="0"/>
      <w:marTop w:val="0"/>
      <w:marBottom w:val="0"/>
      <w:divBdr>
        <w:top w:val="none" w:sz="0" w:space="0" w:color="auto"/>
        <w:left w:val="none" w:sz="0" w:space="0" w:color="auto"/>
        <w:bottom w:val="none" w:sz="0" w:space="0" w:color="auto"/>
        <w:right w:val="none" w:sz="0" w:space="0" w:color="auto"/>
      </w:divBdr>
    </w:div>
    <w:div w:id="1639843974">
      <w:bodyDiv w:val="1"/>
      <w:marLeft w:val="0"/>
      <w:marRight w:val="0"/>
      <w:marTop w:val="0"/>
      <w:marBottom w:val="0"/>
      <w:divBdr>
        <w:top w:val="none" w:sz="0" w:space="0" w:color="auto"/>
        <w:left w:val="none" w:sz="0" w:space="0" w:color="auto"/>
        <w:bottom w:val="none" w:sz="0" w:space="0" w:color="auto"/>
        <w:right w:val="none" w:sz="0" w:space="0" w:color="auto"/>
      </w:divBdr>
      <w:divsChild>
        <w:div w:id="153763800">
          <w:marLeft w:val="0"/>
          <w:marRight w:val="0"/>
          <w:marTop w:val="0"/>
          <w:marBottom w:val="0"/>
          <w:divBdr>
            <w:top w:val="none" w:sz="0" w:space="0" w:color="auto"/>
            <w:left w:val="none" w:sz="0" w:space="0" w:color="auto"/>
            <w:bottom w:val="none" w:sz="0" w:space="0" w:color="auto"/>
            <w:right w:val="none" w:sz="0" w:space="0" w:color="auto"/>
          </w:divBdr>
        </w:div>
      </w:divsChild>
    </w:div>
    <w:div w:id="1644002034">
      <w:bodyDiv w:val="1"/>
      <w:marLeft w:val="0"/>
      <w:marRight w:val="0"/>
      <w:marTop w:val="0"/>
      <w:marBottom w:val="0"/>
      <w:divBdr>
        <w:top w:val="none" w:sz="0" w:space="0" w:color="auto"/>
        <w:left w:val="none" w:sz="0" w:space="0" w:color="auto"/>
        <w:bottom w:val="none" w:sz="0" w:space="0" w:color="auto"/>
        <w:right w:val="none" w:sz="0" w:space="0" w:color="auto"/>
      </w:divBdr>
    </w:div>
    <w:div w:id="1653480706">
      <w:bodyDiv w:val="1"/>
      <w:marLeft w:val="0"/>
      <w:marRight w:val="0"/>
      <w:marTop w:val="0"/>
      <w:marBottom w:val="0"/>
      <w:divBdr>
        <w:top w:val="none" w:sz="0" w:space="0" w:color="auto"/>
        <w:left w:val="none" w:sz="0" w:space="0" w:color="auto"/>
        <w:bottom w:val="none" w:sz="0" w:space="0" w:color="auto"/>
        <w:right w:val="none" w:sz="0" w:space="0" w:color="auto"/>
      </w:divBdr>
    </w:div>
    <w:div w:id="1660959104">
      <w:bodyDiv w:val="1"/>
      <w:marLeft w:val="0"/>
      <w:marRight w:val="0"/>
      <w:marTop w:val="0"/>
      <w:marBottom w:val="0"/>
      <w:divBdr>
        <w:top w:val="none" w:sz="0" w:space="0" w:color="auto"/>
        <w:left w:val="none" w:sz="0" w:space="0" w:color="auto"/>
        <w:bottom w:val="none" w:sz="0" w:space="0" w:color="auto"/>
        <w:right w:val="none" w:sz="0" w:space="0" w:color="auto"/>
      </w:divBdr>
    </w:div>
    <w:div w:id="1664550078">
      <w:bodyDiv w:val="1"/>
      <w:marLeft w:val="0"/>
      <w:marRight w:val="0"/>
      <w:marTop w:val="0"/>
      <w:marBottom w:val="0"/>
      <w:divBdr>
        <w:top w:val="none" w:sz="0" w:space="0" w:color="auto"/>
        <w:left w:val="none" w:sz="0" w:space="0" w:color="auto"/>
        <w:bottom w:val="none" w:sz="0" w:space="0" w:color="auto"/>
        <w:right w:val="none" w:sz="0" w:space="0" w:color="auto"/>
      </w:divBdr>
    </w:div>
    <w:div w:id="1664966986">
      <w:bodyDiv w:val="1"/>
      <w:marLeft w:val="0"/>
      <w:marRight w:val="0"/>
      <w:marTop w:val="0"/>
      <w:marBottom w:val="0"/>
      <w:divBdr>
        <w:top w:val="none" w:sz="0" w:space="0" w:color="auto"/>
        <w:left w:val="none" w:sz="0" w:space="0" w:color="auto"/>
        <w:bottom w:val="none" w:sz="0" w:space="0" w:color="auto"/>
        <w:right w:val="none" w:sz="0" w:space="0" w:color="auto"/>
      </w:divBdr>
    </w:div>
    <w:div w:id="1668167137">
      <w:bodyDiv w:val="1"/>
      <w:marLeft w:val="0"/>
      <w:marRight w:val="0"/>
      <w:marTop w:val="0"/>
      <w:marBottom w:val="0"/>
      <w:divBdr>
        <w:top w:val="none" w:sz="0" w:space="0" w:color="auto"/>
        <w:left w:val="none" w:sz="0" w:space="0" w:color="auto"/>
        <w:bottom w:val="none" w:sz="0" w:space="0" w:color="auto"/>
        <w:right w:val="none" w:sz="0" w:space="0" w:color="auto"/>
      </w:divBdr>
    </w:div>
    <w:div w:id="1669402995">
      <w:bodyDiv w:val="1"/>
      <w:marLeft w:val="0"/>
      <w:marRight w:val="0"/>
      <w:marTop w:val="0"/>
      <w:marBottom w:val="0"/>
      <w:divBdr>
        <w:top w:val="none" w:sz="0" w:space="0" w:color="auto"/>
        <w:left w:val="none" w:sz="0" w:space="0" w:color="auto"/>
        <w:bottom w:val="none" w:sz="0" w:space="0" w:color="auto"/>
        <w:right w:val="none" w:sz="0" w:space="0" w:color="auto"/>
      </w:divBdr>
    </w:div>
    <w:div w:id="1673795162">
      <w:bodyDiv w:val="1"/>
      <w:marLeft w:val="0"/>
      <w:marRight w:val="0"/>
      <w:marTop w:val="0"/>
      <w:marBottom w:val="0"/>
      <w:divBdr>
        <w:top w:val="none" w:sz="0" w:space="0" w:color="auto"/>
        <w:left w:val="none" w:sz="0" w:space="0" w:color="auto"/>
        <w:bottom w:val="none" w:sz="0" w:space="0" w:color="auto"/>
        <w:right w:val="none" w:sz="0" w:space="0" w:color="auto"/>
      </w:divBdr>
    </w:div>
    <w:div w:id="1693535066">
      <w:bodyDiv w:val="1"/>
      <w:marLeft w:val="0"/>
      <w:marRight w:val="0"/>
      <w:marTop w:val="0"/>
      <w:marBottom w:val="0"/>
      <w:divBdr>
        <w:top w:val="none" w:sz="0" w:space="0" w:color="auto"/>
        <w:left w:val="none" w:sz="0" w:space="0" w:color="auto"/>
        <w:bottom w:val="none" w:sz="0" w:space="0" w:color="auto"/>
        <w:right w:val="none" w:sz="0" w:space="0" w:color="auto"/>
      </w:divBdr>
    </w:div>
    <w:div w:id="1701129915">
      <w:bodyDiv w:val="1"/>
      <w:marLeft w:val="0"/>
      <w:marRight w:val="0"/>
      <w:marTop w:val="0"/>
      <w:marBottom w:val="0"/>
      <w:divBdr>
        <w:top w:val="none" w:sz="0" w:space="0" w:color="auto"/>
        <w:left w:val="none" w:sz="0" w:space="0" w:color="auto"/>
        <w:bottom w:val="none" w:sz="0" w:space="0" w:color="auto"/>
        <w:right w:val="none" w:sz="0" w:space="0" w:color="auto"/>
      </w:divBdr>
    </w:div>
    <w:div w:id="1737436668">
      <w:bodyDiv w:val="1"/>
      <w:marLeft w:val="0"/>
      <w:marRight w:val="0"/>
      <w:marTop w:val="0"/>
      <w:marBottom w:val="0"/>
      <w:divBdr>
        <w:top w:val="none" w:sz="0" w:space="0" w:color="auto"/>
        <w:left w:val="none" w:sz="0" w:space="0" w:color="auto"/>
        <w:bottom w:val="none" w:sz="0" w:space="0" w:color="auto"/>
        <w:right w:val="none" w:sz="0" w:space="0" w:color="auto"/>
      </w:divBdr>
    </w:div>
    <w:div w:id="1747874720">
      <w:bodyDiv w:val="1"/>
      <w:marLeft w:val="0"/>
      <w:marRight w:val="0"/>
      <w:marTop w:val="0"/>
      <w:marBottom w:val="0"/>
      <w:divBdr>
        <w:top w:val="none" w:sz="0" w:space="0" w:color="auto"/>
        <w:left w:val="none" w:sz="0" w:space="0" w:color="auto"/>
        <w:bottom w:val="none" w:sz="0" w:space="0" w:color="auto"/>
        <w:right w:val="none" w:sz="0" w:space="0" w:color="auto"/>
      </w:divBdr>
    </w:div>
    <w:div w:id="1750468332">
      <w:bodyDiv w:val="1"/>
      <w:marLeft w:val="0"/>
      <w:marRight w:val="0"/>
      <w:marTop w:val="0"/>
      <w:marBottom w:val="0"/>
      <w:divBdr>
        <w:top w:val="none" w:sz="0" w:space="0" w:color="auto"/>
        <w:left w:val="none" w:sz="0" w:space="0" w:color="auto"/>
        <w:bottom w:val="none" w:sz="0" w:space="0" w:color="auto"/>
        <w:right w:val="none" w:sz="0" w:space="0" w:color="auto"/>
      </w:divBdr>
    </w:div>
    <w:div w:id="1753623993">
      <w:bodyDiv w:val="1"/>
      <w:marLeft w:val="0"/>
      <w:marRight w:val="0"/>
      <w:marTop w:val="0"/>
      <w:marBottom w:val="0"/>
      <w:divBdr>
        <w:top w:val="none" w:sz="0" w:space="0" w:color="auto"/>
        <w:left w:val="none" w:sz="0" w:space="0" w:color="auto"/>
        <w:bottom w:val="none" w:sz="0" w:space="0" w:color="auto"/>
        <w:right w:val="none" w:sz="0" w:space="0" w:color="auto"/>
      </w:divBdr>
    </w:div>
    <w:div w:id="1756322285">
      <w:bodyDiv w:val="1"/>
      <w:marLeft w:val="0"/>
      <w:marRight w:val="0"/>
      <w:marTop w:val="0"/>
      <w:marBottom w:val="0"/>
      <w:divBdr>
        <w:top w:val="none" w:sz="0" w:space="0" w:color="auto"/>
        <w:left w:val="none" w:sz="0" w:space="0" w:color="auto"/>
        <w:bottom w:val="none" w:sz="0" w:space="0" w:color="auto"/>
        <w:right w:val="none" w:sz="0" w:space="0" w:color="auto"/>
      </w:divBdr>
    </w:div>
    <w:div w:id="1758479738">
      <w:bodyDiv w:val="1"/>
      <w:marLeft w:val="0"/>
      <w:marRight w:val="0"/>
      <w:marTop w:val="0"/>
      <w:marBottom w:val="0"/>
      <w:divBdr>
        <w:top w:val="none" w:sz="0" w:space="0" w:color="auto"/>
        <w:left w:val="none" w:sz="0" w:space="0" w:color="auto"/>
        <w:bottom w:val="none" w:sz="0" w:space="0" w:color="auto"/>
        <w:right w:val="none" w:sz="0" w:space="0" w:color="auto"/>
      </w:divBdr>
    </w:div>
    <w:div w:id="1763211956">
      <w:bodyDiv w:val="1"/>
      <w:marLeft w:val="0"/>
      <w:marRight w:val="0"/>
      <w:marTop w:val="0"/>
      <w:marBottom w:val="0"/>
      <w:divBdr>
        <w:top w:val="none" w:sz="0" w:space="0" w:color="auto"/>
        <w:left w:val="none" w:sz="0" w:space="0" w:color="auto"/>
        <w:bottom w:val="none" w:sz="0" w:space="0" w:color="auto"/>
        <w:right w:val="none" w:sz="0" w:space="0" w:color="auto"/>
      </w:divBdr>
      <w:divsChild>
        <w:div w:id="1142386435">
          <w:marLeft w:val="0"/>
          <w:marRight w:val="0"/>
          <w:marTop w:val="0"/>
          <w:marBottom w:val="0"/>
          <w:divBdr>
            <w:top w:val="none" w:sz="0" w:space="0" w:color="auto"/>
            <w:left w:val="none" w:sz="0" w:space="0" w:color="auto"/>
            <w:bottom w:val="none" w:sz="0" w:space="0" w:color="auto"/>
            <w:right w:val="none" w:sz="0" w:space="0" w:color="auto"/>
          </w:divBdr>
        </w:div>
      </w:divsChild>
    </w:div>
    <w:div w:id="1767270086">
      <w:bodyDiv w:val="1"/>
      <w:marLeft w:val="0"/>
      <w:marRight w:val="0"/>
      <w:marTop w:val="0"/>
      <w:marBottom w:val="0"/>
      <w:divBdr>
        <w:top w:val="none" w:sz="0" w:space="0" w:color="auto"/>
        <w:left w:val="none" w:sz="0" w:space="0" w:color="auto"/>
        <w:bottom w:val="none" w:sz="0" w:space="0" w:color="auto"/>
        <w:right w:val="none" w:sz="0" w:space="0" w:color="auto"/>
      </w:divBdr>
    </w:div>
    <w:div w:id="1784037207">
      <w:bodyDiv w:val="1"/>
      <w:marLeft w:val="0"/>
      <w:marRight w:val="0"/>
      <w:marTop w:val="0"/>
      <w:marBottom w:val="0"/>
      <w:divBdr>
        <w:top w:val="none" w:sz="0" w:space="0" w:color="auto"/>
        <w:left w:val="none" w:sz="0" w:space="0" w:color="auto"/>
        <w:bottom w:val="none" w:sz="0" w:space="0" w:color="auto"/>
        <w:right w:val="none" w:sz="0" w:space="0" w:color="auto"/>
      </w:divBdr>
    </w:div>
    <w:div w:id="1793553253">
      <w:bodyDiv w:val="1"/>
      <w:marLeft w:val="0"/>
      <w:marRight w:val="0"/>
      <w:marTop w:val="0"/>
      <w:marBottom w:val="0"/>
      <w:divBdr>
        <w:top w:val="none" w:sz="0" w:space="0" w:color="auto"/>
        <w:left w:val="none" w:sz="0" w:space="0" w:color="auto"/>
        <w:bottom w:val="none" w:sz="0" w:space="0" w:color="auto"/>
        <w:right w:val="none" w:sz="0" w:space="0" w:color="auto"/>
      </w:divBdr>
      <w:divsChild>
        <w:div w:id="1365865166">
          <w:marLeft w:val="0"/>
          <w:marRight w:val="0"/>
          <w:marTop w:val="0"/>
          <w:marBottom w:val="0"/>
          <w:divBdr>
            <w:top w:val="none" w:sz="0" w:space="0" w:color="auto"/>
            <w:left w:val="none" w:sz="0" w:space="0" w:color="auto"/>
            <w:bottom w:val="none" w:sz="0" w:space="0" w:color="auto"/>
            <w:right w:val="none" w:sz="0" w:space="0" w:color="auto"/>
          </w:divBdr>
        </w:div>
      </w:divsChild>
    </w:div>
    <w:div w:id="1805997563">
      <w:bodyDiv w:val="1"/>
      <w:marLeft w:val="0"/>
      <w:marRight w:val="0"/>
      <w:marTop w:val="0"/>
      <w:marBottom w:val="0"/>
      <w:divBdr>
        <w:top w:val="none" w:sz="0" w:space="0" w:color="auto"/>
        <w:left w:val="none" w:sz="0" w:space="0" w:color="auto"/>
        <w:bottom w:val="none" w:sz="0" w:space="0" w:color="auto"/>
        <w:right w:val="none" w:sz="0" w:space="0" w:color="auto"/>
      </w:divBdr>
    </w:div>
    <w:div w:id="1806507904">
      <w:bodyDiv w:val="1"/>
      <w:marLeft w:val="0"/>
      <w:marRight w:val="0"/>
      <w:marTop w:val="0"/>
      <w:marBottom w:val="0"/>
      <w:divBdr>
        <w:top w:val="none" w:sz="0" w:space="0" w:color="auto"/>
        <w:left w:val="none" w:sz="0" w:space="0" w:color="auto"/>
        <w:bottom w:val="none" w:sz="0" w:space="0" w:color="auto"/>
        <w:right w:val="none" w:sz="0" w:space="0" w:color="auto"/>
      </w:divBdr>
    </w:div>
    <w:div w:id="1817065836">
      <w:bodyDiv w:val="1"/>
      <w:marLeft w:val="0"/>
      <w:marRight w:val="0"/>
      <w:marTop w:val="0"/>
      <w:marBottom w:val="0"/>
      <w:divBdr>
        <w:top w:val="none" w:sz="0" w:space="0" w:color="auto"/>
        <w:left w:val="none" w:sz="0" w:space="0" w:color="auto"/>
        <w:bottom w:val="none" w:sz="0" w:space="0" w:color="auto"/>
        <w:right w:val="none" w:sz="0" w:space="0" w:color="auto"/>
      </w:divBdr>
    </w:div>
    <w:div w:id="1826509811">
      <w:bodyDiv w:val="1"/>
      <w:marLeft w:val="0"/>
      <w:marRight w:val="0"/>
      <w:marTop w:val="0"/>
      <w:marBottom w:val="0"/>
      <w:divBdr>
        <w:top w:val="none" w:sz="0" w:space="0" w:color="auto"/>
        <w:left w:val="none" w:sz="0" w:space="0" w:color="auto"/>
        <w:bottom w:val="none" w:sz="0" w:space="0" w:color="auto"/>
        <w:right w:val="none" w:sz="0" w:space="0" w:color="auto"/>
      </w:divBdr>
    </w:div>
    <w:div w:id="1833569109">
      <w:bodyDiv w:val="1"/>
      <w:marLeft w:val="0"/>
      <w:marRight w:val="0"/>
      <w:marTop w:val="0"/>
      <w:marBottom w:val="0"/>
      <w:divBdr>
        <w:top w:val="none" w:sz="0" w:space="0" w:color="auto"/>
        <w:left w:val="none" w:sz="0" w:space="0" w:color="auto"/>
        <w:bottom w:val="none" w:sz="0" w:space="0" w:color="auto"/>
        <w:right w:val="none" w:sz="0" w:space="0" w:color="auto"/>
      </w:divBdr>
    </w:div>
    <w:div w:id="1840734532">
      <w:bodyDiv w:val="1"/>
      <w:marLeft w:val="0"/>
      <w:marRight w:val="0"/>
      <w:marTop w:val="0"/>
      <w:marBottom w:val="0"/>
      <w:divBdr>
        <w:top w:val="none" w:sz="0" w:space="0" w:color="auto"/>
        <w:left w:val="none" w:sz="0" w:space="0" w:color="auto"/>
        <w:bottom w:val="none" w:sz="0" w:space="0" w:color="auto"/>
        <w:right w:val="none" w:sz="0" w:space="0" w:color="auto"/>
      </w:divBdr>
    </w:div>
    <w:div w:id="1841693891">
      <w:bodyDiv w:val="1"/>
      <w:marLeft w:val="0"/>
      <w:marRight w:val="0"/>
      <w:marTop w:val="0"/>
      <w:marBottom w:val="0"/>
      <w:divBdr>
        <w:top w:val="none" w:sz="0" w:space="0" w:color="auto"/>
        <w:left w:val="none" w:sz="0" w:space="0" w:color="auto"/>
        <w:bottom w:val="none" w:sz="0" w:space="0" w:color="auto"/>
        <w:right w:val="none" w:sz="0" w:space="0" w:color="auto"/>
      </w:divBdr>
    </w:div>
    <w:div w:id="1853563749">
      <w:bodyDiv w:val="1"/>
      <w:marLeft w:val="0"/>
      <w:marRight w:val="0"/>
      <w:marTop w:val="0"/>
      <w:marBottom w:val="0"/>
      <w:divBdr>
        <w:top w:val="none" w:sz="0" w:space="0" w:color="auto"/>
        <w:left w:val="none" w:sz="0" w:space="0" w:color="auto"/>
        <w:bottom w:val="none" w:sz="0" w:space="0" w:color="auto"/>
        <w:right w:val="none" w:sz="0" w:space="0" w:color="auto"/>
      </w:divBdr>
    </w:div>
    <w:div w:id="1854149737">
      <w:bodyDiv w:val="1"/>
      <w:marLeft w:val="0"/>
      <w:marRight w:val="0"/>
      <w:marTop w:val="0"/>
      <w:marBottom w:val="0"/>
      <w:divBdr>
        <w:top w:val="none" w:sz="0" w:space="0" w:color="auto"/>
        <w:left w:val="none" w:sz="0" w:space="0" w:color="auto"/>
        <w:bottom w:val="none" w:sz="0" w:space="0" w:color="auto"/>
        <w:right w:val="none" w:sz="0" w:space="0" w:color="auto"/>
      </w:divBdr>
    </w:div>
    <w:div w:id="1858696269">
      <w:bodyDiv w:val="1"/>
      <w:marLeft w:val="0"/>
      <w:marRight w:val="0"/>
      <w:marTop w:val="0"/>
      <w:marBottom w:val="0"/>
      <w:divBdr>
        <w:top w:val="none" w:sz="0" w:space="0" w:color="auto"/>
        <w:left w:val="none" w:sz="0" w:space="0" w:color="auto"/>
        <w:bottom w:val="none" w:sz="0" w:space="0" w:color="auto"/>
        <w:right w:val="none" w:sz="0" w:space="0" w:color="auto"/>
      </w:divBdr>
    </w:div>
    <w:div w:id="1858737397">
      <w:bodyDiv w:val="1"/>
      <w:marLeft w:val="0"/>
      <w:marRight w:val="0"/>
      <w:marTop w:val="0"/>
      <w:marBottom w:val="0"/>
      <w:divBdr>
        <w:top w:val="none" w:sz="0" w:space="0" w:color="auto"/>
        <w:left w:val="none" w:sz="0" w:space="0" w:color="auto"/>
        <w:bottom w:val="none" w:sz="0" w:space="0" w:color="auto"/>
        <w:right w:val="none" w:sz="0" w:space="0" w:color="auto"/>
      </w:divBdr>
    </w:div>
    <w:div w:id="1866092461">
      <w:bodyDiv w:val="1"/>
      <w:marLeft w:val="0"/>
      <w:marRight w:val="0"/>
      <w:marTop w:val="0"/>
      <w:marBottom w:val="0"/>
      <w:divBdr>
        <w:top w:val="none" w:sz="0" w:space="0" w:color="auto"/>
        <w:left w:val="none" w:sz="0" w:space="0" w:color="auto"/>
        <w:bottom w:val="none" w:sz="0" w:space="0" w:color="auto"/>
        <w:right w:val="none" w:sz="0" w:space="0" w:color="auto"/>
      </w:divBdr>
    </w:div>
    <w:div w:id="1871453636">
      <w:bodyDiv w:val="1"/>
      <w:marLeft w:val="0"/>
      <w:marRight w:val="0"/>
      <w:marTop w:val="0"/>
      <w:marBottom w:val="0"/>
      <w:divBdr>
        <w:top w:val="none" w:sz="0" w:space="0" w:color="auto"/>
        <w:left w:val="none" w:sz="0" w:space="0" w:color="auto"/>
        <w:bottom w:val="none" w:sz="0" w:space="0" w:color="auto"/>
        <w:right w:val="none" w:sz="0" w:space="0" w:color="auto"/>
      </w:divBdr>
    </w:div>
    <w:div w:id="1873573869">
      <w:bodyDiv w:val="1"/>
      <w:marLeft w:val="0"/>
      <w:marRight w:val="0"/>
      <w:marTop w:val="0"/>
      <w:marBottom w:val="0"/>
      <w:divBdr>
        <w:top w:val="none" w:sz="0" w:space="0" w:color="auto"/>
        <w:left w:val="none" w:sz="0" w:space="0" w:color="auto"/>
        <w:bottom w:val="none" w:sz="0" w:space="0" w:color="auto"/>
        <w:right w:val="none" w:sz="0" w:space="0" w:color="auto"/>
      </w:divBdr>
    </w:div>
    <w:div w:id="1899169222">
      <w:bodyDiv w:val="1"/>
      <w:marLeft w:val="0"/>
      <w:marRight w:val="0"/>
      <w:marTop w:val="0"/>
      <w:marBottom w:val="0"/>
      <w:divBdr>
        <w:top w:val="none" w:sz="0" w:space="0" w:color="auto"/>
        <w:left w:val="none" w:sz="0" w:space="0" w:color="auto"/>
        <w:bottom w:val="none" w:sz="0" w:space="0" w:color="auto"/>
        <w:right w:val="none" w:sz="0" w:space="0" w:color="auto"/>
      </w:divBdr>
    </w:div>
    <w:div w:id="1911841742">
      <w:bodyDiv w:val="1"/>
      <w:marLeft w:val="0"/>
      <w:marRight w:val="0"/>
      <w:marTop w:val="0"/>
      <w:marBottom w:val="0"/>
      <w:divBdr>
        <w:top w:val="none" w:sz="0" w:space="0" w:color="auto"/>
        <w:left w:val="none" w:sz="0" w:space="0" w:color="auto"/>
        <w:bottom w:val="none" w:sz="0" w:space="0" w:color="auto"/>
        <w:right w:val="none" w:sz="0" w:space="0" w:color="auto"/>
      </w:divBdr>
    </w:div>
    <w:div w:id="1916360637">
      <w:bodyDiv w:val="1"/>
      <w:marLeft w:val="0"/>
      <w:marRight w:val="0"/>
      <w:marTop w:val="0"/>
      <w:marBottom w:val="0"/>
      <w:divBdr>
        <w:top w:val="none" w:sz="0" w:space="0" w:color="auto"/>
        <w:left w:val="none" w:sz="0" w:space="0" w:color="auto"/>
        <w:bottom w:val="none" w:sz="0" w:space="0" w:color="auto"/>
        <w:right w:val="none" w:sz="0" w:space="0" w:color="auto"/>
      </w:divBdr>
    </w:div>
    <w:div w:id="1939680231">
      <w:bodyDiv w:val="1"/>
      <w:marLeft w:val="0"/>
      <w:marRight w:val="0"/>
      <w:marTop w:val="0"/>
      <w:marBottom w:val="0"/>
      <w:divBdr>
        <w:top w:val="none" w:sz="0" w:space="0" w:color="auto"/>
        <w:left w:val="none" w:sz="0" w:space="0" w:color="auto"/>
        <w:bottom w:val="none" w:sz="0" w:space="0" w:color="auto"/>
        <w:right w:val="none" w:sz="0" w:space="0" w:color="auto"/>
      </w:divBdr>
    </w:div>
    <w:div w:id="1944192016">
      <w:bodyDiv w:val="1"/>
      <w:marLeft w:val="0"/>
      <w:marRight w:val="0"/>
      <w:marTop w:val="0"/>
      <w:marBottom w:val="0"/>
      <w:divBdr>
        <w:top w:val="none" w:sz="0" w:space="0" w:color="auto"/>
        <w:left w:val="none" w:sz="0" w:space="0" w:color="auto"/>
        <w:bottom w:val="none" w:sz="0" w:space="0" w:color="auto"/>
        <w:right w:val="none" w:sz="0" w:space="0" w:color="auto"/>
      </w:divBdr>
    </w:div>
    <w:div w:id="1944652408">
      <w:bodyDiv w:val="1"/>
      <w:marLeft w:val="0"/>
      <w:marRight w:val="0"/>
      <w:marTop w:val="0"/>
      <w:marBottom w:val="0"/>
      <w:divBdr>
        <w:top w:val="none" w:sz="0" w:space="0" w:color="auto"/>
        <w:left w:val="none" w:sz="0" w:space="0" w:color="auto"/>
        <w:bottom w:val="none" w:sz="0" w:space="0" w:color="auto"/>
        <w:right w:val="none" w:sz="0" w:space="0" w:color="auto"/>
      </w:divBdr>
    </w:div>
    <w:div w:id="1949116182">
      <w:bodyDiv w:val="1"/>
      <w:marLeft w:val="0"/>
      <w:marRight w:val="0"/>
      <w:marTop w:val="0"/>
      <w:marBottom w:val="0"/>
      <w:divBdr>
        <w:top w:val="none" w:sz="0" w:space="0" w:color="auto"/>
        <w:left w:val="none" w:sz="0" w:space="0" w:color="auto"/>
        <w:bottom w:val="none" w:sz="0" w:space="0" w:color="auto"/>
        <w:right w:val="none" w:sz="0" w:space="0" w:color="auto"/>
      </w:divBdr>
    </w:div>
    <w:div w:id="1951356150">
      <w:bodyDiv w:val="1"/>
      <w:marLeft w:val="0"/>
      <w:marRight w:val="0"/>
      <w:marTop w:val="0"/>
      <w:marBottom w:val="0"/>
      <w:divBdr>
        <w:top w:val="none" w:sz="0" w:space="0" w:color="auto"/>
        <w:left w:val="none" w:sz="0" w:space="0" w:color="auto"/>
        <w:bottom w:val="none" w:sz="0" w:space="0" w:color="auto"/>
        <w:right w:val="none" w:sz="0" w:space="0" w:color="auto"/>
      </w:divBdr>
    </w:div>
    <w:div w:id="1972126170">
      <w:bodyDiv w:val="1"/>
      <w:marLeft w:val="0"/>
      <w:marRight w:val="0"/>
      <w:marTop w:val="0"/>
      <w:marBottom w:val="0"/>
      <w:divBdr>
        <w:top w:val="none" w:sz="0" w:space="0" w:color="auto"/>
        <w:left w:val="none" w:sz="0" w:space="0" w:color="auto"/>
        <w:bottom w:val="none" w:sz="0" w:space="0" w:color="auto"/>
        <w:right w:val="none" w:sz="0" w:space="0" w:color="auto"/>
      </w:divBdr>
    </w:div>
    <w:div w:id="1975912826">
      <w:bodyDiv w:val="1"/>
      <w:marLeft w:val="0"/>
      <w:marRight w:val="0"/>
      <w:marTop w:val="0"/>
      <w:marBottom w:val="0"/>
      <w:divBdr>
        <w:top w:val="none" w:sz="0" w:space="0" w:color="auto"/>
        <w:left w:val="none" w:sz="0" w:space="0" w:color="auto"/>
        <w:bottom w:val="none" w:sz="0" w:space="0" w:color="auto"/>
        <w:right w:val="none" w:sz="0" w:space="0" w:color="auto"/>
      </w:divBdr>
    </w:div>
    <w:div w:id="1977491675">
      <w:bodyDiv w:val="1"/>
      <w:marLeft w:val="0"/>
      <w:marRight w:val="0"/>
      <w:marTop w:val="0"/>
      <w:marBottom w:val="0"/>
      <w:divBdr>
        <w:top w:val="none" w:sz="0" w:space="0" w:color="auto"/>
        <w:left w:val="none" w:sz="0" w:space="0" w:color="auto"/>
        <w:bottom w:val="none" w:sz="0" w:space="0" w:color="auto"/>
        <w:right w:val="none" w:sz="0" w:space="0" w:color="auto"/>
      </w:divBdr>
    </w:div>
    <w:div w:id="2010979351">
      <w:bodyDiv w:val="1"/>
      <w:marLeft w:val="0"/>
      <w:marRight w:val="0"/>
      <w:marTop w:val="0"/>
      <w:marBottom w:val="0"/>
      <w:divBdr>
        <w:top w:val="none" w:sz="0" w:space="0" w:color="auto"/>
        <w:left w:val="none" w:sz="0" w:space="0" w:color="auto"/>
        <w:bottom w:val="none" w:sz="0" w:space="0" w:color="auto"/>
        <w:right w:val="none" w:sz="0" w:space="0" w:color="auto"/>
      </w:divBdr>
    </w:div>
    <w:div w:id="2032604343">
      <w:bodyDiv w:val="1"/>
      <w:marLeft w:val="0"/>
      <w:marRight w:val="0"/>
      <w:marTop w:val="0"/>
      <w:marBottom w:val="0"/>
      <w:divBdr>
        <w:top w:val="none" w:sz="0" w:space="0" w:color="auto"/>
        <w:left w:val="none" w:sz="0" w:space="0" w:color="auto"/>
        <w:bottom w:val="none" w:sz="0" w:space="0" w:color="auto"/>
        <w:right w:val="none" w:sz="0" w:space="0" w:color="auto"/>
      </w:divBdr>
    </w:div>
    <w:div w:id="2045010351">
      <w:bodyDiv w:val="1"/>
      <w:marLeft w:val="0"/>
      <w:marRight w:val="0"/>
      <w:marTop w:val="0"/>
      <w:marBottom w:val="0"/>
      <w:divBdr>
        <w:top w:val="none" w:sz="0" w:space="0" w:color="auto"/>
        <w:left w:val="none" w:sz="0" w:space="0" w:color="auto"/>
        <w:bottom w:val="none" w:sz="0" w:space="0" w:color="auto"/>
        <w:right w:val="none" w:sz="0" w:space="0" w:color="auto"/>
      </w:divBdr>
    </w:div>
    <w:div w:id="2123525816">
      <w:bodyDiv w:val="1"/>
      <w:marLeft w:val="0"/>
      <w:marRight w:val="0"/>
      <w:marTop w:val="0"/>
      <w:marBottom w:val="0"/>
      <w:divBdr>
        <w:top w:val="none" w:sz="0" w:space="0" w:color="auto"/>
        <w:left w:val="none" w:sz="0" w:space="0" w:color="auto"/>
        <w:bottom w:val="none" w:sz="0" w:space="0" w:color="auto"/>
        <w:right w:val="none" w:sz="0" w:space="0" w:color="auto"/>
      </w:divBdr>
    </w:div>
    <w:div w:id="2130976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b:Source>
    <b:Tag>Aut22</b:Tag>
    <b:SourceType>DocumentFromInternetSite</b:SourceType>
    <b:Guid>{86EFC3C7-A384-4EE7-9592-BE1F4E375068}</b:Guid>
    <b:Year>2022</b:Year>
    <b:Author>
      <b:Author>
        <b:Corporate>Autoridade Nacional de Proteção de Dados - ANPD</b:Corporate>
      </b:Author>
    </b:Author>
    <b:Month>Abril</b:Month>
    <b:URL>https://www.gov.br/anpd/pt-br/documentos-e-publicacoes/Segunda_Versao_do_Guia_de_Agentes_de_Tratamento_retificada.pdf</b:URL>
    <b:InternetSiteTitle>Guia Orientativo para definições dos agentes de tratamento de dados pessoais e do encarregado</b:InternetSiteTitle>
    <b:Title>Guia orientativo para definições dos agentes de tratamento de dados pessoais e do encarregado</b:Title>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186c7-7373-495f-878c-f0f79ab36130">
      <Terms xmlns="http://schemas.microsoft.com/office/infopath/2007/PartnerControls"/>
    </lcf76f155ced4ddcb4097134ff3c332f>
    <TaxCatchAll xmlns="a2c24b4c-a19a-4093-bf78-d5942ee237c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A0C7017C8683A4E8D8838A33F67DDC9" ma:contentTypeVersion="11" ma:contentTypeDescription="Crie um novo documento." ma:contentTypeScope="" ma:versionID="6ffff4da265e791f3570cbe83cd976a8">
  <xsd:schema xmlns:xsd="http://www.w3.org/2001/XMLSchema" xmlns:xs="http://www.w3.org/2001/XMLSchema" xmlns:p="http://schemas.microsoft.com/office/2006/metadata/properties" xmlns:ns2="fdb186c7-7373-495f-878c-f0f79ab36130" xmlns:ns3="a2c24b4c-a19a-4093-bf78-d5942ee237c3" targetNamespace="http://schemas.microsoft.com/office/2006/metadata/properties" ma:root="true" ma:fieldsID="e8b980bf5c0a73c2e91748edf3bf48b1" ns2:_="" ns3:_="">
    <xsd:import namespace="fdb186c7-7373-495f-878c-f0f79ab36130"/>
    <xsd:import namespace="a2c24b4c-a19a-4093-bf78-d5942ee237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186c7-7373-495f-878c-f0f79ab361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b94074d8-97da-4deb-a367-6d65a6a9ab5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2c24b4c-a19a-4093-bf78-d5942ee237c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7689da7-651f-49aa-89b2-0746064c56a5}" ma:internalName="TaxCatchAll" ma:showField="CatchAllData" ma:web="a2c24b4c-a19a-4093-bf78-d5942ee237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490389-2292-4CF0-BE3A-644D4BEA931E}">
  <ds:schemaRefs>
    <ds:schemaRef ds:uri="http://schemas.microsoft.com/sharepoint/v3/contenttype/forms"/>
  </ds:schemaRefs>
</ds:datastoreItem>
</file>

<file path=customXml/itemProps2.xml><?xml version="1.0" encoding="utf-8"?>
<ds:datastoreItem xmlns:ds="http://schemas.openxmlformats.org/officeDocument/2006/customXml" ds:itemID="{90A0DD15-1115-483B-BC36-772BC90BAD47}">
  <ds:schemaRefs>
    <ds:schemaRef ds:uri="http://schemas.openxmlformats.org/officeDocument/2006/bibliography"/>
  </ds:schemaRefs>
</ds:datastoreItem>
</file>

<file path=customXml/itemProps3.xml><?xml version="1.0" encoding="utf-8"?>
<ds:datastoreItem xmlns:ds="http://schemas.openxmlformats.org/officeDocument/2006/customXml" ds:itemID="{75DD3962-E029-479B-9796-C0CAC24C12B1}">
  <ds:schemaRefs>
    <ds:schemaRef ds:uri="http://schemas.microsoft.com/office/2006/metadata/properties"/>
    <ds:schemaRef ds:uri="http://schemas.microsoft.com/office/infopath/2007/PartnerControls"/>
    <ds:schemaRef ds:uri="fdb186c7-7373-495f-878c-f0f79ab36130"/>
    <ds:schemaRef ds:uri="a2c24b4c-a19a-4093-bf78-d5942ee237c3"/>
  </ds:schemaRefs>
</ds:datastoreItem>
</file>

<file path=customXml/itemProps4.xml><?xml version="1.0" encoding="utf-8"?>
<ds:datastoreItem xmlns:ds="http://schemas.openxmlformats.org/officeDocument/2006/customXml" ds:itemID="{3FB7911D-23B8-45FB-A14A-3A2979367B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Ata de Reunião</dc:title>
  <dc:subject/>
  <dc:creator>ClaudioBR</dc:creator>
  <dc:description/>
  <cp:lastModifiedBy>Augusto Cesar Benvenuto de Almeida</cp:lastModifiedBy>
  <cp:revision>318</cp:revision>
  <cp:lastPrinted>2026-03-09T20:59:00Z</cp:lastPrinted>
  <dcterms:created xsi:type="dcterms:W3CDTF">2024-09-10T20:26:00Z</dcterms:created>
  <dcterms:modified xsi:type="dcterms:W3CDTF">2026-03-18T20:01:21Z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0x0101005A0C7017C8683A4E8D8838A33F67DDC9</vt:lpwstr>
  </property>
  <property fmtid="{D5CDD505-2E9C-101B-9397-08002B2CF9AE}" pid="3" name="MediaServiceImageTags">
    <vt:lpwstr/>
  </property>
  <property fmtid="{D5CDD505-2E9C-101B-9397-08002B2CF9AE}" pid="4" name="docLang">
    <vt:lpwstr>pt</vt:lpwstr>
  </property>
</Properties>
</file>