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r="http://schemas.openxmlformats.org/officeDocument/2006/relationships" xmlns:w="http://schemas.openxmlformats.org/wordprocessingml/2006/main" ns1:Ignorable="w14 w15 w16se w16cid w16 w16cex w16sdtdh w16sdtfl w16du wp14">
  <w:body>
    <w:p ns2:paraId="71BC7204" ns2:textId="77777777" w:rsidR="009B1A0E" w:rsidRDefault="009B1A0E" w:rsidP="001E6730">
      <w:pPr>
        <w:jc w:val="center"/>
        <w:rPr>
          <w:rFonts w:ascii="Arial" w:hAnsi="Arial" w:cs="Arial"/>
          <w:b/>
        </w:rPr>
      </w:pPr>
    </w:p>
    <w:p ns2:paraId="0D1BC449" ns2:textId="55C49607" w:rsidR="00AE7776" w:rsidRDefault="00AE7776" w:rsidP="001E6730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  <w:bCs/>
        </w:rPr>
        <w:t>MATRIZ DE PLANEJAMENTO</w:t>
      </w:r>
    </w:p>
    <w:p ns2:paraId="46357FAD" ns2:textId="77777777" w:rsidR="007B095C" w:rsidRDefault="007B095C" w:rsidP="001E6730">
      <w:pPr>
        <w:jc w:val="center"/>
        <w:rPr>
          <w:rFonts w:ascii="Arial" w:hAnsi="Arial" w:cs="Arial"/>
          <w:b/>
        </w:rPr>
      </w:pPr>
    </w:p>
    <w:p ns2:paraId="5D2618CF" ns2:textId="6C9D6D25" w:rsidR="007C4F8B" w:rsidRDefault="007C4F8B" w:rsidP="6D09F7BC">
      <w:pPr>
        <w:spacing w:after="200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QUESTÃO GERAL DE AUDITORIA: Qual é o grau de adoção das práticas de governança e gestão de TIC das organizações avaliadas, segundo o iGovTI 2026, e quais fragilidades relevantes estão presentes?</w:t>
      </w:r>
    </w:p>
    <w:p ns2:paraId="55F103F7" ns2:textId="7E03F271" w:rsidR="00224452" w:rsidRDefault="00224452">
      <w:pPr>
        <w:spacing w:after="160" w:line="259" w:lineRule="auto"/>
        <w:rPr>
          <w:rFonts w:ascii="Arial" w:hAnsi="Arial" w:cs="Arial"/>
        </w:rPr>
      </w:pPr>
    </w:p>
    <w:p ns2:paraId="5D2618CF" ns2:textId="6C9D6D25" w:rsidR="007C4F8B" w:rsidRDefault="007C4F8B" w:rsidP="6D09F7BC">
      <w:pPr>
        <w:spacing w:after="200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JURISDICIONADOS: [JURISDICIONADOS]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510AF5" w:rsidRPr="00636B72" ns2:paraId="57D6716F" ns2:textId="77777777" w:rsidTr="6D09F7BC">
        <w:trPr>
          <w:tblHeader/>
        </w:trPr>
        <w:tc>
          <w:tcPr>
            <w:tcW w:w="5000" w:type="pct"/>
            <w:gridSpan w:val="6"/>
          </w:tcPr>
          <w:p ns2:paraId="7D29FCBB" ns2:textId="4EC62946" w:rsidR="005D66B0" w:rsidRDefault="48870B08" w:rsidP="005D66B0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Q1: A organização possui área, unidade, setor ou função de TIC formalmente instituída, com atribuições definidas e posicionamento organizacional compatível com suas responsabilidades institucionais?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possui área, unidade, setor ou função de TIC formalmente instituída?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área de TIC possui atribuições formalmente definidas relacionadas à gestão da TIC?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área de TIC está posicionada em nível organizacional que favoreça sua interlocução com a alta administração e sua atuação estratégica?</w:t>
            </w:r>
          </w:p>
        </w:tc>
      </w:tr>
      <w:tr w:rsidR="00A20BFA" w:rsidRPr="00636B72" ns2:paraId="6C956695" ns2:textId="77777777" w:rsidTr="6D09F7BC">
        <w:trPr>
          <w:tblHeader/>
        </w:trPr>
        <w:tc>
          <w:tcPr>
            <w:tcW w:w="5000" w:type="pct"/>
            <w:gridSpan w:val="6"/>
            <w:shd w:val="clear" w:color="auto" w:fill="BDD6EE" w:themeFill="accent5" w:themeFillTint="66"/>
          </w:tcPr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R1.1: Devido à ausência de formalização da área de TIC, poderá não haver unidade ou função institucionalmente reconhecida para coordenar o uso da tecnologia da informação, prejudicando a responsabilização e o alinhamento da TIC aos objetivos da organização.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R1.2: Devido à ausência de atribuições formais da área de TIC, poderá não haver clareza sobre responsabilidades de planejamento, coordenação, gestão e controle da TIC, favorecendo atuação reativa e fragmentada.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R1.3: Devido ao posicionamento organizacional inadequado da área de TIC, poderá haver baixa capacidade de influência institucional, comprometendo a participação da TIC em decisões estratégicas, orçamentárias, contratuais e de gestão de riscos.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1A774B" w:rsidRPr="00636B72" ns2:paraId="4D48342C" ns2:textId="77777777" w:rsidTr="6D09F7BC">
        <w:trPr>
          <w:tblHeader/>
        </w:trPr>
        <w:tc>
          <w:tcPr>
            <w:tcW w:w="505" w:type="pct"/>
            <w:vAlign w:val="center"/>
          </w:tcPr>
          <w:p ns2:paraId="5C2D7232" ns2:textId="280A56F4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W w:w="709" w:type="pct"/>
            <w:vAlign w:val="center"/>
          </w:tcPr>
          <w:p ns2:paraId="7208CA25" ns2:textId="5376F66C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W w:w="810" w:type="pct"/>
            <w:vAlign w:val="center"/>
          </w:tcPr>
          <w:p ns2:paraId="563FD7FD" ns2:textId="77777777" w:rsidR="00282E61" w:rsidRPr="00636B72" w:rsidRDefault="7AB3FDF1" w:rsidP="6D09F7BC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W w:w="1013" w:type="pct"/>
            <w:vAlign w:val="center"/>
          </w:tcPr>
          <w:p ns2:paraId="6A4DEA23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W w:w="912" w:type="pct"/>
            <w:vAlign w:val="center"/>
          </w:tcPr>
          <w:p ns2:paraId="4A1C29C4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W w:w="1051" w:type="pct"/>
            <w:vAlign w:val="center"/>
          </w:tcPr>
          <w:p ns2:paraId="357B1101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 w:rsidR="00EF385F" w:rsidRPr="00636B72" ns2:paraId="70A91EBB" ns2:textId="77777777" w:rsidTr="6D09F7BC">
        <w:tc>
          <w:tcPr>
            <w:tcW w:w="505" w:type="pct"/>
            <w:vAlign w:val="center"/>
          </w:tcPr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F1: Respostas ao questionário eletrônico iGovTI.</w:t>
            </w:r>
          </w:p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F2: Evidências anexadas ao questionário eletrônico.</w:t>
            </w:r>
          </w:p>
        </w:tc>
        <w:tc>
          <w:tcPr>
            <w:tcW w:w="709" w:type="pct"/>
            <w:vAlign w:val="center"/>
          </w:tcPr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IR1: Resposta sobre a existência formal de área, unidade, setor ou função de TIC; [F1, q0101]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IR3: Resposta sobre atribuições e competências formalizadas da área de TIC; [F1, q0103]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IR4: Evidência anexada que demonstre atribuições formalmente definidas relacionadas à gestão da TIC; [F2, q0103evi]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IR5: Resposta sobre posicionamento hierárquico da área de TIC na estrutura organizacional; [F1, q0102]</w:t>
            </w:r>
          </w:p>
        </w:tc>
        <w:tc>
          <w:tcPr>
            <w:tcW w:w="810" w:type="pct"/>
            <w:vAlign w:val="center"/>
          </w:tcPr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COBIT 2019, APO01.04 - Definir e implementar as estruturas organizacionais: estabelecer estruturas organizacionais internas e externas necessárias para apoiar os objetivos de governança e gestão de TI.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COBIT 2019, APO01.05 - Estabelecer papéis e responsabilidades: definir, comunicar e manter papéis e responsabilidades relacionados à governança e gestão de TI.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COBIT 2019, APO01.06 - Aprimorar o posicionamento da função de TI: posicionar a função de tecnologia de modo compatível com sua relevância estratégica, responsabilidades e necessidade de interação com a alta administração.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C6: Portaria SGD/ME nº 778/2019, art. 4º, § 1º - Referência de posicionamento organizacional: para a obtenção de melhores resultados, a área de TIC de cada órgão ou entidade deve, preferencialmente, estar vinculada à alta administração, com o intuito de apoiá-la na tomada de decisões e no alcance dos objetivos estratégicos.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C7: Constituição Federal, art. 37, caput - Princípio da eficiência.</w:t>
            </w:r>
          </w:p>
        </w:tc>
        <w:tc>
          <w:tcPr>
            <w:tcW w:w="1013" w:type="pct"/>
            <w:vAlign w:val="center"/>
          </w:tcPr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P1: Verificar, por meio da resposta à q0101, se a organização possui área, unidade, setor ou função de TIC formalmente instituída; [IR1]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P3: Verificar, por meio da resposta à q0103, se a área de TIC possui atribuições formalmente definidas relacionadas à gestão da TIC; [IR3]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P4: Validar, pela evidência anexada à q0103, a existência de atribuições formalmente definidas relacionadas à gestão da TIC; [IR4]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P5: Verificar, por meio da resposta à q0102, o posicionamento hierárquico da área de TIC; [IR5]</w:t>
            </w:r>
          </w:p>
        </w:tc>
        <w:tc>
          <w:tcPr>
            <w:tcW w:w="912" w:type="pct"/>
            <w:vAlign w:val="center"/>
          </w:tcPr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E1: Resposta negativa ou insuficiente sobre formalização da área, unidade, setor ou função de TIC; [P1]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E3: Resposta negativa ou insuficiente sobre atribuições formalizadas da área de TIC; [P3]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E4: Ausência ou insuficiência de evidência que demonstre atribuições formalmente definidas relacionadas à gestão da TIC; [P4]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E5: Resposta que indique posicionamento inexistente ou incompatível da área de TIC; [P5]</w:t>
            </w:r>
          </w:p>
        </w:tc>
        <w:tc>
          <w:tcPr>
            <w:tcW w:w="1051" w:type="pct"/>
            <w:vAlign w:val="center"/>
          </w:tcPr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8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>A1: Estrutura de TIC insuficientemente formalizada, definida ou posicionada para gerir a tecnologia da informação.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S1.1: Ausência de área, unidade, setor ou função de TIC formalmente instituída.; Referências: R1.1, P1, E1; Critérios: C1, C7; Encaminhamento: formalize a área, unidade, setor ou função de TIC em instrumento compatível com a organização, definindo vinculação e responsabilidades essenciais de modo compatível com o porte, a complexidade e a dependência tecnológica da organização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S1.2: Área de TIC sem atribuições formalmente definidas ou sem atribuições formais de gestão de TIC.; Referências: R1.2, P3, E3, P4, E4; Critérios: C2, C7; Encaminhamento: defina formalmente as atribuições da área de TIC, atentando-se, minimamente, em abranger as atividades de planejamento, coordenação, gestão e controle da TIC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S1.3: Posicionamento organizacional inadequado da área de TIC.; Referências: R1.3, P5, E5; Critérios: C3, C6; Encaminhamento: avalie o posicionamento organizacional da área de TIC e adote, quando necessário, medidas para assegurar interlocução adequada com a alta administração e participação nas decisões estratégicas, orçamentárias, contratuais e de gestão de riscos relacionadas à tecnologia da informação.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510AF5" w:rsidRPr="00636B72" ns2:paraId="57D6716F" ns2:textId="77777777" w:rsidTr="6D09F7BC">
        <w:trPr>
          <w:tblHeader/>
        </w:trPr>
        <w:tc>
          <w:tcPr>
            <w:tcW w:w="5000" w:type="pct"/>
            <w:gridSpan w:val="6"/>
          </w:tcPr>
          <w:p ns2:paraId="7D29FCBB" ns2:textId="4EC62946" w:rsidR="005D66B0" w:rsidRDefault="48870B08" w:rsidP="005D66B0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Q2: A organização possui mecanismos básicos de governança de TIC, incluindo objetivos, indicadores e metas, bem como Comitê de TIC ou instância equivalente formalmente instituída e atuante?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alta administração estabeleceu objetivos, indicadores e metas para a gestão de TIC?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Comitê de TIC ou instância equivalente está formalmente instituído e conta com representantes de áreas relevantes da organização?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Comitê de TIC ou instância equivalente realiza as atividades previstas em seu ato constitutivo?</w:t>
            </w:r>
          </w:p>
        </w:tc>
      </w:tr>
      <w:tr w:rsidR="00A20BFA" w:rsidRPr="00636B72" ns2:paraId="6C956695" ns2:textId="77777777" w:rsidTr="6D09F7BC">
        <w:trPr>
          <w:tblHeader/>
        </w:trPr>
        <w:tc>
          <w:tcPr>
            <w:tcW w:w="5000" w:type="pct"/>
            <w:gridSpan w:val="6"/>
            <w:shd w:val="clear" w:color="auto" w:fill="BDD6EE" w:themeFill="accent5" w:themeFillTint="66"/>
          </w:tcPr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R2.1: Devido à ausência de objetivos, indicadores ou metas para a gestão de TIC, poderá haver dificuldade para direcionar prioridades, medir resultados e acompanhar a contribuição da TIC para os objetivos institucionais.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R2.2: Devido à inexistência de Comitê de TIC ou instância equivalente, ou à ausência de representação de áreas relevantes em sua composição, poderá não haver instância colegiada adequada para alinhar prioridades e decisões relevantes de TIC às necessidades e aos objetivos institucionais.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R2.3: Devido à ausência de atuação efetiva do Comitê de TIC ou instância equivalente, o colegiado poderá existir apenas formalmente, sem contribuir efetivamente para o direcionamento, a priorização e o acompanhamento da TIC.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1A774B" w:rsidRPr="00636B72" ns2:paraId="4D48342C" ns2:textId="77777777" w:rsidTr="6D09F7BC">
        <w:trPr>
          <w:tblHeader/>
        </w:trPr>
        <w:tc>
          <w:tcPr>
            <w:tcW w:w="505" w:type="pct"/>
            <w:vAlign w:val="center"/>
          </w:tcPr>
          <w:p ns2:paraId="5C2D7232" ns2:textId="280A56F4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W w:w="709" w:type="pct"/>
            <w:vAlign w:val="center"/>
          </w:tcPr>
          <w:p ns2:paraId="7208CA25" ns2:textId="5376F66C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W w:w="810" w:type="pct"/>
            <w:vAlign w:val="center"/>
          </w:tcPr>
          <w:p ns2:paraId="563FD7FD" ns2:textId="77777777" w:rsidR="00282E61" w:rsidRPr="00636B72" w:rsidRDefault="7AB3FDF1" w:rsidP="6D09F7BC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W w:w="1013" w:type="pct"/>
            <w:vAlign w:val="center"/>
          </w:tcPr>
          <w:p ns2:paraId="6A4DEA23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W w:w="912" w:type="pct"/>
            <w:vAlign w:val="center"/>
          </w:tcPr>
          <w:p ns2:paraId="4A1C29C4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W w:w="1051" w:type="pct"/>
            <w:vAlign w:val="center"/>
          </w:tcPr>
          <w:p ns2:paraId="357B1101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 w:rsidR="00EF385F" w:rsidRPr="00636B72" ns2:paraId="70A91EBB" ns2:textId="77777777" w:rsidTr="6D09F7BC">
        <w:tc>
          <w:tcPr>
            <w:tcW w:w="505" w:type="pct"/>
            <w:vAlign w:val="center"/>
          </w:tcPr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F1: Respostas ao questionário eletrônico iGovTI.</w:t>
            </w:r>
          </w:p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F2: Evidências anexadas ao questionário eletrônico.</w:t>
            </w:r>
          </w:p>
        </w:tc>
        <w:tc>
          <w:tcPr>
            <w:tcW w:w="709" w:type="pct"/>
            <w:vAlign w:val="center"/>
          </w:tcPr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IR1: Resposta sobre objetivos, indicadores e metas para a gestão de TIC estabelecidos pela alta administração; [F1, q1001ext[H]]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IR2: Evidência anexada que demonstre a formalização dos objetivos, indicadores e metas para a gestão de TIC; [F2, q1001evi]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IR3: Resposta sobre existência de Comitê de TIC ou instância equivalente composto por representantes de áreas relevantes da organização; [F1, q1001ext[E]]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IR4: Evidência anexada que demonstre a instituição formal e a composição do Comitê de TIC ou instância equivalente; [F2, q1001evi]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IR5: Resposta sobre a realização das atividades previstas no ato constitutivo do Comitê de TIC ou instância equivalente; [F1, q1001ext[F]]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IR6: Evidência anexada que demonstre atuação efetiva do Comitê de TIC ou instância equivalente, como atas, pautas, listas de presença, registros de deliberação, decisões, encaminhamentos ou acompanhamento de pendências; [F2, q1001evi]</w:t>
            </w:r>
          </w:p>
        </w:tc>
        <w:tc>
          <w:tcPr>
            <w:tcW w:w="810" w:type="pct"/>
            <w:vAlign w:val="center"/>
          </w:tcPr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COBIT 2019, EDM01.02 - Dirigir o sistema de governança: orientar estruturas, princípios, processos e práticas de governança para assegurar que a TI apoie os objetivos organizacionais.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COBIT 2019, MEA01.04 - Avaliar o desempenho: monitorar e avaliar periodicamente o desempenho e a conformidade da TI em relação a objetivos, indicadores, metas e expectativas das partes interessadas.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Decreto nº 12.198/2024, arts. 5º e 6º, § 2º – Referência de governança digital: instituição, no âmbito da Administração Pública federal direta, autárquica e fundacional, de Comitê de Governança Digital ou colegiado equivalente com função deliberativa sobre ações de governo digital e uso de recursos de TIC, incluindo a aprovação dos instrumentos de planejamento previstos no Decreto.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C4: Acórdão TCE-RJ nº 44.490/2024-PLEN, itens II.1, III.1 e V.1 – Precedente pela instituição e atuação efetiva de instância colegiada de governança de TIC, com responsabilidade pelo alinhamento das ações de TIC aos objetivos institucionais, priorização dos investimentos e monitoramento do desempenho da TIC.</w:t>
            </w:r>
          </w:p>
        </w:tc>
        <w:tc>
          <w:tcPr>
            <w:tcW w:w="1013" w:type="pct"/>
            <w:vAlign w:val="center"/>
          </w:tcPr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P1: Verificar, por meio da resposta à q1001ext[H], se a alta administração estabeleceu objetivos, indicadores e metas para a gestão de TIC; [IR1]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P2: Validar, pela evidência anexada à q1001, a formalização dos objetivos, indicadores e metas para a gestão de TIC; [IR2]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P3: Verificar, por meio da resposta à q1001ext[E], se a organização declarou dispor de Comitê de TIC ou instância equivalente composto por representantes de áreas relevantes; [IR3]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P4: Validar, pela evidência anexada à q1001, a instituição formal e a composição do Comitê de TIC ou instância equivalente; [IR4]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P5: Verificar, por meio da resposta à q1001ext[F], se o Comitê de TIC ou instância equivalente realiza as atividades previstas em seu ato constitutivo; [IR5]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P6: Validar, pela evidência anexada à q1001, se há atas, pautas, registros de deliberação, encaminhamentos ou acompanhamento de decisões do Comitê de TIC ou instância equivalente; [IR6]</w:t>
            </w:r>
          </w:p>
        </w:tc>
        <w:tc>
          <w:tcPr>
            <w:tcW w:w="912" w:type="pct"/>
            <w:vAlign w:val="center"/>
          </w:tcPr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E1: Resposta negativa sobre o estabelecimento de objetivos, indicadores ou metas para a gestão de TIC; [P1]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E2: Ausência, desatualização, incompatibilidade ou insuficiência de evidência que demonstre objetivos, indicadores e metas para a gestão de TIC; [P2]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E3: Resposta que indique inexistência de Comitê de TIC ou instância equivalente com representação de áreas relevantes da organização; [P3]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E4: Ausência ou insuficiência de evidência que demonstre a instituição formal e a composição do Comitê de TIC ou instância equivalente; [P4]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E5: Resposta que indique que o Comitê de TIC ou instância equivalente não realiza as atividades previstas em seu ato constitutivo; [P5]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E6: Ausência, desatualização, incompatibilidade ou insuficiência de atas, registros de deliberação, encaminhamentos ou acompanhamento de decisões do Comitê de TIC ou instância equivalente; [P6]</w:t>
            </w:r>
          </w:p>
        </w:tc>
        <w:tc>
          <w:tcPr>
            <w:tcW w:w="1051" w:type="pct"/>
            <w:vAlign w:val="center"/>
          </w:tcPr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8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>A2: Governança de TIC insuficiente para avaliar, dirigir e monitorar a tecnologia da informação.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S2.1: Ausência de objetivos, indicadores ou metas para a gestão de TIC.; Referências: R2.1, P1, E1, P2, E2; Critérios: C2; Encaminhamento: estabeleça objetivos, indicadores e metas para a gestão de TIC, de modo a possibilitar o acompanhamento periódico do desempenho da TIC pela alta administração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S2.2: Comitê de TIC ou instância equivalente não instituído formalmente ou sem representação de áreas relevantes da organização.; Referências: R2.2, P3, E3, P4, E4; Critérios: C1, C3, C4; Encaminhamento: institua formalmente Comitê de TIC ou instância colegiada equivalente, compatível com o porte e a estrutura decisória da organização, definindo em seu ato constitutivo, minimamente, a participação de representantes de áreas relevantes da organização, suas competências, a periodicidade de reuniões, a forma de registro das deliberações e os mecanismos de acompanhamento dos encaminhamentos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S2.3: Comitê de TIC ou instância equivalente sem atuação efetiva comprovada.; Referências: R2.3, P5, E5, P6, E6; Critérios: C1, C3, C4; Encaminhamento: assegure o funcionamento efetivo do Comitê de TIC ou instância colegiada equivalente, mediante o exercício das competências previstas em seu ato constitutivo, com registro das deliberações e acompanhamento dos respectivos encaminhamentos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510AF5" w:rsidRPr="00636B72" ns2:paraId="57D6716F" ns2:textId="77777777" w:rsidTr="6D09F7BC">
        <w:trPr>
          <w:tblHeader/>
        </w:trPr>
        <w:tc>
          <w:tcPr>
            <w:tcW w:w="5000" w:type="pct"/>
            <w:gridSpan w:val="6"/>
          </w:tcPr>
          <w:p ns2:paraId="7D29FCBB" ns2:textId="4EC62946" w:rsidR="005D66B0" w:rsidRDefault="48870B08" w:rsidP="005D66B0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Q3: A organização utiliza o planejamento de TIC como instrumento efetivo de gestão, com processo formal, plano vigente, aprovação competente, alinhamento institucional, integração com orçamento e contratações e acompanhamento periódico?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executa processo formal de planejamento de TIC?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 áreas demandantes participam do processo de planejamento de TIC?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plano de TIC foi formalmente aprovado pela instância competente?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plano de TIC está alinhado ao planejamento institucional?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plano de TIC está integrado à proposta orçamentária da área de TIC e ao plano de contratações?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plano de TIC é acompanhado, revisto e atualizado periodicamente ou diante de mudanças relevantes?</w:t>
            </w:r>
          </w:p>
        </w:tc>
      </w:tr>
      <w:tr w:rsidR="00A20BFA" w:rsidRPr="00636B72" ns2:paraId="6C956695" ns2:textId="77777777" w:rsidTr="6D09F7BC">
        <w:trPr>
          <w:tblHeader/>
        </w:trPr>
        <w:tc>
          <w:tcPr>
            <w:tcW w:w="5000" w:type="pct"/>
            <w:gridSpan w:val="6"/>
            <w:shd w:val="clear" w:color="auto" w:fill="BDD6EE" w:themeFill="accent5" w:themeFillTint="66"/>
          </w:tcPr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R3.1: Devido à inexistência ou insuficiência do processo de planejamento de TIC, poderá não haver plano vigente e participação adequada das áreas demandantes, favorecendo atuação reativa e desalinhada às necessidades institucionais.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R3.2: Devido à ausência de aprovação formal do plano de TIC pela instância competente, o instrumento poderá não possuir legitimidade institucional para orientar a gestão, os projetos, o orçamento e as contratações de TIC.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R3.4: Devido ao alinhamento insuficiente do plano de TIC ao planejamento institucional poderão ser executadas ações de TIC com baixo valor ou desconectadas das prioridades da organização.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R3.5: Devido à ausência de integração entre planejamento de TIC, orçamento e contratações, poderão ocorrer aquisições reativas, não priorizadas ou desalinhadas.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R3.6: Devido à ausência de acompanhamento da execução do plano de TIC, poderão deixar de ser identificados tempestivamente desvios, pendências ou mudanças que demandem ajustes nas iniciativas e prioridades planejadas.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1A774B" w:rsidRPr="00636B72" ns2:paraId="4D48342C" ns2:textId="77777777" w:rsidTr="6D09F7BC">
        <w:trPr>
          <w:tblHeader/>
        </w:trPr>
        <w:tc>
          <w:tcPr>
            <w:tcW w:w="505" w:type="pct"/>
            <w:vAlign w:val="center"/>
          </w:tcPr>
          <w:p ns2:paraId="5C2D7232" ns2:textId="280A56F4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W w:w="709" w:type="pct"/>
            <w:vAlign w:val="center"/>
          </w:tcPr>
          <w:p ns2:paraId="7208CA25" ns2:textId="5376F66C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W w:w="810" w:type="pct"/>
            <w:vAlign w:val="center"/>
          </w:tcPr>
          <w:p ns2:paraId="563FD7FD" ns2:textId="77777777" w:rsidR="00282E61" w:rsidRPr="00636B72" w:rsidRDefault="7AB3FDF1" w:rsidP="6D09F7BC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W w:w="1013" w:type="pct"/>
            <w:vAlign w:val="center"/>
          </w:tcPr>
          <w:p ns2:paraId="6A4DEA23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W w:w="912" w:type="pct"/>
            <w:vAlign w:val="center"/>
          </w:tcPr>
          <w:p ns2:paraId="4A1C29C4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W w:w="1051" w:type="pct"/>
            <w:vAlign w:val="center"/>
          </w:tcPr>
          <w:p ns2:paraId="357B1101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 w:rsidR="00EF385F" w:rsidRPr="00636B72" ns2:paraId="70A91EBB" ns2:textId="77777777" w:rsidTr="6D09F7BC">
        <w:tc>
          <w:tcPr>
            <w:tcW w:w="505" w:type="pct"/>
            <w:vAlign w:val="center"/>
          </w:tcPr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F1: Respostas ao questionário eletrônico iGovTI.</w:t>
            </w:r>
          </w:p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F2: Evidências anexadas no questionário eletrônico.</w:t>
            </w:r>
          </w:p>
        </w:tc>
        <w:tc>
          <w:tcPr>
            <w:tcW w:w="709" w:type="pct"/>
            <w:vAlign w:val="center"/>
          </w:tcPr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IR1: Respostas sobre execução e formalização do processo de planejamento de TIC, bem como sobre a existência de plano de TIC vigente; [F1, q2101, q2101ext[D], q2102]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IR2: Evidência que demonstre a formalização do processo de planejamento de TIC; [F2, q2101evi]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IR3: Resposta sobre participação das áreas demandantes no processo de planejamento de TIC; [F1, q2101ext[A]]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IR4: Resposta sobre aprovação formal do plano de TIC pela instância competente; [F1, q2102ext[A]]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IR5: Evidência anexada do ato de aprovação formal do plano de TIC; [F2, q2102evi]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IR7: Resposta e evidência sobre alinhamento das iniciativas do plano de TIC ao planejamento institucional; [F1, F2, q2102ext[D], q2102evi]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IR8: Resposta e evidência sobre a utilização do plano de TIC como referência para a elaboração da proposta orçamentária da área de TIC e do plano de contratações; [F1, F2, q2102ext[C], q2102evi]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IR9: Resposta e evidência sobre acompanhamento da execução do plano de TIC; [F1, F2, q2102ext[E], q2102evi]</w:t>
            </w:r>
          </w:p>
        </w:tc>
        <w:tc>
          <w:tcPr>
            <w:tcW w:w="810" w:type="pct"/>
            <w:vAlign w:val="center"/>
          </w:tcPr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COBIT 2019, APO02.05 - Definir o plano e o roteiro estratégico: estabelecer plano e roteiro de TIC que traduzam a estratégia em iniciativas, prioridades, recursos, dependências, prazos e benefícios esperados.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COBIT 2019, APO06.03 - Criar e manter orçamentos: elaborar e manter orçamento de TIC alinhado ao portfólio, ao planejamento e às prioridades aprovadas.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Acórdão 1.411/2014-TCU-Plenário, item 9.1.6 e subitens 9.1.6.1 a 9.1.6.4: necessidade de instituir formalmente plano diretor de TI, contemplando desdobramento de diretrizes estratégicas, vinculação das ações de TI a indicadores e metas de negócio, vinculação das ações de TI a indicadores e metas de serviços ao cidadão e vinculação das ações priorizadas ao orçamento de TI.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C4: Acórdão TCE-RJ nº 44.490/2024-PLEN, itens II.3 e III.3 e respectivos subitens – Precedentes quanto ao estabelecimento formal de processo estruturado de planejamento de TIC, com participação das áreas relevantes, elaboração, manutenção e revisão periódica de PDTI, contemplando objetivos, indicadores e metas alinhados aos objetivos institucionais, riscos, projetos, aquisições, recursos necessários e ações de monitoramento após aprovação pela alta administração.</w:t>
            </w:r>
          </w:p>
        </w:tc>
        <w:tc>
          <w:tcPr>
            <w:tcW w:w="1013" w:type="pct"/>
            <w:vAlign w:val="center"/>
          </w:tcPr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P1: Verificar, por meio das respostas à q2101 e q2101ext[D], se a organização executa processo de planejamento de TIC formalizado; [IR1]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P2: Validar, pela evidência anexada à q2101, a formalização mínima do processo de planejamento de TIC; [IR2]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P3: Verificar, por meio da q2101ext[A], se há participação das áreas demandantes no processo de planejamento de TIC; [IR3]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P4: Verificar, por meio da resposta à q2102ext[A], se o plano de TIC foi aprovado pelo dirigente máximo da organização ou por dirigente ou colegiado integrante da alta administração; [IR4]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P5: Validar, pelas evidências anexadas à q2102, a aprovação formal do plano de TIC pela instância competente; [IR5]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P7: Verificar, por meio da resposta e das evidências da q2102, se o plano está alinhado ao planejamento institucional; [IR7]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P8: Verificar, por meio da resposta à q2102ext[C] e da evidência correspondente, se o plano de TIC fundamenta a proposta orçamentária da área de TIC e o plano de contratações; [IR8]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P9: Verificar, por meio da resposta à q2102ext[E] e das evidências correspondentes, se é realizado acompanhamento concomitante à execução do plano de TIC; [IR9]</w:t>
            </w:r>
          </w:p>
        </w:tc>
        <w:tc>
          <w:tcPr>
            <w:tcW w:w="912" w:type="pct"/>
            <w:vAlign w:val="center"/>
          </w:tcPr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E1: Resposta negativa ou insuficiente sobre a existência de processo de planejamento de TIC; [P1]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E2: Ausência, desatualização, incompatibilidade ou insuficiência de evidência que discipline o processo de planejamento de TIC; [P2]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E3: Resposta negativa ou insuficiente sobre participação das áreas demandantes; [P3]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E4: Resposta negativa ou insuficiente sobre a aprovação formal do plano de TIC pela instância competente; [P4]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E5: Ausência ou insuficiência de evidência do ato de aprovação formal do plano de TIC pela instância competente; [P5]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E7: Inexistência ou insuficiência de alinhamento entre plano de TIC e planejamento institucional; [P7]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E8: Ausência ou insuficiência de evidência de utilização do plano de TIC como referência para a proposta orçamentária da área de TIC e o plano de contratações; [P8]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E9: Ausência ou insuficiência de evidência de acompanhamento da execução do plano de TIC; [P9] variaveis_derivadas: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nome: existe_plano_ti descricao: Indica que a organização declarou possuir plano de TIC vigente, ao menos parcialmente adotado. regra_de_calculo: (q2102 == Adota parcialmente.) | (q2102 == Adota em maior parte ou totalmente.)</w:t>
            </w:r>
          </w:p>
        </w:tc>
        <w:tc>
          <w:tcPr>
            <w:tcW w:w="1051" w:type="pct"/>
            <w:vAlign w:val="center"/>
          </w:tcPr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8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>A3: Planejamento de TIC insuficiente para orientar a gestão, o orçamento e as contratações de TIC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S3.1: Inexistência ou insuficiência do processo de planejamento de TIC para produzir e manter plano de TIC adequado.; Referências: R3.1, P1, E1, P2, E2, P3, E3; Critérios: C1, C3, C4; Encaminhamento: institua processo formal de planejamento de TIC, compatível com o porte e a complexidade da organização, que assegure a elaboração e manutenção de plano de TIC, atentando-se, minimamente, em definir etapas, responsabilidades e participação das áreas demandantes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S3.2: Ausência de aprovação formal do plano de TIC.; Referências: R3.2, P4, E4, P5, E5; Critérios: C3, C4; Encaminhamento: submeta o plano de TIC à aprovação formal do dirigente máximo ou de instância competente da alta administração, mantendo registro do respectivo ato de aprovação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S3.4: Plano de TIC sem alinhamento adequado ao planejamento institucional.; Referências: R3.4, P7, E7; Critérios: C1, C3, C4; Encaminhamento: revise o plano de TIC para explicitar seu alinhamento ao planejamento institucional, às diretrizes superiores e às necessidades das áreas finalísticas e administrativas, relacionando objetivos, iniciativas, indicadores e metas de TIC aos resultados institucionais pretendidos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S3.5: Plano de TIC não utilizado como referência para a elaboração da proposta orçamentária e do plano de contratações.; Referências: R3.5, P8, E8; Critérios: C2, C4; Encaminhamento: integre o plano de TIC à elaboração da proposta orçamentária e do plano de contratações, de maneira proporcional ao porte, à estrutura e à capacidade de planejamento da organização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S3.6: Ausência de acompanhamento da execução do plano de TIC.; Referências: R3.6, P9, E9; Critérios: C4; Encaminhamento: estabeleça e execute rotina periódica de acompanhamento da execução do plano de TIC, promovendo sua revisão periódica e os ajustes ou atualizações necessários, com registro das principais decisões e reprogramações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510AF5" w:rsidRPr="00636B72" ns2:paraId="57D6716F" ns2:textId="77777777" w:rsidTr="6D09F7BC">
        <w:trPr>
          <w:tblHeader/>
        </w:trPr>
        <w:tc>
          <w:tcPr>
            <w:tcW w:w="5000" w:type="pct"/>
            <w:gridSpan w:val="6"/>
          </w:tcPr>
          <w:p ns2:paraId="7D29FCBB" ns2:textId="4EC62946" w:rsidR="005D66B0" w:rsidRDefault="48870B08" w:rsidP="005D66B0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Q4: A organização dispõe de mecanismos mínimos para estruturar e dimensionar sua força de trabalho de TIC e segurança da informação, formalizar funções e preservar capacidade interna nos modelos de operação predominantemente terceirizados?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dispõe de profissionais que atuam regularmente em TIC?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definiu o quantitativo necessário de pessoal de TIC e segurança da informação?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possui cargos ou funções formalmente atribuídos à TIC e à segurança da informação?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Nos modelos de operação predominantemente terceirizados, a organização mantém força de trabalho interna de TIC?</w:t>
            </w:r>
          </w:p>
        </w:tc>
      </w:tr>
      <w:tr w:rsidR="00A20BFA" w:rsidRPr="00636B72" ns2:paraId="6C956695" ns2:textId="77777777" w:rsidTr="6D09F7BC">
        <w:trPr>
          <w:tblHeader/>
        </w:trPr>
        <w:tc>
          <w:tcPr>
            <w:tcW w:w="5000" w:type="pct"/>
            <w:gridSpan w:val="6"/>
            <w:shd w:val="clear" w:color="auto" w:fill="BDD6EE" w:themeFill="accent5" w:themeFillTint="66"/>
          </w:tcPr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R4.1: Devido à ausência de profissionais atuando regularmente em TIC, poderá não haver capacidade operacional mínima para coordenar e sustentar as atividades e serviços tecnológicos da organização.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R4.2: Devido à ausência de definição do quantitativo necessário de pessoal de TIC e segurança da informação, poderá haver subdimensionamento ou alocação inadequada da equipe.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R4.3: Devido à ausência de cargos ou funções formalmente atribuídos à TIC ou à segurança da informação, poderá haver baixa clareza de responsabilidades e insuficiente capacidade de alocação e responsabilização dos profissionais.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R4.6: Devido à operação predominantemente terceirizada sem profissionais internos de TIC, poderá haver insuficiência de capacidade interna para coordenação, supervisão e fiscalização das atividades terceirizadas, além de maior risco de dependência externa, perda de conhecimento e descontinuidade.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1A774B" w:rsidRPr="00636B72" ns2:paraId="4D48342C" ns2:textId="77777777" w:rsidTr="6D09F7BC">
        <w:trPr>
          <w:tblHeader/>
        </w:trPr>
        <w:tc>
          <w:tcPr>
            <w:tcW w:w="505" w:type="pct"/>
            <w:vAlign w:val="center"/>
          </w:tcPr>
          <w:p ns2:paraId="5C2D7232" ns2:textId="280A56F4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W w:w="709" w:type="pct"/>
            <w:vAlign w:val="center"/>
          </w:tcPr>
          <w:p ns2:paraId="7208CA25" ns2:textId="5376F66C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W w:w="810" w:type="pct"/>
            <w:vAlign w:val="center"/>
          </w:tcPr>
          <w:p ns2:paraId="563FD7FD" ns2:textId="77777777" w:rsidR="00282E61" w:rsidRPr="00636B72" w:rsidRDefault="7AB3FDF1" w:rsidP="6D09F7BC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W w:w="1013" w:type="pct"/>
            <w:vAlign w:val="center"/>
          </w:tcPr>
          <w:p ns2:paraId="6A4DEA23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W w:w="912" w:type="pct"/>
            <w:vAlign w:val="center"/>
          </w:tcPr>
          <w:p ns2:paraId="4A1C29C4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W w:w="1051" w:type="pct"/>
            <w:vAlign w:val="center"/>
          </w:tcPr>
          <w:p ns2:paraId="357B1101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 w:rsidR="00EF385F" w:rsidRPr="00636B72" ns2:paraId="70A91EBB" ns2:textId="77777777" w:rsidTr="6D09F7BC">
        <w:tc>
          <w:tcPr>
            <w:tcW w:w="505" w:type="pct"/>
            <w:vAlign w:val="center"/>
          </w:tcPr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F1: Respostas ao questionário eletrônico iGovTI.</w:t>
            </w:r>
          </w:p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F2: Evidências anexadas no questionário eletrônico.</w:t>
            </w:r>
          </w:p>
        </w:tc>
        <w:tc>
          <w:tcPr>
            <w:tcW w:w="709" w:type="pct"/>
            <w:vAlign w:val="center"/>
          </w:tcPr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IR1: Resposta sobre quantitativo de profissionais que atuam em TIC e segurança da informação, por área e tipo de vínculo; [F1, q0105]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IR2: Resposta e evidência sobre definição do quantitativo necessário de pessoal de TIC e segurança da informação; [F1, F2, q2703, q2703evi]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IR3: Resposta e evidência sobre existência de cargos ou funções formalmente atribuídos à TIC e à segurança da informação; [F1, F2, q2708, q2708evi]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IR9: Resposta sobre o modelo de operação predominante de TIC e os quantitativos total e interno de profissionais de TIC, para avaliação da dependência de terceiros e da capacidade interna de coordenação e fiscalização; [F1, q0101, q0105]</w:t>
            </w:r>
          </w:p>
        </w:tc>
        <w:tc>
          <w:tcPr>
            <w:tcW w:w="810" w:type="pct"/>
            <w:vAlign w:val="center"/>
          </w:tcPr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COBIT 2019, APO01.05 - Estabelecer papéis e responsabilidades: definir, comunicar e manter papéis e responsabilidades relacionados à governança e gestão de TIC.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COBIT 2019, APO07.01 - Adquirir e manter pessoal adequado e apropriado: assegurar quantidade e perfil de profissionais compatíveis com as necessidades de TIC.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C5: COBIT 2019, APO07.05 - Planejar e monitorar o uso de recursos humanos de TI e de negócio: planejar, alocar e acompanhar capacidade de pessoal para iniciativas, operações e serviços de TIC.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C6: COBIT 2019, APO07.06 - Gerenciar pessoal contratado: controlar o uso de pessoal terceirizado ou externo, preservando responsabilização, supervisão e retenção de conhecimento.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C12: Acórdão 1.411/2014-TCU-Plenário, item 9.1.6.5 - O PDTI deve contemplar o quantitativo necessário ou ideal para a força de trabalho em TI.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C13: Acórdão 1.411/2014-TCU-Plenário, item 9.1.7 - A organização deve adotar providências para dotar o setor de TI de quantitativo adequado às necessidades de trabalho em TI, consideradas as necessidades das demais áreas.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C14: Acórdão TCE-RJ nº 44.490/2024-PLEN, itens I.10.11, III.9.11 e IV.11.3 – Referência para avaliação da estrutura de recursos humanos de TIC quanto à suficiência quantitativa e qualitativa e à preservação de capacidade interna em atividades de planejamento, coordenação, fiscalização e controle.</w:t>
            </w:r>
          </w:p>
        </w:tc>
        <w:tc>
          <w:tcPr>
            <w:tcW w:w="1013" w:type="pct"/>
            <w:vAlign w:val="center"/>
          </w:tcPr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P1: Verificar, por meio da q0105, o quantitativo informado de profissionais que atuam em TIC e segurança da informação, por área e tipo de vínculo; [IR1]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P2: Verificar, por meio da q2703 e respectiva evidência, se há definição do quantitativo necessário de pessoal de TIC e segurança da informação; [IR2]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P3: Verificar, por meio da q2708 e da respectiva evidência, se há cargos ou funções formalmente atribuídos à TIC e à segurança da informação; [IR3]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P7: Verificar, por meio da resposta à q0101 e dos quantitativos informados na q0105, se o modelo de operação de TIC é predominantemente terceirizado, há profissionais atuando em TIC e não há profissionais internos de TIC; [IR9]</w:t>
            </w:r>
          </w:p>
        </w:tc>
        <w:tc>
          <w:tcPr>
            <w:tcW w:w="912" w:type="pct"/>
            <w:vAlign w:val="center"/>
          </w:tcPr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E1: Quantitativo total declarado igual a zero para profissionais de TIC, desde que a organização tenha informado possuir estrutura formal de TIC; [P1]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E2: Resposta negativa ou insuficiente sobre definição do quantitativo necessário de pessoal de TIC e segurança da informação, ou evidência inexistente/incompatível/insuficiente; [P2]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E3: Resposta negativa ou evidência inexistente, incompatível ou insuficiente sobre cargos ou funções formalmente atribuídos à TIC ou à segurança da informação; [P3]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E7: Modelo de operação de TIC predominantemente terceirizado (q0101 = B), com profissionais atuando em TIC, mas sem profissionais internos de TIC (total de efetivos, comissionados, cedidos e temporários igual a zero); [P7] variaveis_derivadas: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nome: total_TI descricao: Total de profissionais que atuam regularmente em tecnologia da informação. regra_de_calculo: q0105[TI_efetivos] + q0105[TI_comissionados] + q0105[TI_terceirizados] + q0105[TI_cedidos] + q0105[TI_temporarios] + q0105[TI_estagiarios]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nome: total_TI_interno descricao: Total de profissionais internos de tecnologia da informação, excluídos terceirizados e estagiários. regra_de_calculo: q0105[TI_efetivos] + q0105[TI_comissionados] + q0105[TI_cedidos] + q0105[TI_temporarios]</w:t>
            </w:r>
          </w:p>
        </w:tc>
        <w:tc>
          <w:tcPr>
            <w:tcW w:w="1051" w:type="pct"/>
            <w:vAlign w:val="center"/>
          </w:tcPr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8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>A4: Capacidade institucional de pessoal de TIC e segurança da informação insuficientemente estruturada ou dimensionada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S4.1: Ausência de força de trabalho dedicada à TIC.; Referências: R4.1, P1, E1; Critérios: C2, C13; Encaminhamento: avalie a força de trabalho dedicada à TIC e adote medidas proporcionais para assegurar capacidade mínima de planejamento, gestão, proteção, contratação, fiscalização e sustentação dos serviços e ativos de TIC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S4.2: Ausência ou insuficiência de definição documentada do quantitativo necessário de pessoal de TIC e segurança da informação.; Referências: R4.2, P2, E2; Critérios: C5, C12; Encaminhamento: estime e mantenha atualizado o quantitativo necessário de pessoal de TIC e segurança da informação, considerando o porte e a complexidade da organização, os serviços críticos, os sistemas mantidos, as contratações vigentes e os riscos relevantes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S4.3: Ausência de cargos ou funções formalmente atribuídos à TIC ou à segurança da informação.; Referências: R4.3, P3, E3; Critérios: C1, C2; Encaminhamento: avalie a necessidade de formalizar a atribuição de cargos ou funções à TIC e à segurança da informação e adote solução compatível com as necessidades institucionais e a capacidade administrativa da organização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S4.6: Operação de TIC predominantemente terceirizada sem profissionais internos de TIC.; Referências: R4.6, P7, E7; Critérios: C6, C14; Encaminhamento: avalie o modelo de operação de TIC e adote medidas proporcionais para assegurar capacidade interna suficiente para coordenar, supervisionar e fiscalizar as atividades e os contratos de TIC executados predominantemente por terceiros, preservando responsabilização e retenção de conhecimento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510AF5" w:rsidRPr="00636B72" ns2:paraId="57D6716F" ns2:textId="77777777" w:rsidTr="6D09F7BC">
        <w:trPr>
          <w:tblHeader/>
        </w:trPr>
        <w:tc>
          <w:tcPr>
            <w:tcW w:w="5000" w:type="pct"/>
            <w:gridSpan w:val="6"/>
          </w:tcPr>
          <w:p ns2:paraId="7D29FCBB" ns2:textId="4EC62946" w:rsidR="005D66B0" w:rsidRDefault="48870B08" w:rsidP="005D66B0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Q5: A organização adota práticas mínimas de gestão de serviços de TIC, incluindo catálogo de serviços, níveis de serviço, inventário de ativos, gestão de configuração e tratamento de incidentes, de modo a assegurar eficiência, rastreabilidade e qualidade dos serviços prestados?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mantém catálogo de serviços de TIC atualizado e acessível aos usuários e às equipes de suporte?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catálogo de serviços de TIC contém informações mínimas sobre os serviços efetivamente prestados?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Existem Acordos de Níveis de Serviço ou metas mínimas formalmente definidas e monitoradas para os principais serviços de TIC?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mantém inventário atualizado dos ativos de TIC?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Há processo formal de gestão de configuração, com identificação de itens de configuração relevantes para os serviços de TIC?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possui processo formal de gestão de incidentes de TIC?</w:t>
            </w:r>
          </w:p>
        </w:tc>
      </w:tr>
      <w:tr w:rsidR="00A20BFA" w:rsidRPr="00636B72" ns2:paraId="6C956695" ns2:textId="77777777" w:rsidTr="6D09F7BC">
        <w:trPr>
          <w:tblHeader/>
        </w:trPr>
        <w:tc>
          <w:tcPr>
            <w:tcW w:w="5000" w:type="pct"/>
            <w:gridSpan w:val="6"/>
            <w:shd w:val="clear" w:color="auto" w:fill="BDD6EE" w:themeFill="accent5" w:themeFillTint="66"/>
          </w:tcPr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R5.1: Devido à inexistência ou desatualização do catálogo de serviços de TIC, poderá não haver definição clara e padronizada dos serviços prestados, levando à prestação reativa e pouco transparente de serviços de TIC.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R5.2: Devido à inexistência de níveis de serviço formalmente definidos ou monitorados, poderá não haver parâmetros objetivos de desempenho e qualidade dos serviços de TIC.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R5.3: Devido à inexistência ou fragilidade do inventário de ativos e da gestão de configuração, poderá não haver controle adequado dos recursos tecnológicos e suas relações com os serviços prestados.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R5.4: Devido à inexistência ou fragilidade do processo de gestão de incidentes de TIC, poderá não haver tratamento padronizado, tempestivo e rastreável dos incidentes.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1A774B" w:rsidRPr="00636B72" ns2:paraId="4D48342C" ns2:textId="77777777" w:rsidTr="6D09F7BC">
        <w:trPr>
          <w:tblHeader/>
        </w:trPr>
        <w:tc>
          <w:tcPr>
            <w:tcW w:w="505" w:type="pct"/>
            <w:vAlign w:val="center"/>
          </w:tcPr>
          <w:p ns2:paraId="5C2D7232" ns2:textId="280A56F4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W w:w="709" w:type="pct"/>
            <w:vAlign w:val="center"/>
          </w:tcPr>
          <w:p ns2:paraId="7208CA25" ns2:textId="5376F66C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W w:w="810" w:type="pct"/>
            <w:vAlign w:val="center"/>
          </w:tcPr>
          <w:p ns2:paraId="563FD7FD" ns2:textId="77777777" w:rsidR="00282E61" w:rsidRPr="00636B72" w:rsidRDefault="7AB3FDF1" w:rsidP="6D09F7BC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W w:w="1013" w:type="pct"/>
            <w:vAlign w:val="center"/>
          </w:tcPr>
          <w:p ns2:paraId="6A4DEA23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W w:w="912" w:type="pct"/>
            <w:vAlign w:val="center"/>
          </w:tcPr>
          <w:p ns2:paraId="4A1C29C4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W w:w="1051" w:type="pct"/>
            <w:vAlign w:val="center"/>
          </w:tcPr>
          <w:p ns2:paraId="357B1101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 w:rsidR="00EF385F" w:rsidRPr="00636B72" ns2:paraId="70A91EBB" ns2:textId="77777777" w:rsidTr="6D09F7BC">
        <w:tc>
          <w:tcPr>
            <w:tcW w:w="505" w:type="pct"/>
            <w:vAlign w:val="center"/>
          </w:tcPr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F1: Respostas ao questionário eletrônico iGovTI.</w:t>
            </w:r>
          </w:p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F2: Evidências anexadas no questionário eletrônico.</w:t>
            </w:r>
          </w:p>
        </w:tc>
        <w:tc>
          <w:tcPr>
            <w:tcW w:w="709" w:type="pct"/>
            <w:vAlign w:val="center"/>
          </w:tcPr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IR1: Resposta sobre adoção, atualização e disponibilidade do catálogo de serviços de TIC; [F1, q2201, q2201ext[B], q2201ext[C]]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IR2: Evidência anexada contendo catálogo de serviços de TIC; [F2, q2201evi]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IR3: Resposta sobre adoção da prática, metas no catálogo e existência de ANS ou metas mínimas de nível de serviço; [F1, q2201, q2201ext[A], q2201ext[D]]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IR4: Resposta sobre monitoramento de ANS ou metas mínimas; [F1, q2201ext[E]]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IR5: Evidência anexada contendo ANS, metas ou registros de monitoramento; [F2, q2201evi]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IR6: Resposta sobre inventário e controle de dispositivos e softwares de TIC; [F1, q2504, q2504ext[A], q2504ext[B]]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IR7: Evidência anexada contendo inventário de ativos de TIC; [F2, q2504evi]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IR8: Respostas sobre existência de base consolidada de configurações e formalização do processo de gestão de configuração; [F1, q2203, q2203ext[A], q2203ext[C]]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IR9: Evidência anexada contendo norma, procedimento, CMDB ou base equivalente de gestão de configuração; [F2, q2203evi]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IR10: Respostas sobre adoção e formalização do processo de gestão de incidentes, critérios de priorização e escalamento e tratamento de incidentes de segurança da informação; [F1, q2204, q2204ext[A], q2204ext[D], q2204ext[E]]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IR11: Evidência anexada contendo norma, procedimento ou fluxo de gestão de incidentes de TIC; [F2, q2204evi]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IR13: Evidência anexada contendo registros de incidentes, chamados, tickets, relatórios de atendimento ou sistema equivalente; [F2, q2204evi]</w:t>
            </w:r>
          </w:p>
        </w:tc>
        <w:tc>
          <w:tcPr>
            <w:tcW w:w="810" w:type="pct"/>
            <w:vAlign w:val="center"/>
          </w:tcPr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COBIT 2019, APO09.02 - Catalogar serviços facilitados por TI: definir, manter e comunicar catálogo de serviços, incluindo serviços prestados, características, requisitos e níveis de serviço esperados.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ITIL 4, prática de gerenciamento de nível de serviço: definir, acordar, monitorar, avaliar e reportar metas e níveis de serviço alinhados às necessidades das áreas usuárias.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C4: ITIL 4, prática de gerenciamento de ativos de TI: planejar e gerenciar o ciclo de vida dos ativos de TI, mantendo informações suficientes para apoiar controle, custo, risco, valor e tomada de decisão.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C6: COBIT 2019, BAI10.01 - Estabelecer e manter um modelo de configuração: definir escopo, granularidade, atributos, relacionamentos e responsáveis pela base de configuração.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C8: COBIT 2019, DSS02.02, DSS02.04 e DSS02.07 - Requisições de serviço e incidentes gerenciados: registrar, classificar, priorizar, investigar, diagnosticar, resolver, acompanhar e reportar incidentes e requisições de serviço.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C11: Acórdão TCE-RJ nº 44.490/2024-PLEN, itens II.7.4, III.9.4 e V.6.1 – Recomendações quanto à estruturação do catálogo de serviços de TIC, incluindo descrição dos serviços, metas, formas de acesso e disponibilidade aos usuários.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C12: Acórdão TCE-RJ nº 44.490/2024-PLEN, itens II.7.5, III.9.5 e V.6.2 – Recomendações quanto à gestão de configuração e ativos de TIC, incluindo formalização do processo e manutenção de base consolidada de ativos e itens de configuração.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C13: Acórdão TCE-RJ nº 44.490/2024-PLEN, itens II.7.6, III.9.6 e V.6.3 – Recomendações quanto à formalização e execução do processo de gestão de incidentes, incluindo registros, classificação, escalamento e tratamento.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C14: Acórdão TCE-RJ nº 44.490/2024-PLEN, itens II.7.7, III.9.7 e V.6.4 – Recomendações quanto à definição, pactuação e monitoramento de níveis de serviço.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C15: ABNT NBR ISO/IEC 20000-2:2021, item 8.2.4 – Gerenciamento de catálogo de serviço: orienta que o catálogo descreva os serviços e seus resultados pretendidos, contenha informações relevantes para sua utilização e seja disponibilizado às partes interessadas que necessitem acessá-lo.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C16: ABNT NBR ISO/IEC 20000-2:2021, item 8.2.6 – Gerenciamento de configuração: orienta a identificação, o registro, o controle, o rastreamento e a verificação dos itens de configuração, bem como a manutenção de informações de configuração precisas relacionadas aos serviços.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C17: ABNT NBR ISO/IEC 20000-2:2021, item 8.6.1 – Gerenciamento de incidente: orienta que os incidentes sejam registrados, classificados e priorizados, que as ações adotadas para sua resolução sejam registradas e rastreáveis e que sejam definidas responsabilidades para seu tratamento, incluindo procedimento documentado para incidentes graves.</w:t>
            </w:r>
          </w:p>
        </w:tc>
        <w:tc>
          <w:tcPr>
            <w:tcW w:w="1013" w:type="pct"/>
            <w:vAlign w:val="center"/>
          </w:tcPr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P1: Verificar, por meio da q2201 e das q2201ext[B] e [C], a adoção da prática e a atualização e disponibilidade do catálogo de serviços de TIC; [IR1]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P2: Validar, pela evidência anexada à q2201, se o catálogo contém informações mínimas sobre os serviços prestados; [IR2]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P3: Verificar, por meio da q2201 e das q2201ext[A], [D] e [E], a adoção, definição, pactuação e monitoramento de metas ou níveis de serviço; [IR3, IR4]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P4: Validar, pela evidência anexada à q2201, a existência de ANS, metas ou registros de monitoramento; [IR5]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P5: Verificar, por meio da q2504 e das q2504ext[A] e [B], se a organização inventaria e controla dispositivos e softwares; [IR6]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P6: Validar, pela evidência anexada à q2504, a existência e atualização do inventário de dispositivos e softwares; [IR7]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P7: Verificar, por meio da q2203 e das q2203ext[A] e [C], se a organização mantém base consolidada de configurações e processo formalizado de gestão de configuração; [IR8]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P8: Validar, pela evidência anexada à q2203, a existência de procedimento, base ou mecanismo equivalente de gestão de configuração; [IR9]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P9: Verificar, por meio da q2204 e das q2204ext[A], [D] e [E], se a organização possui processo de gestão de incidentes formalizado, com critérios de priorização e escalamento e procedimentos para incidentes de segurança da informação; [IR10]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P10: Validar, pela evidência anexada à q2204, a existência de procedimento ou fluxo formal de gestão de incidentes; [IR11]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P12: Validar, pela evidência anexada à q2204, a existência de registros rastreáveis de incidentes, chamados ou tickets; [IR13]</w:t>
            </w:r>
          </w:p>
        </w:tc>
        <w:tc>
          <w:tcPr>
            <w:tcW w:w="912" w:type="pct"/>
            <w:vAlign w:val="center"/>
          </w:tcPr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E1: Resposta negativa ou insuficiente sobre catálogo de serviços de TIC; [P1]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E2: Ausência, desatualização, inacessibilidade ou insuficiência do catálogo de serviços de TIC; [P2]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E3: Resposta negativa ou insuficiente sobre ANS ou metas mínimas de nível de serviço; [P3]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E4: Ausência, desatualização ou insuficiência de ANS, metas ou registros de monitoramento; [P4]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E5: Resposta negativa ou insuficiente sobre inventário de ativos de TIC; [P5]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E6: Ausência, desatualização ou insuficiência de inventário de ativos de TIC; [P6]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E7: Resposta negativa ou insuficiente quanto à manutenção de base consolidada de configurações ou à formalização do processo de gestão de configuração; [P7]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E8: Ausência, desatualização ou insuficiência de norma, procedimento, CMDB ou base equivalente de gestão de configuração; [P8]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E9: Resposta negativa ou insuficiente sobre processo formal de gestão de incidentes de TIC; [P9]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E10: Ausência, desatualização ou insuficiência de norma, procedimento ou fluxo formal de gestão de incidentes; [P10]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E12: Ausência, insuficiência ou baixa rastreabilidade dos registros de incidentes, chamados ou tickets; [P12]</w:t>
            </w:r>
          </w:p>
        </w:tc>
        <w:tc>
          <w:tcPr>
            <w:tcW w:w="1051" w:type="pct"/>
            <w:vAlign w:val="center"/>
          </w:tcPr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8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>A5: Gestão de serviços de TIC insuficiente para assegurar controle sobre serviços, ativos e incidentes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S5.1: Inexistência ou insuficiência do catálogo de serviços de TIC.; Referências: R5.1, P1, E1, P2, E2; Critérios: C2, C11, C15; Encaminhamento: institua e mantenha atualizado catálogo de serviços de TIC, atentando-se, minimamente, em identificar os serviços efetivamente prestados, seus responsáveis, usuários, condições de acesso e informações necessárias ao atendimento das áreas demandantes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S5.2: Ausência ou fragilidade na definição e no monitoramento de níveis mínimos de serviço de TIC.; Referências: R5.2, P3, E3, P4, E4; Critérios: C3, C14; Encaminhamento: defina, acorde e monitore níveis de serviço para os serviços de TIC relevantes, estabelecendo metas e mecanismos de acompanhamento de seu cumprimento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S5.3: Inventário e controle de dispositivos e softwares de TIC inexistente ou insuficiente.; Referências: R5.3, P5, E5, P6, E6; Critérios: C4, C12; Encaminhamento: estabeleça e mantenha inventário atualizado dos ativos tecnológicos sob gestão da organização, contemplando, minimamente, os dispositivos e softwares utilizados, com informações suficientes para sua identificação e controle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S5.4: Ausência ou fragilidade do processo de gestão de configuração.; Referências: R5.3, P7, E7, P8, E8; Critérios: C6, C12, C16; Encaminhamento: formalize e execute processo de gestão de configuração, atentando-se, minimamente, em manter base, ferramenta ou registro equivalente com os itens de configuração relevantes, seus responsáveis e os relacionamentos entre ativos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S5.5: Inexistência ou fragilidade do processo de gestão de incidentes de TIC.; Referências: R5.4, P9, E9, P10, E10, P12, E12; Critérios: C8, C13, C17; Encaminhamento: formalize e execute processo de gestão de incidentes de TIC, atentando-se, minimamente, em definir papéis, critérios de priorização e escalamento, tratamento de incidentes de serviços e de segurança da informação e registro sistemático e rastreável das ocorrências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510AF5" w:rsidRPr="00636B72" ns2:paraId="57D6716F" ns2:textId="77777777" w:rsidTr="6D09F7BC">
        <w:trPr>
          <w:tblHeader/>
        </w:trPr>
        <w:tc>
          <w:tcPr>
            <w:tcW w:w="5000" w:type="pct"/>
            <w:gridSpan w:val="6"/>
          </w:tcPr>
          <w:p ns2:paraId="7D29FCBB" ns2:textId="4EC62946" w:rsidR="005D66B0" w:rsidRDefault="48870B08" w:rsidP="005D66B0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Q6: A organização adota processo formal e padronizado para a fase preparatória das contratações de TIC, com responsabilidades definidas, análise técnica pela área de TIC e alinhamento aos instrumentos de planejamento?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possui fluxo formalizado e padronizado para contratações de TIC?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definiu papéis e responsabilidades nas contratações de TIC?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dispõe de modelos, manuais, checklists ou normativos orientativos para elaboração dos artefatos das contratações de TIC?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 contratações de TIC são submetidas à análise prévia e aprovação técnica da área de TIC?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 contratações de TIC estão alinhadas ao plano de TIC e ao plano de contratações?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equipe de planejamento da contratação é formalmente designada e possui participação técnica de TIC?</w:t>
            </w:r>
          </w:p>
        </w:tc>
      </w:tr>
      <w:tr w:rsidR="00A20BFA" w:rsidRPr="00636B72" ns2:paraId="6C956695" ns2:textId="77777777" w:rsidTr="6D09F7BC">
        <w:trPr>
          <w:tblHeader/>
        </w:trPr>
        <w:tc>
          <w:tcPr>
            <w:tcW w:w="5000" w:type="pct"/>
            <w:gridSpan w:val="6"/>
            <w:shd w:val="clear" w:color="auto" w:fill="BDD6EE" w:themeFill="accent5" w:themeFillTint="66"/>
          </w:tcPr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R6.1: Devido à inexistência ou fragilidade de fluxo formal e padronizado para contratações de TIC, poderá não haver clareza quanto às etapas, instâncias decisórias e critérios de aprovação.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R6.2: Devido à ausência de definição formal de papéis, responsabilidades, modelos e orientações, poderá haver instrução processual incompleta, inconsistente ou tecnicamente frágil.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R6.3: Devido à ausência de análise técnica prévia da área de TIC e de alinhamento ao planejamento, poderão ser contratadas soluções incompatíveis com padrões técnicos, requisitos institucionais ou prioridades definidas.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R6.4: Devido à ausência de equipe de planejamento formalmente designada e de participação técnica da área de TIC, a instrução da contratação poderá não considerar adequadamente as necessidades institucionais e os aspectos técnicos da solução.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1A774B" w:rsidRPr="00636B72" ns2:paraId="4D48342C" ns2:textId="77777777" w:rsidTr="6D09F7BC">
        <w:trPr>
          <w:tblHeader/>
        </w:trPr>
        <w:tc>
          <w:tcPr>
            <w:tcW w:w="505" w:type="pct"/>
            <w:vAlign w:val="center"/>
          </w:tcPr>
          <w:p ns2:paraId="5C2D7232" ns2:textId="280A56F4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W w:w="709" w:type="pct"/>
            <w:vAlign w:val="center"/>
          </w:tcPr>
          <w:p ns2:paraId="7208CA25" ns2:textId="5376F66C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W w:w="810" w:type="pct"/>
            <w:vAlign w:val="center"/>
          </w:tcPr>
          <w:p ns2:paraId="563FD7FD" ns2:textId="77777777" w:rsidR="00282E61" w:rsidRPr="00636B72" w:rsidRDefault="7AB3FDF1" w:rsidP="6D09F7BC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W w:w="1013" w:type="pct"/>
            <w:vAlign w:val="center"/>
          </w:tcPr>
          <w:p ns2:paraId="6A4DEA23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W w:w="912" w:type="pct"/>
            <w:vAlign w:val="center"/>
          </w:tcPr>
          <w:p ns2:paraId="4A1C29C4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W w:w="1051" w:type="pct"/>
            <w:vAlign w:val="center"/>
          </w:tcPr>
          <w:p ns2:paraId="357B1101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 w:rsidR="00EF385F" w:rsidRPr="00636B72" ns2:paraId="70A91EBB" ns2:textId="77777777" w:rsidTr="6D09F7BC">
        <w:tc>
          <w:tcPr>
            <w:tcW w:w="505" w:type="pct"/>
            <w:vAlign w:val="center"/>
          </w:tcPr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F1: Respostas ao questionário eletrônico iGovTI.</w:t>
            </w:r>
          </w:p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F2: Evidências anexadas no questionário eletrônico.</w:t>
            </w:r>
          </w:p>
        </w:tc>
        <w:tc>
          <w:tcPr>
            <w:tcW w:w="709" w:type="pct"/>
            <w:vAlign w:val="center"/>
          </w:tcPr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IR1: Resposta sobre definição do processo de planejamento das contratações de TIC, incluindo etapas, responsabilidades e artefatos resultantes; [F1, q2801, q2801ext[A]]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IR2: Resposta e evidência sobre papéis e responsabilidades nas contratações de TIC; [F1, F2, q2801, q2801evi]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IR3: Resposta sobre disponibilização de modelos e artefatos padronizados para o planejamento das contratações de TIC; [F1, q2801, q2801ext[B]]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IR4: Resposta sobre submissão obrigatória das contratações de TIC à análise prévia e aprovação técnica da área de TIC; [F1, q2804[A]]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IR5: Evidência específica sobre aprovação técnica da área de TIC; [F2, q2804eviA]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IR6: Resposta sobre alinhamento das contratações aos instrumentos de planejamento e ao Plano de Contratações Anual; [F1, q2804[B]]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IR7: Resposta sobre equipe de planejamento formalmente designada e com participação técnica de TIC; [F1, q2804[C]]</w:t>
            </w:r>
          </w:p>
        </w:tc>
        <w:tc>
          <w:tcPr>
            <w:tcW w:w="810" w:type="pct"/>
            <w:vAlign w:val="center"/>
          </w:tcPr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Lei nº 14.133/2021, art. 11, parágrafo único: responsabilidade da alta administração pela governança das contratações, com processos, estruturas, gestão de riscos e controles internos.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Lei nº 14.133/2021, arts. 12, VII e §1º, e 18, caput e §1º, II – a fase preparatória deve compatibilizar-se com o Plano de Contratações Anual, quando elaborado, e deve ser demonstrado o alinhamento da contratação com o planejamento da Administração.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Lei nº 14.133/2021, art. 19, inciso IV: instituição de modelos de minutas de editais, termos de referência, contratos padronizados e demais documentos.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C4: Lei nº 14.133/2021, art. 7º, caput, incisos I a III e §1º: designação de agentes públicos para funções essenciais, observados atribuições, formação, segregação de funções e inexistência de vínculos que comprometam a atuação.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C5: COBIT 2019, BAI02.04 - Obter aprovação dos requisitos da solução: obter aprovação formal dos requisitos funcionais, técnicos, de segurança e de conformidade antes de prosseguir com a solução.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C8: Instrução Normativa SGD/ME nº 94/2022, arts. 2º, IV, 9º, 10, 11 e 12, §6º – referência de boa prática para estruturação da fase de planejamento das contratações de TIC, instituição da Equipe de Planejamento da Contratação e participação do integrante técnico da área de TIC, observada sua aplicação direta aos integrantes do SISP e as hipóteses de simplificação de procedimentos previstas na norma.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C9: Acórdão TCE-RJ nº 44.490/2024-PLEN, itens III.7 e IV.9 – Determinações para estruturação do processo de planejamento anual das contratações, contemplando consolidação das demandas, participação das áreas, aprovação e publicidade do plano.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C10: Acórdão nº 2.342/2016-TCU-Plenário, item 9.1.7 – Precedente quanto à definição, aprovação e formalização de processo de trabalho para o planejamento de cada contratação, com controles internos mínimos.</w:t>
            </w:r>
          </w:p>
        </w:tc>
        <w:tc>
          <w:tcPr>
            <w:tcW w:w="1013" w:type="pct"/>
            <w:vAlign w:val="center"/>
          </w:tcPr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P1: Verificar, por meio da q2801 e das q2801ext[A] e [B], se o processo de planejamento das contratações de TIC possui etapas e responsabilidades definidas e artefatos padronizados; [IR1, IR2, IR3]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P2: Validar, pelas evidências anexadas à q2801, a existência de fluxo, papéis, responsabilidades, modelos, manuais, checklists ou normativos orientativos; [IR1, IR2, IR3]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P3: Verificar, por meio da q2804[A] e da q2804eviA, se as contratações de TIC são submetidas à análise prévia e aprovação técnica da área de TIC; [IR4, IR5]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P4: Verificar, por meio da q2804[B], se as contratações de TIC estão alinhadas aos instrumentos de planejamento e ao Plano de Contratações Anual; [IR6]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P5: Verificar, por meio da q2804[C], se a equipe de planejamento da contratação é formalmente designada e possui participação técnica de TIC; [IR7]</w:t>
            </w:r>
          </w:p>
        </w:tc>
        <w:tc>
          <w:tcPr>
            <w:tcW w:w="912" w:type="pct"/>
            <w:vAlign w:val="center"/>
          </w:tcPr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E1: Resposta negativa ou insuficiente sobre processo formal e padronizado para contratações de TIC; [P1]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E2: Ausência, desatualização ou insuficiência de evidências de fluxo, papéis, responsabilidades, modelos, manuais, checklists ou normativos orientativos; [P2]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E3: Resposta negativa ou insuficiente sobre análise prévia e aprovação técnica da área de TIC; [P3]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E4: Quando declarada a adoção da prática, ausência ou insuficiência de norma que estabeleça a análise e aprovação técnica da área de TIC ou de evidência de sua aplicação em caso concreto; [P3]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E5: Resposta negativa ou insuficiente sobre aderência das contratações ao plano de TIC ou ao plano de contratações; [P4]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E6: Resposta negativa ou insuficiente sobre equipe de planejamento formalmente designada e com participação técnica de TIC; [P5]</w:t>
            </w:r>
          </w:p>
        </w:tc>
        <w:tc>
          <w:tcPr>
            <w:tcW w:w="1051" w:type="pct"/>
            <w:vAlign w:val="center"/>
          </w:tcPr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8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>A6: Fragilidades na governança técnica da fase preparatória das contratações de TIC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S6.1: Inexistência ou fragilidade de processo formal e padronizado para o planejamento das contratações de TIC.; Referências: R6.1, R6.2, P1, E1, P2, E2; Critérios: C1, C3, C10; Encaminhamento: formalize e padronize o processo de planejamento das contratações de TIC, definindo etapas, responsabilidades e artefatos aplicáveis, podendo adotar modelos institucionais ou centralizados já existentes e prevendo fluxos proporcionais à natureza, complexidade e risco da contratação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S6.2: Contratações de TIC sem análise prévia e aprovação técnica da área de TIC.; Referências: R6.3, P3, E3, E4; Critérios: C1, C5, C8; Encaminhamento: estabeleça a submissão das contratações de TIC à análise prévia da área de TIC, de modo a verificar a compatibilidade da solução com os padrões tecnológicos, os requisitos institucionais e a arquitetura existente, admitindo procedimentos simplificados e proporcionais à natureza, ao risco e ao valor da contratação, preservada análise técnica compatível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S6.3: Contratações de TIC sem alinhamento ao planejamento de TIC e ao Plano de Contratações Anual.; Referências: R6.3, P4, E5; Critérios: C1, C2, C9; Encaminhamento: assegure que as contratações de TIC sejam compatíveis com os instrumentos de planejamento de TIC e, quando elaborado, com o Plano de Contratações Anual, promovendo os ajustes ou justificativas cabíveis nos casos excepcionais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S6.4: Contratações de TIC sem designação de equipe de planejamento com integrante técnico da área de TIC.; Referências: R6.4, P5, E6; Critérios: C1, C4, C8; Encaminhamento: designe formalmente equipe de planejamento para as contratações de TIC, atentando-se, minimamente, em assegurar a participação de integrante da área requisitante e da área técnica de TIC, com definição das responsabilidades de seus integrantes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510AF5" w:rsidRPr="00636B72" ns2:paraId="57D6716F" ns2:textId="77777777" w:rsidTr="6D09F7BC">
        <w:trPr>
          <w:tblHeader/>
        </w:trPr>
        <w:tc>
          <w:tcPr>
            <w:tcW w:w="5000" w:type="pct"/>
            <w:gridSpan w:val="6"/>
          </w:tcPr>
          <w:p ns2:paraId="7D29FCBB" ns2:textId="4EC62946" w:rsidR="005D66B0" w:rsidRDefault="48870B08" w:rsidP="005D66B0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QTD: Qual é o grau de adoção das práticas de governança e gestão de TIC pelas organizações avaliadas no iGovTI 2026, globalmente e por componente e dimensão? (levantamento)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Como se distribuem os resultados do iGovTI 2026 entre as faixas de maturidade definidas na metodologia?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Qual é o desempenho agregado das organizações nos componentes Governança de TIC e Gestão de TIC e nas dimensões que compõem o índice?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Há diferenças relevantes nos resultados entre segmentos institucionais com quantidade suficiente de organizações para análise?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Quais práticas avaliadas apresentam os maiores e os menores graus de adoção?</w:t>
            </w:r>
          </w:p>
        </w:tc>
      </w:tr>
      <w:tr w:rsidR="00A20BFA" w:rsidRPr="00636B72" ns2:paraId="6C956695" ns2:textId="77777777" w:rsidTr="6D09F7BC">
        <w:trPr>
          <w:tblHeader/>
        </w:trPr>
        <w:tc>
          <w:tcPr>
            <w:tcW w:w="5000" w:type="pct"/>
            <w:gridSpan w:val="6"/>
            <w:shd w:val="clear" w:color="auto" w:fill="BDD6EE" w:themeFill="accent5" w:themeFillTint="66"/>
          </w:tcPr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Não se aplica: questão de levantamento, sem formulação de risco de achado.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1A774B" w:rsidRPr="00636B72" ns2:paraId="4D48342C" ns2:textId="77777777" w:rsidTr="6D09F7BC">
        <w:trPr>
          <w:tblHeader/>
        </w:trPr>
        <w:tc>
          <w:tcPr>
            <w:tcW w:w="505" w:type="pct"/>
            <w:vAlign w:val="center"/>
          </w:tcPr>
          <w:p ns2:paraId="5C2D7232" ns2:textId="280A56F4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W w:w="709" w:type="pct"/>
            <w:vAlign w:val="center"/>
          </w:tcPr>
          <w:p ns2:paraId="7208CA25" ns2:textId="5376F66C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W w:w="810" w:type="pct"/>
            <w:vAlign w:val="center"/>
          </w:tcPr>
          <w:p ns2:paraId="563FD7FD" ns2:textId="77777777" w:rsidR="00282E61" w:rsidRPr="00636B72" w:rsidRDefault="7AB3FDF1" w:rsidP="6D09F7BC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W w:w="1013" w:type="pct"/>
            <w:vAlign w:val="center"/>
          </w:tcPr>
          <w:p ns2:paraId="6A4DEA23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W w:w="912" w:type="pct"/>
            <w:vAlign w:val="center"/>
          </w:tcPr>
          <w:p ns2:paraId="4A1C29C4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W w:w="1051" w:type="pct"/>
            <w:vAlign w:val="center"/>
          </w:tcPr>
          <w:p ns2:paraId="357B1101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ANÁLISE / RESULTADOS</w:t>
            </w:r>
          </w:p>
        </w:tc>
      </w:tr>
      <w:tr w:rsidR="00EF385F" w:rsidRPr="00636B72" ns2:paraId="70A91EBB" ns2:textId="77777777" w:rsidTr="6D09F7BC">
        <w:tc>
          <w:tcPr>
            <w:tcW w:w="505" w:type="pct"/>
            <w:vAlign w:val="center"/>
          </w:tcPr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F1: Respostas válidas e processadas do questionário eletrônico iGovTI 2026.</w:t>
            </w:r>
          </w:p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F2: Metodologia de cálculo e estrutura do índice iGovTI 2026.</w:t>
            </w:r>
          </w:p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F3: Resultados individuais e agregados calculados para o iGovTI 2026, seus componentes e suas dimensões.</w:t>
            </w:r>
          </w:p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F4: Cadastro das organizações avaliadas, com os atributos institucionais necessários aos recortes analíticos.</w:t>
            </w:r>
          </w:p>
        </w:tc>
        <w:tc>
          <w:tcPr>
            <w:tcW w:w="709" w:type="pct"/>
            <w:vAlign w:val="center"/>
          </w:tcPr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IR1: Universo de organizações avaliadas, respondentes válidos e respectivos atributos institucionais; [F1, F4]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IR2: Resultado individual do iGovTI 2026, respectiva faixa de maturidade e resultados dos componentes Governança de TIC e Gestão de TIC; [F2, F3]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IR3: Resultados individuais e agregados das dimensões Planejamento de TIC, Gestão de serviços de TIC, Riscos de TI e de segurança da informação, Estrutura de segurança da informação, Processos de segurança da informação e Gestão de soluções de TIC; [F2, F3]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IR4: Pontuações normalizadas das práticas e dos itens que compõem o iGovTI 2026, com seus denominadores e regras de tratamento; [F1, F2, F3]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IR5: Registros de completude, consistência, ajustes e limitações relevantes das bases utilizadas no cálculo; [F1, F2, F3]</w:t>
            </w:r>
          </w:p>
        </w:tc>
        <w:tc>
          <w:tcPr>
            <w:tcW w:w="810" w:type="pct"/>
            <w:vAlign w:val="center"/>
          </w:tcPr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Não se aplica como critério de conformidade: análise orientada pelas fontes e pelos procedimentos definidos.</w:t>
            </w:r>
          </w:p>
        </w:tc>
        <w:tc>
          <w:tcPr>
            <w:tcW w:w="1013" w:type="pct"/>
            <w:vAlign w:val="center"/>
          </w:tcPr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P1: Validar o universo de organizações avaliadas e calcular ou conferir, conforme a metodologia do iGovTI 2026, o índice, a faixa de maturidade, os componentes e as dimensões de cada organização; [IR1, IR2, IR3]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P2: Consolidar a distribuição das organizações por faixa de maturidade e calcular medidas descritivas do iGovTI 2026 para o universo avaliado; [IR1, IR2]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P3: Consolidar e comparar os resultados dos componentes Governança de TIC e Gestão de TIC e das seis dimensões que compõem o índice; [IR2, IR3]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P4: Segregar os resultados por Poder, esfera, natureza institucional ou outro segmento pertinente, quando a quantidade e a composição das organizações permitirem comparação descritiva adequada; [IR1, IR2, IR3]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P5: Identificar as práticas e os itens com maiores e menores graus de adoção, informando a medida utilizada, o número de respostas válidas e o tratamento das respostas não aplicáveis; [IR4]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P6: Verificar a completude e a consistência das bases e registrar as limitações que afetem o cálculo ou a interpretação dos resultados; [IR5]</w:t>
            </w:r>
          </w:p>
        </w:tc>
        <w:tc>
          <w:tcPr>
            <w:tcW w:w="912" w:type="pct"/>
            <w:vAlign w:val="center"/>
          </w:tcPr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E1: Relação consolidada das organizações avaliadas, dos respondentes válidos e dos atributos institucionais utilizados na análise; [P1]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E2: Memória de cálculo ou base de resultados com o iGovTI 2026, a faixa de maturidade, os componentes e as dimensões de cada organização; [P1]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E3: Tabelas, gráficos ou painéis com a distribuição por faixa de maturidade e as medidas descritivas do iGovTI 2026; [P2]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E4: Tabelas, gráficos ou painéis com os resultados agregados dos componentes e das dimensões do índice; [P3]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E5: Quadros comparativos por segmento institucional, acompanhados do quantitativo de organizações de cada grupo; [P4]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E6: Relação das práticas e dos itens com maiores e menores graus de adoção, acompanhada dos respectivos percentuais, pontuações ou medidas de síntese e denominadores; [P5]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E7: Registro das verificações de completude e consistência e das limitações relevantes para interpretação dos resultados; [P6]</w:t>
            </w:r>
          </w:p>
        </w:tc>
        <w:tc>
          <w:tcPr>
            <w:tcW w:w="1051" w:type="pct"/>
            <w:vAlign w:val="center"/>
          </w:tcPr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Não se aplica: questão de levantamento, sem geração de achado individual.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O que a análise permite dizer: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Qual é o grau de adoção das práticas de governança e gestão de TIC no universo avaliado em 2026, segundo o índice e as faixas de maturidade definidas na metodologia.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Como se comportam, em termos agregados, os componentes Governança de TIC e Gestão de TIC e as seis dimensões que compõem o iGovTI 2026.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Quais segmentos institucionais apresentam resultados distintos, quando houver quantidade e composição adequadas para comparação descritiva.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Quais práticas e itens do questionário concentram os maiores e os menores graus de adoção.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Limitações e cautelas: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A questão tem caráter de levantamento e diagnóstico agregado, não gerando achado ou encaminhamento individual por organização.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O iGovTI 2026 mensura o grau de adoção segundo as respostas e as regras da metodologia; o resultado não comprova, isoladamente, a efetividade das práticas nem conformidade jurídica.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Os resultados agregados não substituem a avaliação individualizada das fragilidades abrangidas pelas Questões 1 a 6.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Médias e demais medidas de síntese devem ser apresentadas com a distribuição dos resultados, para evitar que ocultem diferenças relevantes entre as organizações.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Comparações entre segmentos institucionais devem considerar o tamanho, a composição e a cobertura de cada grupo e não devem ser tratadas como inferência causal.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Práticas ou itens com universos de respostas distintos devem ser comparados somente com indicação dos respectivos denominadores e do tratamento das respostas não aplicáveis.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510AF5" w:rsidRPr="00636B72" ns2:paraId="57D6716F" ns2:textId="77777777" w:rsidTr="6D09F7BC">
        <w:trPr>
          <w:tblHeader/>
        </w:trPr>
        <w:tc>
          <w:tcPr>
            <w:tcW w:w="5000" w:type="pct"/>
            <w:gridSpan w:val="6"/>
          </w:tcPr>
          <w:p ns2:paraId="7D29FCBB" ns2:textId="4EC62946" w:rsidR="005D66B0" w:rsidRDefault="48870B08" w:rsidP="005D66B0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QT: As organizações anteriormente avaliadas apresentaram evolução mensurável, em termos agregados, em governança e gestão de TIC e no atendimento aos encaminhamentos da fiscalização anterior? (levantamento)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Houve variação agregada positiva, negativa ou estável nos indicadores comparáveis de governança e gestão de TIC?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Quais dimensões, práticas ou indicadores agregados apresentaram maior evolução?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Quais dimensões, práticas ou indicadores agregados permaneceram estáveis ou regrediram?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Qual foi o grau agregado de atendimento aos encaminhamentos propostos na fiscalização anterior?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Há diferença relevante entre a evolução agregada dos municípios avaliados em 2023 e a evolução agregada das organizações do Poder Executivo?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 diferenças metodológicas entre os ciclos limitam a comparabilidade dos resultados?</w:t>
            </w:r>
          </w:p>
        </w:tc>
      </w:tr>
      <w:tr w:rsidR="00A20BFA" w:rsidRPr="00636B72" ns2:paraId="6C956695" ns2:textId="77777777" w:rsidTr="6D09F7BC">
        <w:trPr>
          <w:tblHeader/>
        </w:trPr>
        <w:tc>
          <w:tcPr>
            <w:tcW w:w="5000" w:type="pct"/>
            <w:gridSpan w:val="6"/>
            <w:shd w:val="clear" w:color="auto" w:fill="BDD6EE" w:themeFill="accent5" w:themeFillTint="66"/>
          </w:tcPr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Critérios de comparabilidade: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CT1: Comparar apenas organizações presentes nos dois ciclos ou, quando houver alteração de universo, explicitar separadamente o universo comum e o universo total de cada ciclo.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CT2: Comparar apenas indicadores, dimensões, práticas ou faixas com correspondência metodológica suficiente; quando a correspondência for parcial, registrar a limitação e evitar conclusão categórica.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CT3: Utilizar quantitativos absolutos e percentuais para descrever variações agregadas, distinguindo evolução, estabilidade e regressão.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CT4: Distinguir mudança em resultado agregado de atendimento efetivo de encaminhamento; melhoria no indicador não implica, por si só, cumprimento integral da recomendação anterior.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CT5: Classificar atendimento dos encaminhamentos anteriores em categorias explícitas, como atendido, parcialmente atendido, não atendido e não avaliável, com base em evidências disponíveis nos autos, registros da fiscalização anterior e informações do iGovTI 2026.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CT6: Registrar limitações decorrentes de mudanças metodológicas, de diferenças de escopo, de alteração de pesos, de alteração de itens do questionário ou de indisponibilidade de dados históricos.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1A774B" w:rsidRPr="00636B72" ns2:paraId="4D48342C" ns2:textId="77777777" w:rsidTr="6D09F7BC">
        <w:trPr>
          <w:tblHeader/>
        </w:trPr>
        <w:tc>
          <w:tcPr>
            <w:tcW w:w="505" w:type="pct"/>
            <w:vAlign w:val="center"/>
          </w:tcPr>
          <w:p ns2:paraId="5C2D7232" ns2:textId="280A56F4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W w:w="709" w:type="pct"/>
            <w:vAlign w:val="center"/>
          </w:tcPr>
          <w:p ns2:paraId="7208CA25" ns2:textId="5376F66C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W w:w="810" w:type="pct"/>
            <w:vAlign w:val="center"/>
          </w:tcPr>
          <w:p ns2:paraId="563FD7FD" ns2:textId="77777777" w:rsidR="00282E61" w:rsidRPr="00636B72" w:rsidRDefault="7AB3FDF1" w:rsidP="6D09F7BC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W w:w="1013" w:type="pct"/>
            <w:vAlign w:val="center"/>
          </w:tcPr>
          <w:p ns2:paraId="6A4DEA23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W w:w="912" w:type="pct"/>
            <w:vAlign w:val="center"/>
          </w:tcPr>
          <w:p ns2:paraId="4A1C29C4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W w:w="1051" w:type="pct"/>
            <w:vAlign w:val="center"/>
          </w:tcPr>
          <w:p ns2:paraId="357B1101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ANÁLISE / RESULTADOS</w:t>
            </w:r>
          </w:p>
        </w:tc>
      </w:tr>
      <w:tr w:rsidR="00EF385F" w:rsidRPr="00636B72" ns2:paraId="70A91EBB" ns2:textId="77777777" w:rsidTr="6D09F7BC">
        <w:tc>
          <w:tcPr>
            <w:tcW w:w="505" w:type="pct"/>
            <w:vAlign w:val="center"/>
          </w:tcPr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F1: Resultados, respostas e indicadores calculados no iGovTI 2026 para as organizações também avaliadas na fiscalização anterior.</w:t>
            </w:r>
          </w:p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F2: Resultados, respostas, indicadores, achados e encaminhamentos da fiscalização anterior de 2023 relativa ao iGovTI em municípios.</w:t>
            </w:r>
          </w:p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F3: Resultados, respostas, indicadores, achados e encaminhamentos da fiscalização anterior de 2023 relativa ao iGovTI nas organizações do Poder Executivo estadual.</w:t>
            </w:r>
          </w:p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F4: Metodologias de cálculo, dicionários de variáveis, questionários, planilhas de correspondência e demais registros necessários para compatibilizar os ciclos de avaliação.</w:t>
            </w:r>
          </w:p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F5: Informações, evidências e registros produzidos no iGovTI 2026 que permitam inferir, em termos agregados, atendimento, não atendimento ou atendimento parcial dos encaminhamentos anteriores.</w:t>
            </w:r>
          </w:p>
        </w:tc>
        <w:tc>
          <w:tcPr>
            <w:tcW w:w="709" w:type="pct"/>
            <w:vAlign w:val="center"/>
          </w:tcPr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IR1: Relação das organizações avaliadas na fiscalização anterior que também integram o iGovTI 2026, segregadas, quando aplicável, entre municípios e organizações do Poder Executivo estadual; [F1, F2, F3]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IR2: Indicadores, dimensões, práticas, faixas de maturidade ou métricas da fiscalização anterior que sejam comparáveis com os resultados do iGovTI 2026; [F1, F2, F3, F4]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IR3: Tabela de correspondência entre indicadores, práticas, dimensões ou métricas dos ciclos de avaliação, com indicação do grau de comparabilidade; [F4]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IR4: Distribuição agregada dos resultados da fiscalização anterior e do iGovTI 2026, incluindo quantitativo e percentual de organizações por nível, faixa, dimensão, prática ou indicador comparável; [F1, F2, F3]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IR5: Variação agregada entre os ciclos, incluindo evolução, estabilidade ou regressão por indicador, dimensão, prática ou faixa de maturidade comparável; [F1, F2, F3, F4]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IR6: Relação dos encaminhamentos propostos na fiscalização anterior e sua classificação agregada quanto a atendimento, atendimento parcial, não atendimento ou impossibilidade de avaliação; [F2, F3, F5]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IR7: Limitações metodológicas que afetem a comparação entre os ciclos, incluindo alteração de questionário, pesos, fórmulas, universo avaliado, escala de resposta ou critérios de classificação; [F1, F2, F3, F4]</w:t>
            </w:r>
          </w:p>
        </w:tc>
        <w:tc>
          <w:tcPr>
            <w:tcW w:w="810" w:type="pct"/>
            <w:vAlign w:val="center"/>
          </w:tcPr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CT1: Comparar apenas organizações presentes nos dois ciclos ou, quando houver alteração de universo, explicitar separadamente o universo comum e o universo total de cada ciclo.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CT2: Comparar apenas indicadores, dimensões, práticas ou faixas com correspondência metodológica suficiente; quando a correspondência for parcial, registrar a limitação e evitar conclusão categórica.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CT3: Utilizar quantitativos absolutos e percentuais para descrever variações agregadas, distinguindo evolução, estabilidade e regressão.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CT4: Distinguir mudança em resultado agregado de atendimento efetivo de encaminhamento; melhoria no indicador não implica, por si só, cumprimento integral da recomendação anterior.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CT5: Classificar atendimento dos encaminhamentos anteriores em categorias explícitas, como atendido, parcialmente atendido, não atendido e não avaliável, com base em evidências disponíveis nos autos, registros da fiscalização anterior e informações do iGovTI 2026.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CT6: Registrar limitações decorrentes de mudanças metodológicas, de diferenças de escopo, de alteração de pesos, de alteração de itens do questionário ou de indisponibilidade de dados históricos.</w:t>
            </w:r>
          </w:p>
        </w:tc>
        <w:tc>
          <w:tcPr>
            <w:tcW w:w="1013" w:type="pct"/>
            <w:vAlign w:val="center"/>
          </w:tcPr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P1: Identificar o conjunto de organizações avaliadas na fiscalização anterior e cruzá-lo com o universo de organizações respondentes do iGovTI 2026; [IR1]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P2: Construir tabela de correspondência entre indicadores, dimensões, práticas, faixas de maturidade ou métricas comparáveis entre a fiscalização anterior e o iGovTI 2026; [IR2, IR3]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P3: Calcular, para o conjunto comum de organizações, a distribuição agregada dos resultados nos dois ciclos, por indicador, dimensão, prática ou faixa de maturidade comparável; [IR4]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P4: Calcular a variação agregada entre os ciclos, distinguindo evolução, estabilidade e regressão, em quantitativos absolutos e percentuais; [IR5]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P5: Segregar, quando aplicável, os resultados agregados dos municípios avaliados em 2023 e das organizações do Poder Executivo estadual avaliadas em 2023; [IR1, IR4, IR5]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P6: Classificar, em termos agregados, o atendimento dos encaminhamentos da fiscalização anterior, com base nos registros disponíveis e nas evidências ou respostas do iGovTI 2026; [IR6]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P7: Identificar limitações metodológicas da comparação e indicar quais conclusões podem ou não ser extraídas dos dados disponíveis; [IR7]</w:t>
            </w:r>
          </w:p>
        </w:tc>
        <w:tc>
          <w:tcPr>
            <w:tcW w:w="912" w:type="pct"/>
            <w:vAlign w:val="center"/>
          </w:tcPr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E1: Relação consolidada das organizações presentes nos dois ciclos de avaliação; [P1]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E2: Tabela de correspondência entre itens, indicadores, dimensões, práticas ou faixas comparáveis entre a fiscalização anterior e o iGovTI 2026; [P2]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E3: Tabelas, gráficos ou painéis com distribuição agregada dos resultados da fiscalização anterior e do iGovTI 2026; [P3]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E4: Cálculo da variação agregada dos resultados, em números absolutos e percentuais, indicando evolução, estabilidade ou regressão; [P4]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E5: Comparativo agregado entre municípios avaliados em 2023 e organizações do Poder Executivo estadual avaliadas em 2023, quando os dados permitirem a segregação; [P5]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E6: Quadro consolidado de atendimento, atendimento parcial, não atendimento ou impossibilidade de avaliação dos encaminhamentos anteriores; [P6]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E7: Registro das limitações metodológicas e das cautelas necessárias para interpretação dos resultados comparativos; [P7]</w:t>
            </w:r>
          </w:p>
        </w:tc>
        <w:tc>
          <w:tcPr>
            <w:tcW w:w="1051" w:type="pct"/>
            <w:vAlign w:val="center"/>
          </w:tcPr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Não se aplica: questão de levantamento, sem geração de achado individual.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O que a análise permite dizer: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Se, no conjunto comum de organizações, houve evolução, estabilidade ou regressão agregada em governança e gestão de TIC entre a fiscalização anterior e o iGovTI 2026.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Quais dimensões, práticas ou indicadores comparáveis concentraram os maiores avanços agregados.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Quais dimensões, práticas ou indicadores comparáveis permaneceram com baixa evolução, estagnaram ou regrediram em termos agregados.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Se os encaminhamentos da fiscalização anterior foram atendidos, parcialmente atendidos, não atendidos ou não puderam ser avaliados, em termos agregados.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Se há diferença relevante entre a evolução agregada dos municípios avaliados em 2023 e das organizações do Poder Executivo estadual avaliadas em 2023.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Em que medida diferenças metodológicas entre os ciclos limitam a força das conclusões comparativas.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Limitações e cautelas: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A questão tem caráter de levantamento e análise longitudinal agregada, não gerando achado individual por organização.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A comparação não deve ser feita questão a questão quando não houver equivalência metodológica suficiente entre os instrumentos de avaliação.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A evolução agregada não autoriza, isoladamente, concluir que todas as organizações evoluíram individualmente.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A regressão agregada não autoriza, isoladamente, concluir descumprimento individual de encaminhamento anterior.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O atendimento dos encaminhamentos anteriores deve ser analisado conforme o conteúdo de cada encaminhamento, as evidências disponíveis e a compatibilidade com os dados coletados no iGovTI 2026.</w:t>
            </w:r>
          </w:p>
        </w:tc>
      </w:tr>
    </w:tbl>
    <w:p/>
    <w:p/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873"/>
        <w:gridCol w:w="10495"/>
      </w:tblGrid>
      <w:tr w:rsidR="00100C4E" w:rsidRPr="00636B72" ns2:paraId="5EC73B82" ns2:textId="77777777">
        <w:tc>
          <w:tcPr>
            <w:tcW w:w="2654" w:type="pct"/>
            <w:tcBorders>
              <w:top w:val="single" w:sz="0" w:space="0" w:color="000000" w:themeColor="text1"/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</w:tcPr>
          <w:p ns2:paraId="27086525" ns2:textId="5BC84706" w:rsidR="00551257" w:rsidRPr="00636B72" w:rsidRDefault="004A6075" w:rsidP="006901C9">
            <w:pPr>
              <w:spacing w:line="276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br w:type="page"/>
            </w:r>
            <w:r w:rsidR="00551257" w:rsidRPr="00636B72">
              <w:rPr>
                <w:rFonts w:ascii="Arial" w:hAnsi="Arial" w:cs="Arial"/>
                <w:b/>
                <w:bCs/>
              </w:rPr>
              <w:t>Equipe de Auditoria</w:t>
            </w:r>
          </w:p>
        </w:tc>
        <w:tc>
          <w:tcPr>
            <w:tcW w:w="2346" w:type="pct"/>
            <w:tcBorders>
              <w:top w:val="single" w:sz="0" w:space="0" w:color="000000" w:themeColor="text1"/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</w:tcPr>
          <w:p ns2:paraId="081D154F" ns2:textId="77777777" w:rsidR="00551257" w:rsidRPr="00636B72" w:rsidRDefault="00551257" w:rsidP="006901C9">
            <w:pPr>
              <w:spacing w:line="276" w:lineRule="auto"/>
              <w:rPr>
                <w:rFonts w:ascii="Arial" w:hAnsi="Arial" w:cs="Arial"/>
                <w:b/>
                <w:bCs/>
              </w:rPr>
            </w:pPr>
            <w:r w:rsidRPr="00636B72">
              <w:rPr>
                <w:rFonts w:ascii="Arial" w:hAnsi="Arial" w:cs="Arial"/>
                <w:b/>
                <w:bCs/>
              </w:rPr>
              <w:t>Supervisor</w:t>
            </w:r>
          </w:p>
        </w:tc>
      </w:tr>
      <w:tr w:rsidR="00100C4E" w:rsidRPr="00636B72" ns2:paraId="4ADF87AF" ns2:textId="77777777">
        <w:tc>
          <w:tcPr>
            <w:tcW w:w="2654" w:type="pct"/>
            <w:tcBorders>
              <w:top w:val="single" w:sz="0" w:space="0" w:color="000000" w:themeColor="text1"/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</w:tcPr>
          <w:p ns2:paraId="1C42D2D4" ns2:textId="44C819D1" w:rsidR="00551257" w:rsidRPr="00636B72" w:rsidRDefault="0010133B" w:rsidP="006901C9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212529"/>
                <w:shd w:val="clear" w:color="auto" w:fill="FFFFFF"/>
              </w:rPr>
              <w:t>Augusto César Benvenuto de Almeida</w:t>
            </w:r>
            <w:r w:rsidR="00551257" w:rsidRPr="00636B72">
              <w:rPr>
                <w:rFonts w:ascii="Arial" w:hAnsi="Arial" w:cs="Arial"/>
                <w:color w:val="212529"/>
                <w:shd w:val="clear" w:color="auto" w:fill="FFFFFF"/>
              </w:rPr>
              <w:t xml:space="preserve"> - 02/4</w:t>
            </w:r>
            <w:r w:rsidR="00826AD6">
              <w:rPr>
                <w:rFonts w:ascii="Arial" w:hAnsi="Arial" w:cs="Arial"/>
                <w:color w:val="212529"/>
                <w:shd w:val="clear" w:color="auto" w:fill="FFFFFF"/>
              </w:rPr>
              <w:t>823</w:t>
            </w:r>
          </w:p>
        </w:tc>
        <w:tc>
          <w:tcPr>
            <w:tcW w:w="2346" w:type="pct"/>
            <w:tcBorders>
              <w:top w:val="single" w:sz="0" w:space="0" w:color="000000" w:themeColor="text1"/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</w:tcPr>
          <w:p ns2:paraId="4A9ED85F" ns2:textId="2B0DC6CF" w:rsidR="00551257" w:rsidRPr="00636B72" w:rsidRDefault="00F50C15" w:rsidP="006901C9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eastAsia="en-US"/>
              </w:rPr>
              <w:t>Bruno Mattos Souza de Souza Melo</w:t>
            </w:r>
            <w:r w:rsidRPr="00636B72">
              <w:rPr>
                <w:rFonts w:ascii="Arial" w:hAnsi="Arial" w:cs="Arial"/>
              </w:rPr>
              <w:t xml:space="preserve"> </w:t>
            </w:r>
            <w:r w:rsidR="00551257" w:rsidRPr="00636B72">
              <w:rPr>
                <w:rFonts w:ascii="Arial" w:hAnsi="Arial" w:cs="Arial"/>
              </w:rPr>
              <w:t>– 02/42</w:t>
            </w:r>
            <w:r w:rsidR="006901C9">
              <w:rPr>
                <w:rFonts w:ascii="Arial" w:hAnsi="Arial" w:cs="Arial"/>
              </w:rPr>
              <w:t>5</w:t>
            </w:r>
            <w:r w:rsidR="00826AD6">
              <w:rPr>
                <w:rFonts w:ascii="Arial" w:hAnsi="Arial" w:cs="Arial"/>
              </w:rPr>
              <w:t>8</w:t>
            </w:r>
          </w:p>
        </w:tc>
      </w:tr>
      <w:tr w:rsidR="00100C4E" w:rsidRPr="00636B72" ns2:paraId="3400A8BC" ns2:textId="77777777">
        <w:tc>
          <w:tcPr>
            <w:tcW w:w="2654" w:type="pct"/>
            <w:tcBorders>
              <w:top w:val="single" w:sz="0" w:space="0" w:color="000000" w:themeColor="text1"/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</w:tcPr>
          <w:p ns2:paraId="477C9695" ns2:textId="261A00B8" w:rsidR="006901C9" w:rsidRDefault="00644633" w:rsidP="006901C9">
            <w:pPr>
              <w:spacing w:line="276" w:lineRule="auto"/>
              <w:rPr>
                <w:rFonts w:ascii="Arial" w:hAnsi="Arial" w:cs="Arial"/>
                <w:color w:val="212529"/>
                <w:shd w:val="clear" w:color="auto" w:fill="FFFFFF"/>
              </w:rPr>
            </w:pPr>
            <w:r w:rsidRPr="00644633">
              <w:rPr>
                <w:rFonts w:ascii="Arial" w:hAnsi="Arial" w:cs="Arial"/>
                <w:color w:val="212529"/>
                <w:shd w:val="clear" w:color="auto" w:fill="FFFFFF"/>
              </w:rPr>
              <w:t>Fábio Souza Lima</w:t>
            </w:r>
            <w:r>
              <w:rPr>
                <w:rFonts w:ascii="Arial" w:hAnsi="Arial" w:cs="Arial"/>
                <w:color w:val="212529"/>
                <w:shd w:val="clear" w:color="auto" w:fill="FFFFFF"/>
              </w:rPr>
              <w:t xml:space="preserve"> -</w:t>
            </w:r>
            <w:r w:rsidRPr="00644633">
              <w:rPr>
                <w:rFonts w:ascii="Arial" w:hAnsi="Arial" w:cs="Arial"/>
                <w:color w:val="212529"/>
                <w:shd w:val="clear" w:color="auto" w:fill="FFFFFF"/>
              </w:rPr>
              <w:t xml:space="preserve"> 02/4822</w:t>
            </w:r>
          </w:p>
        </w:tc>
        <w:tc>
          <w:tcPr>
            <w:tcW w:w="2346" w:type="pct"/>
            <w:tcBorders>
              <w:top w:val="single" w:sz="0" w:space="0" w:color="000000" w:themeColor="text1"/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</w:tcPr>
          <w:p ns2:paraId="11A9A3E1" ns2:textId="77777777" w:rsidR="006901C9" w:rsidRDefault="006901C9" w:rsidP="006901C9">
            <w:pPr>
              <w:spacing w:line="276" w:lineRule="auto"/>
              <w:rPr>
                <w:rFonts w:ascii="Arial" w:hAnsi="Arial" w:cs="Arial"/>
                <w:lang w:eastAsia="en-US"/>
              </w:rPr>
            </w:pPr>
          </w:p>
        </w:tc>
      </w:tr>
      <w:tr w:rsidR="00100C4E" w:rsidRPr="00636B72" ns2:paraId="5A67714F" ns2:textId="77777777">
        <w:tc>
          <w:tcPr>
            <w:tcW w:w="2654" w:type="pct"/>
            <w:tcBorders>
              <w:top w:val="single" w:sz="0" w:space="0" w:color="000000" w:themeColor="text1"/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</w:tcPr>
          <w:p ns2:paraId="7C650FE0" ns2:textId="156A8C0C" w:rsidR="00551257" w:rsidRPr="00636B72" w:rsidRDefault="00826AD6" w:rsidP="006901C9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João Paulo </w:t>
            </w:r>
            <w:r w:rsidR="00644633">
              <w:rPr>
                <w:rFonts w:ascii="Arial" w:hAnsi="Arial" w:cs="Arial"/>
              </w:rPr>
              <w:t xml:space="preserve">de </w:t>
            </w:r>
            <w:r>
              <w:rPr>
                <w:rFonts w:ascii="Arial" w:hAnsi="Arial" w:cs="Arial"/>
              </w:rPr>
              <w:t>Freitas Ramirez</w:t>
            </w:r>
            <w:r w:rsidR="00551257" w:rsidRPr="00636B72">
              <w:rPr>
                <w:rFonts w:ascii="Arial" w:hAnsi="Arial" w:cs="Arial"/>
              </w:rPr>
              <w:t xml:space="preserve"> - 02/482</w:t>
            </w:r>
            <w:r>
              <w:rPr>
                <w:rFonts w:ascii="Arial" w:hAnsi="Arial" w:cs="Arial"/>
              </w:rPr>
              <w:t>0</w:t>
            </w:r>
          </w:p>
        </w:tc>
        <w:tc>
          <w:tcPr>
            <w:tcW w:w="2346" w:type="pct"/>
            <w:tcBorders>
              <w:top w:val="single" w:sz="0" w:space="0" w:color="000000" w:themeColor="text1"/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</w:tcPr>
          <w:p ns2:paraId="4C1EF345" ns2:textId="77777777" w:rsidR="00551257" w:rsidRPr="00636B72" w:rsidRDefault="00551257" w:rsidP="006901C9">
            <w:pPr>
              <w:spacing w:line="276" w:lineRule="auto"/>
              <w:rPr>
                <w:rFonts w:ascii="Arial" w:hAnsi="Arial" w:cs="Arial"/>
              </w:rPr>
            </w:pPr>
          </w:p>
        </w:tc>
      </w:tr>
    </w:tbl>
    <w:sectPr w:rsidR="00790940" w:rsidRPr="00636B72" w:rsidSect="00E0568D">
      <w:headerReference w:type="default" r:id="rId31"/>
      <w:pgSz w:w="23808" w:h="16840" w:orient="landscape" w:code="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8211D" w14:textId="77777777" w:rsidR="004822D5" w:rsidRDefault="004822D5" w:rsidP="00E1739A">
      <w:r>
        <w:separator/>
      </w:r>
    </w:p>
  </w:endnote>
  <w:endnote w:type="continuationSeparator" w:id="0">
    <w:p w14:paraId="3475EB2F" w14:textId="77777777" w:rsidR="004822D5" w:rsidRDefault="004822D5" w:rsidP="00E1739A">
      <w:r>
        <w:continuationSeparator/>
      </w:r>
    </w:p>
  </w:endnote>
  <w:endnote w:type="continuationNotice" w:id="1">
    <w:p w14:paraId="7A504E6D" w14:textId="77777777" w:rsidR="004822D5" w:rsidRDefault="004822D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B9FD3" w14:textId="77777777" w:rsidR="004822D5" w:rsidRDefault="004822D5" w:rsidP="00E1739A">
      <w:r>
        <w:separator/>
      </w:r>
    </w:p>
  </w:footnote>
  <w:footnote w:type="continuationSeparator" w:id="0">
    <w:p w14:paraId="3DE19FB1" w14:textId="77777777" w:rsidR="004822D5" w:rsidRDefault="004822D5" w:rsidP="00E1739A">
      <w:r>
        <w:continuationSeparator/>
      </w:r>
    </w:p>
  </w:footnote>
  <w:footnote w:type="continuationNotice" w:id="1">
    <w:p w14:paraId="16EFF2DF" w14:textId="77777777" w:rsidR="004822D5" w:rsidRDefault="004822D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22397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38"/>
      <w:gridCol w:w="7093"/>
      <w:gridCol w:w="13466"/>
    </w:tblGrid>
    <w:tr w:rsidR="00476021" w14:paraId="260A0D9D" w14:textId="77777777" w:rsidTr="00164EE8">
      <w:tc>
        <w:tcPr>
          <w:tcW w:w="1838" w:type="dxa"/>
        </w:tcPr>
        <w:p w14:paraId="4885B09B" w14:textId="42238352" w:rsidR="009036F0" w:rsidRDefault="009036F0" w:rsidP="009036F0">
          <w:pPr>
            <w:pStyle w:val="Ttulo"/>
            <w:spacing w:before="0"/>
            <w:ind w:left="0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6771BF46" wp14:editId="0782D34F">
                <wp:simplePos x="0" y="0"/>
                <wp:positionH relativeFrom="column">
                  <wp:posOffset>181637</wp:posOffset>
                </wp:positionH>
                <wp:positionV relativeFrom="paragraph">
                  <wp:posOffset>4815</wp:posOffset>
                </wp:positionV>
                <wp:extent cx="903478" cy="381468"/>
                <wp:effectExtent l="0" t="0" r="0" b="0"/>
                <wp:wrapNone/>
                <wp:docPr id="954985232" name="Picture 9549852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logo-horizontal-colorida-para_fundo_branco.sv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0644" cy="3929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093" w:type="dxa"/>
        </w:tcPr>
        <w:p w14:paraId="7692314E" w14:textId="7732243A" w:rsidR="009036F0" w:rsidRPr="003C6BC3" w:rsidRDefault="009036F0" w:rsidP="003C6BC3">
          <w:pPr>
            <w:pStyle w:val="Cabealho"/>
            <w:rPr>
              <w:rFonts w:ascii="Arial" w:hAnsi="Arial" w:cs="Arial"/>
              <w:sz w:val="16"/>
              <w:szCs w:val="16"/>
            </w:rPr>
          </w:pPr>
          <w:r w:rsidRPr="003C6BC3">
            <w:rPr>
              <w:rFonts w:ascii="Arial" w:hAnsi="Arial" w:cs="Arial"/>
              <w:sz w:val="16"/>
              <w:szCs w:val="16"/>
            </w:rPr>
            <w:t>SECRETARIA-GERAL</w:t>
          </w:r>
          <w:r w:rsidRPr="003C6BC3">
            <w:rPr>
              <w:rFonts w:ascii="Arial" w:hAnsi="Arial" w:cs="Arial"/>
              <w:spacing w:val="-2"/>
              <w:sz w:val="16"/>
              <w:szCs w:val="16"/>
            </w:rPr>
            <w:t xml:space="preserve"> </w:t>
          </w:r>
          <w:r w:rsidRPr="003C6BC3">
            <w:rPr>
              <w:rFonts w:ascii="Arial" w:hAnsi="Arial" w:cs="Arial"/>
              <w:sz w:val="16"/>
              <w:szCs w:val="16"/>
            </w:rPr>
            <w:t>DE</w:t>
          </w:r>
          <w:r w:rsidRPr="003C6BC3"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 w:rsidRPr="003C6BC3">
            <w:rPr>
              <w:rFonts w:ascii="Arial" w:hAnsi="Arial" w:cs="Arial"/>
              <w:sz w:val="16"/>
              <w:szCs w:val="16"/>
            </w:rPr>
            <w:t>CONTROLE</w:t>
          </w:r>
          <w:r w:rsidRPr="003C6BC3"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 w:rsidRPr="003C6BC3">
            <w:rPr>
              <w:rFonts w:ascii="Arial" w:hAnsi="Arial" w:cs="Arial"/>
              <w:sz w:val="16"/>
              <w:szCs w:val="16"/>
            </w:rPr>
            <w:t>EXTERNO</w:t>
          </w:r>
        </w:p>
        <w:p w14:paraId="617A7E23" w14:textId="59A4ABCC" w:rsidR="009036F0" w:rsidRPr="003C6BC3" w:rsidRDefault="009036F0" w:rsidP="003C6BC3">
          <w:pPr>
            <w:pStyle w:val="Ttulo"/>
            <w:tabs>
              <w:tab w:val="left" w:pos="6105"/>
            </w:tabs>
            <w:spacing w:before="0"/>
            <w:ind w:left="0"/>
            <w:jc w:val="left"/>
            <w:rPr>
              <w:rFonts w:eastAsia="Arial MT"/>
              <w:b w:val="0"/>
              <w:bCs w:val="0"/>
              <w:sz w:val="16"/>
              <w:szCs w:val="16"/>
            </w:rPr>
          </w:pPr>
          <w:r w:rsidRPr="003C6BC3">
            <w:rPr>
              <w:rFonts w:eastAsia="Arial MT"/>
              <w:b w:val="0"/>
              <w:bCs w:val="0"/>
              <w:sz w:val="16"/>
              <w:szCs w:val="16"/>
            </w:rPr>
            <w:t>SUBSECRETARIA DE CONTROLE DE POLÍTICAS DE CIDADANIA</w:t>
          </w:r>
        </w:p>
        <w:p w14:paraId="4BD4FB4E" w14:textId="3216BC59" w:rsidR="009036F0" w:rsidRPr="003C6BC3" w:rsidRDefault="009036F0" w:rsidP="003C6BC3">
          <w:pPr>
            <w:pStyle w:val="Ttulo"/>
            <w:spacing w:before="0"/>
            <w:ind w:left="0"/>
            <w:jc w:val="left"/>
            <w:rPr>
              <w:sz w:val="16"/>
              <w:szCs w:val="16"/>
            </w:rPr>
          </w:pPr>
          <w:r w:rsidRPr="003C6BC3">
            <w:rPr>
              <w:rFonts w:eastAsia="Arial MT"/>
              <w:b w:val="0"/>
              <w:bCs w:val="0"/>
              <w:sz w:val="16"/>
              <w:szCs w:val="16"/>
            </w:rPr>
            <w:t>COORDENADORIA DE AUDITORIA DE POLÍTICAS EM TECNOLOGIA DA INFORMAÇÃO</w:t>
          </w:r>
        </w:p>
      </w:tc>
      <w:tc>
        <w:tcPr>
          <w:tcW w:w="13466" w:type="dxa"/>
        </w:tcPr>
        <w:p w14:paraId="17267BE2" w14:textId="617A7088" w:rsidR="00D62CE9" w:rsidRPr="00F25234" w:rsidRDefault="00D62CE9" w:rsidP="00F42298">
          <w:pPr>
            <w:tabs>
              <w:tab w:val="right" w:pos="14034"/>
            </w:tabs>
            <w:autoSpaceDE w:val="0"/>
            <w:autoSpaceDN w:val="0"/>
            <w:adjustRightInd w:val="0"/>
            <w:spacing w:after="120"/>
            <w:ind w:left="-386" w:firstLine="386"/>
            <w:rPr>
              <w:rFonts w:ascii="Arial" w:hAnsi="Arial" w:cs="Arial"/>
              <w:sz w:val="18"/>
              <w:szCs w:val="18"/>
            </w:rPr>
          </w:pPr>
          <w:r w:rsidRPr="00F25234">
            <w:rPr>
              <w:rFonts w:ascii="Arial" w:hAnsi="Arial" w:cs="Arial"/>
              <w:b/>
              <w:bCs/>
              <w:sz w:val="18"/>
              <w:szCs w:val="18"/>
            </w:rPr>
            <w:t>FISCALIZAÇÃO</w:t>
          </w:r>
          <w:r w:rsidRPr="00F25234">
            <w:rPr>
              <w:rFonts w:ascii="Arial" w:hAnsi="Arial" w:cs="Arial"/>
              <w:sz w:val="18"/>
              <w:szCs w:val="18"/>
            </w:rPr>
            <w:t>: 1</w:t>
          </w:r>
          <w:r w:rsidR="009E60F6">
            <w:rPr>
              <w:rFonts w:ascii="Arial" w:hAnsi="Arial" w:cs="Arial"/>
              <w:sz w:val="18"/>
              <w:szCs w:val="18"/>
            </w:rPr>
            <w:t>8</w:t>
          </w:r>
          <w:r w:rsidRPr="00F25234">
            <w:rPr>
              <w:rFonts w:ascii="Arial" w:hAnsi="Arial" w:cs="Arial"/>
              <w:sz w:val="18"/>
              <w:szCs w:val="18"/>
            </w:rPr>
            <w:t>/202</w:t>
          </w:r>
          <w:r w:rsidR="009E60F6">
            <w:rPr>
              <w:rFonts w:ascii="Arial" w:hAnsi="Arial" w:cs="Arial"/>
              <w:sz w:val="18"/>
              <w:szCs w:val="18"/>
            </w:rPr>
            <w:t>6</w:t>
          </w:r>
        </w:p>
        <w:p w14:paraId="3A6B45F9" w14:textId="6FCBAC11" w:rsidR="00D62CE9" w:rsidRPr="00F25234" w:rsidRDefault="00D62CE9" w:rsidP="00D62CE9">
          <w:pPr>
            <w:autoSpaceDE w:val="0"/>
            <w:autoSpaceDN w:val="0"/>
            <w:adjustRightInd w:val="0"/>
            <w:spacing w:after="120"/>
            <w:jc w:val="both"/>
            <w:rPr>
              <w:rFonts w:ascii="Arial" w:hAnsi="Arial" w:cs="Arial"/>
              <w:sz w:val="18"/>
              <w:szCs w:val="18"/>
            </w:rPr>
          </w:pPr>
          <w:r w:rsidRPr="00F25234">
            <w:rPr>
              <w:rFonts w:ascii="Arial" w:hAnsi="Arial" w:cs="Arial"/>
              <w:b/>
              <w:bCs/>
              <w:sz w:val="18"/>
              <w:szCs w:val="18"/>
            </w:rPr>
            <w:t>JURISDICIONADOS</w:t>
          </w:r>
          <w:r w:rsidRPr="00F25234">
            <w:rPr>
              <w:rFonts w:ascii="Arial" w:hAnsi="Arial" w:cs="Arial"/>
              <w:sz w:val="18"/>
              <w:szCs w:val="18"/>
            </w:rPr>
            <w:t xml:space="preserve">: </w:t>
          </w:r>
          <w:r w:rsidR="001A6023" w:rsidRPr="001A6023">
            <w:rPr>
              <w:rFonts w:ascii="Arial" w:hAnsi="Arial" w:cs="Arial"/>
              <w:sz w:val="18"/>
              <w:szCs w:val="18"/>
            </w:rPr>
            <w:t>AGENERSA, AGERIO, AGETRANSP, CASERJ, CEASA, CECIERJ, CEDAE, CEHAB, CENTRAL, CEPERJ, CODERTE, CODIN, CGE, DEGASE, DERRJ, DETRAN, DETRO, DPGE, DRM, EMATER, EMOP, FAETEC, FAPERJ, FCFB, FIA, FIPERJ, FLXIII, FMIS, FS, FSC, FTM, FUNARJ, GSI, IASERJ, IEEA, INEA, INEPAC, IRM, IO, IPEM, ITERJ, IVB, JUCERJA, LOTERJ, MPE, PESAGRO, PGE, PMAR, PMA, PMAB, PMAC, PMBP, PMBR, PMCF, PMCG, PMCA, PMDC, PMG, PMI, PMJ, PMM, PMM, PMM, PMM, PMN, PMNF, PMNI, PMP, PMP, PMPR, PMQ, PMQ, PMQ, PMRO, PMSJB, PMSJM, PMSPA, PMS, PMS, PMSG, PMT, PMVR, PROCON, PRODERJ, RIOTRILHOS, RJ PREV, SEAP, SEAPA, SECTI, SECEC, SECC, SECID, SEDEC, SEDCON, SEDEICS, SEDSODH, SEEDUC, SEENEMAR, SEENVS, SEELJE, SEFAZ, SEGG, SEGOV, SEHIS, SEIOP, SEPLAG, SEPOL, SEPM, SES, SETD, SETRANS, SETUR, SUDERJ, TCE, TJERJ, TURISRIO, UENF, UERJ, UEZO</w:t>
          </w:r>
          <w:r w:rsidRPr="00F25234">
            <w:rPr>
              <w:rFonts w:ascii="Arial" w:hAnsi="Arial" w:cs="Arial"/>
              <w:sz w:val="16"/>
              <w:szCs w:val="16"/>
            </w:rPr>
            <w:t>.</w:t>
          </w:r>
        </w:p>
        <w:p w14:paraId="44B9C6BD" w14:textId="61CE63E0" w:rsidR="009036F0" w:rsidRPr="003C6BC3" w:rsidRDefault="00D62CE9" w:rsidP="00D62CE9">
          <w:pPr>
            <w:pStyle w:val="Corpodetexto"/>
            <w:spacing w:after="120"/>
            <w:rPr>
              <w:rFonts w:ascii="Arial" w:hAnsi="Arial" w:cs="Arial"/>
            </w:rPr>
          </w:pPr>
          <w:r w:rsidRPr="00F25234">
            <w:rPr>
              <w:rFonts w:ascii="Arial" w:hAnsi="Arial" w:cs="Arial"/>
              <w:b/>
              <w:bCs/>
              <w:sz w:val="18"/>
              <w:szCs w:val="18"/>
            </w:rPr>
            <w:t>OBJETIVO DA AUDITORIA</w:t>
          </w:r>
          <w:r w:rsidRPr="00F25234">
            <w:rPr>
              <w:rFonts w:ascii="Arial" w:hAnsi="Arial" w:cs="Arial"/>
              <w:sz w:val="18"/>
              <w:szCs w:val="18"/>
            </w:rPr>
            <w:t xml:space="preserve">: </w:t>
          </w:r>
          <w:r w:rsidR="009E6A50" w:rsidRPr="009E6A50">
            <w:rPr>
              <w:rFonts w:ascii="Arial" w:hAnsi="Arial" w:cs="Arial"/>
              <w:sz w:val="18"/>
              <w:szCs w:val="18"/>
            </w:rPr>
            <w:t>Avaliar o grau de maturidade e a conformidade das práticas de governança e gestão de Tecnologia da Informação e Comunicação (TIC) adotadas pelos jurisdicionados, identificando evoluções em relação ao ciclo de 2023 e induzindo a adoção de boas práticas internacionais</w:t>
          </w:r>
          <w:r w:rsidRPr="00F25234">
            <w:rPr>
              <w:rFonts w:ascii="Arial" w:hAnsi="Arial" w:cs="Arial"/>
              <w:sz w:val="18"/>
              <w:szCs w:val="18"/>
            </w:rPr>
            <w:t>.</w:t>
          </w:r>
        </w:p>
      </w:tc>
    </w:tr>
  </w:tbl>
  <w:p w14:paraId="3AB268CB" w14:textId="77777777" w:rsidR="0041253F" w:rsidRPr="0041253F" w:rsidRDefault="0041253F" w:rsidP="00ED5C0C">
    <w:pPr>
      <w:jc w:val="center"/>
      <w:rPr>
        <w:bCs/>
        <w:sz w:val="12"/>
        <w:szCs w:val="12"/>
      </w:rPr>
    </w:pPr>
  </w:p>
  <w:p w14:paraId="10951264" w14:textId="77777777" w:rsidR="000A68D2" w:rsidRPr="000A68D2" w:rsidRDefault="000A68D2" w:rsidP="009036F0">
    <w:pPr>
      <w:pStyle w:val="Cabealh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A245D"/>
    <w:multiLevelType w:val="hybridMultilevel"/>
    <w:tmpl w:val="0EC850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FF0906"/>
    <w:multiLevelType w:val="hybridMultilevel"/>
    <w:tmpl w:val="A6D832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CD1382"/>
    <w:multiLevelType w:val="hybridMultilevel"/>
    <w:tmpl w:val="221E19C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D831BD"/>
    <w:multiLevelType w:val="hybridMultilevel"/>
    <w:tmpl w:val="56B6D9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98136D"/>
    <w:multiLevelType w:val="hybridMultilevel"/>
    <w:tmpl w:val="5DE0F0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BE16D3"/>
    <w:multiLevelType w:val="hybridMultilevel"/>
    <w:tmpl w:val="AAE224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8F57FC"/>
    <w:multiLevelType w:val="hybridMultilevel"/>
    <w:tmpl w:val="56B6D9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4027FB"/>
    <w:multiLevelType w:val="hybridMultilevel"/>
    <w:tmpl w:val="12E8A7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F56DB6"/>
    <w:multiLevelType w:val="hybridMultilevel"/>
    <w:tmpl w:val="3BF80A9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6AC7162"/>
    <w:multiLevelType w:val="hybridMultilevel"/>
    <w:tmpl w:val="C58040D0"/>
    <w:lvl w:ilvl="0" w:tplc="B4BAB86E">
      <w:start w:val="1"/>
      <w:numFmt w:val="decimal"/>
      <w:lvlText w:val="C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E4D28B5"/>
    <w:multiLevelType w:val="hybridMultilevel"/>
    <w:tmpl w:val="C25004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385108"/>
    <w:multiLevelType w:val="hybridMultilevel"/>
    <w:tmpl w:val="BD8C24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5688378">
    <w:abstractNumId w:val="1"/>
  </w:num>
  <w:num w:numId="2" w16cid:durableId="1802962893">
    <w:abstractNumId w:val="11"/>
  </w:num>
  <w:num w:numId="3" w16cid:durableId="828132850">
    <w:abstractNumId w:val="10"/>
  </w:num>
  <w:num w:numId="4" w16cid:durableId="1057122054">
    <w:abstractNumId w:val="0"/>
  </w:num>
  <w:num w:numId="5" w16cid:durableId="56782156">
    <w:abstractNumId w:val="7"/>
  </w:num>
  <w:num w:numId="6" w16cid:durableId="1705597396">
    <w:abstractNumId w:val="3"/>
  </w:num>
  <w:num w:numId="7" w16cid:durableId="462815941">
    <w:abstractNumId w:val="6"/>
  </w:num>
  <w:num w:numId="8" w16cid:durableId="1116830289">
    <w:abstractNumId w:val="5"/>
  </w:num>
  <w:num w:numId="9" w16cid:durableId="1940595995">
    <w:abstractNumId w:val="4"/>
  </w:num>
  <w:num w:numId="10" w16cid:durableId="557208518">
    <w:abstractNumId w:val="2"/>
  </w:num>
  <w:num w:numId="11" w16cid:durableId="2032679892">
    <w:abstractNumId w:val="8"/>
  </w:num>
  <w:num w:numId="12" w16cid:durableId="15579380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6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39A"/>
    <w:rsid w:val="00000009"/>
    <w:rsid w:val="000009DD"/>
    <w:rsid w:val="00001C78"/>
    <w:rsid w:val="00002542"/>
    <w:rsid w:val="00002785"/>
    <w:rsid w:val="00002F98"/>
    <w:rsid w:val="00003A1C"/>
    <w:rsid w:val="00003BA1"/>
    <w:rsid w:val="00003CA5"/>
    <w:rsid w:val="0000415B"/>
    <w:rsid w:val="00005867"/>
    <w:rsid w:val="00005909"/>
    <w:rsid w:val="00005E5B"/>
    <w:rsid w:val="00005FC6"/>
    <w:rsid w:val="000070A6"/>
    <w:rsid w:val="000071E2"/>
    <w:rsid w:val="00007D3E"/>
    <w:rsid w:val="00007D68"/>
    <w:rsid w:val="0001093D"/>
    <w:rsid w:val="00010B84"/>
    <w:rsid w:val="00010B94"/>
    <w:rsid w:val="00010F94"/>
    <w:rsid w:val="00011064"/>
    <w:rsid w:val="00011793"/>
    <w:rsid w:val="00011A33"/>
    <w:rsid w:val="00011B33"/>
    <w:rsid w:val="00011F5F"/>
    <w:rsid w:val="00012102"/>
    <w:rsid w:val="00013547"/>
    <w:rsid w:val="000137FD"/>
    <w:rsid w:val="00014894"/>
    <w:rsid w:val="0001504C"/>
    <w:rsid w:val="00015A9E"/>
    <w:rsid w:val="00016143"/>
    <w:rsid w:val="0001648E"/>
    <w:rsid w:val="00017401"/>
    <w:rsid w:val="0001764B"/>
    <w:rsid w:val="00020202"/>
    <w:rsid w:val="0002081B"/>
    <w:rsid w:val="000230D8"/>
    <w:rsid w:val="00023BC3"/>
    <w:rsid w:val="00024774"/>
    <w:rsid w:val="00024FD9"/>
    <w:rsid w:val="0002518A"/>
    <w:rsid w:val="0002538F"/>
    <w:rsid w:val="00025A8F"/>
    <w:rsid w:val="00025EA0"/>
    <w:rsid w:val="0002600B"/>
    <w:rsid w:val="000269EB"/>
    <w:rsid w:val="00026BC5"/>
    <w:rsid w:val="00027AB9"/>
    <w:rsid w:val="000308EA"/>
    <w:rsid w:val="000310C3"/>
    <w:rsid w:val="000315A3"/>
    <w:rsid w:val="00031B7B"/>
    <w:rsid w:val="00033072"/>
    <w:rsid w:val="000335BC"/>
    <w:rsid w:val="00033E16"/>
    <w:rsid w:val="00033FC1"/>
    <w:rsid w:val="0003409C"/>
    <w:rsid w:val="00034D38"/>
    <w:rsid w:val="00036758"/>
    <w:rsid w:val="00036A32"/>
    <w:rsid w:val="00036B64"/>
    <w:rsid w:val="00037B57"/>
    <w:rsid w:val="00037F47"/>
    <w:rsid w:val="000406B0"/>
    <w:rsid w:val="00040832"/>
    <w:rsid w:val="00040A57"/>
    <w:rsid w:val="00040F90"/>
    <w:rsid w:val="0004101E"/>
    <w:rsid w:val="0004134E"/>
    <w:rsid w:val="0004144D"/>
    <w:rsid w:val="00041D78"/>
    <w:rsid w:val="00041FBD"/>
    <w:rsid w:val="00042B16"/>
    <w:rsid w:val="000434B2"/>
    <w:rsid w:val="00043A06"/>
    <w:rsid w:val="0004477A"/>
    <w:rsid w:val="0004543E"/>
    <w:rsid w:val="00045966"/>
    <w:rsid w:val="00045D00"/>
    <w:rsid w:val="00046FF2"/>
    <w:rsid w:val="0005089E"/>
    <w:rsid w:val="00050ACE"/>
    <w:rsid w:val="00051731"/>
    <w:rsid w:val="00051DBA"/>
    <w:rsid w:val="00052375"/>
    <w:rsid w:val="0005249E"/>
    <w:rsid w:val="00052B40"/>
    <w:rsid w:val="00052B98"/>
    <w:rsid w:val="0005310A"/>
    <w:rsid w:val="000533C5"/>
    <w:rsid w:val="00053C0D"/>
    <w:rsid w:val="00056E0B"/>
    <w:rsid w:val="0005798B"/>
    <w:rsid w:val="00060D42"/>
    <w:rsid w:val="000610EF"/>
    <w:rsid w:val="0006135D"/>
    <w:rsid w:val="0006169D"/>
    <w:rsid w:val="00061BA6"/>
    <w:rsid w:val="0006306A"/>
    <w:rsid w:val="000632A7"/>
    <w:rsid w:val="00063707"/>
    <w:rsid w:val="00064637"/>
    <w:rsid w:val="000650FA"/>
    <w:rsid w:val="000651FB"/>
    <w:rsid w:val="00065428"/>
    <w:rsid w:val="00065DF2"/>
    <w:rsid w:val="00066E80"/>
    <w:rsid w:val="00067795"/>
    <w:rsid w:val="000678A3"/>
    <w:rsid w:val="00067933"/>
    <w:rsid w:val="00072225"/>
    <w:rsid w:val="0007378B"/>
    <w:rsid w:val="00073EDB"/>
    <w:rsid w:val="000743D7"/>
    <w:rsid w:val="00074E65"/>
    <w:rsid w:val="00075AE5"/>
    <w:rsid w:val="000761FF"/>
    <w:rsid w:val="00076244"/>
    <w:rsid w:val="00077113"/>
    <w:rsid w:val="0007781D"/>
    <w:rsid w:val="00077F74"/>
    <w:rsid w:val="000800E0"/>
    <w:rsid w:val="00080F6C"/>
    <w:rsid w:val="00082523"/>
    <w:rsid w:val="0008253A"/>
    <w:rsid w:val="000825D5"/>
    <w:rsid w:val="00083207"/>
    <w:rsid w:val="00083597"/>
    <w:rsid w:val="00083A63"/>
    <w:rsid w:val="00083BAE"/>
    <w:rsid w:val="00084D33"/>
    <w:rsid w:val="00085B13"/>
    <w:rsid w:val="000860A1"/>
    <w:rsid w:val="00086B7F"/>
    <w:rsid w:val="0008706D"/>
    <w:rsid w:val="000909F2"/>
    <w:rsid w:val="00091F06"/>
    <w:rsid w:val="000925E6"/>
    <w:rsid w:val="000927A3"/>
    <w:rsid w:val="00092D66"/>
    <w:rsid w:val="00094067"/>
    <w:rsid w:val="0009439B"/>
    <w:rsid w:val="00094BCE"/>
    <w:rsid w:val="00096DEF"/>
    <w:rsid w:val="00097268"/>
    <w:rsid w:val="000A0C75"/>
    <w:rsid w:val="000A10D3"/>
    <w:rsid w:val="000A1729"/>
    <w:rsid w:val="000A1792"/>
    <w:rsid w:val="000A2B23"/>
    <w:rsid w:val="000A2B4E"/>
    <w:rsid w:val="000A33AE"/>
    <w:rsid w:val="000A36B1"/>
    <w:rsid w:val="000A3C50"/>
    <w:rsid w:val="000A3F5F"/>
    <w:rsid w:val="000A588A"/>
    <w:rsid w:val="000A624A"/>
    <w:rsid w:val="000A6618"/>
    <w:rsid w:val="000A68D2"/>
    <w:rsid w:val="000B04FA"/>
    <w:rsid w:val="000B09C5"/>
    <w:rsid w:val="000B0D68"/>
    <w:rsid w:val="000B0FAE"/>
    <w:rsid w:val="000B1794"/>
    <w:rsid w:val="000B2BE1"/>
    <w:rsid w:val="000B425C"/>
    <w:rsid w:val="000B4649"/>
    <w:rsid w:val="000B4E5B"/>
    <w:rsid w:val="000B4EB7"/>
    <w:rsid w:val="000B53C5"/>
    <w:rsid w:val="000B53C8"/>
    <w:rsid w:val="000B56A3"/>
    <w:rsid w:val="000B5E73"/>
    <w:rsid w:val="000B6819"/>
    <w:rsid w:val="000B7A3F"/>
    <w:rsid w:val="000C2252"/>
    <w:rsid w:val="000C23CC"/>
    <w:rsid w:val="000C2C67"/>
    <w:rsid w:val="000C34AA"/>
    <w:rsid w:val="000C468B"/>
    <w:rsid w:val="000C675A"/>
    <w:rsid w:val="000C67D5"/>
    <w:rsid w:val="000C693D"/>
    <w:rsid w:val="000C700D"/>
    <w:rsid w:val="000C7881"/>
    <w:rsid w:val="000D0A9A"/>
    <w:rsid w:val="000D1AE6"/>
    <w:rsid w:val="000D1EA8"/>
    <w:rsid w:val="000D3D36"/>
    <w:rsid w:val="000D4C1D"/>
    <w:rsid w:val="000D5743"/>
    <w:rsid w:val="000D5EB4"/>
    <w:rsid w:val="000D6BF7"/>
    <w:rsid w:val="000D6E72"/>
    <w:rsid w:val="000E00EC"/>
    <w:rsid w:val="000E0978"/>
    <w:rsid w:val="000E0B92"/>
    <w:rsid w:val="000E0BAF"/>
    <w:rsid w:val="000E244A"/>
    <w:rsid w:val="000E2C23"/>
    <w:rsid w:val="000E2CDE"/>
    <w:rsid w:val="000E3C38"/>
    <w:rsid w:val="000E4775"/>
    <w:rsid w:val="000E516E"/>
    <w:rsid w:val="000E56CB"/>
    <w:rsid w:val="000E5E8E"/>
    <w:rsid w:val="000E6420"/>
    <w:rsid w:val="000E6A95"/>
    <w:rsid w:val="000E6E19"/>
    <w:rsid w:val="000E78D6"/>
    <w:rsid w:val="000F02D3"/>
    <w:rsid w:val="000F05D8"/>
    <w:rsid w:val="000F0DB0"/>
    <w:rsid w:val="000F0EB9"/>
    <w:rsid w:val="000F1445"/>
    <w:rsid w:val="000F2FA3"/>
    <w:rsid w:val="000F4DC8"/>
    <w:rsid w:val="000F571A"/>
    <w:rsid w:val="000F5727"/>
    <w:rsid w:val="000F6298"/>
    <w:rsid w:val="000F640C"/>
    <w:rsid w:val="000F655B"/>
    <w:rsid w:val="000F6A18"/>
    <w:rsid w:val="000F7859"/>
    <w:rsid w:val="00100C4E"/>
    <w:rsid w:val="00101170"/>
    <w:rsid w:val="0010133B"/>
    <w:rsid w:val="00101D07"/>
    <w:rsid w:val="00101E48"/>
    <w:rsid w:val="00102037"/>
    <w:rsid w:val="0010281A"/>
    <w:rsid w:val="00102A7D"/>
    <w:rsid w:val="001031D7"/>
    <w:rsid w:val="00103423"/>
    <w:rsid w:val="00104322"/>
    <w:rsid w:val="00104BD4"/>
    <w:rsid w:val="00106398"/>
    <w:rsid w:val="00106582"/>
    <w:rsid w:val="00106AF2"/>
    <w:rsid w:val="0011017D"/>
    <w:rsid w:val="00111BB7"/>
    <w:rsid w:val="00112CF1"/>
    <w:rsid w:val="00112F81"/>
    <w:rsid w:val="00113F4A"/>
    <w:rsid w:val="001146A5"/>
    <w:rsid w:val="00114C51"/>
    <w:rsid w:val="00115B90"/>
    <w:rsid w:val="001163B0"/>
    <w:rsid w:val="001165A8"/>
    <w:rsid w:val="00117235"/>
    <w:rsid w:val="001173F3"/>
    <w:rsid w:val="001176B6"/>
    <w:rsid w:val="00120BF1"/>
    <w:rsid w:val="001211CB"/>
    <w:rsid w:val="00121282"/>
    <w:rsid w:val="001212B0"/>
    <w:rsid w:val="001216C5"/>
    <w:rsid w:val="00121DC0"/>
    <w:rsid w:val="001220FE"/>
    <w:rsid w:val="00122A8D"/>
    <w:rsid w:val="00124F1F"/>
    <w:rsid w:val="00125383"/>
    <w:rsid w:val="00127435"/>
    <w:rsid w:val="00131949"/>
    <w:rsid w:val="00131A78"/>
    <w:rsid w:val="00133F35"/>
    <w:rsid w:val="00134847"/>
    <w:rsid w:val="00134ED7"/>
    <w:rsid w:val="00134F8C"/>
    <w:rsid w:val="001357E9"/>
    <w:rsid w:val="0013597B"/>
    <w:rsid w:val="00135A71"/>
    <w:rsid w:val="0013614A"/>
    <w:rsid w:val="0013624B"/>
    <w:rsid w:val="00136487"/>
    <w:rsid w:val="0013661E"/>
    <w:rsid w:val="0013674C"/>
    <w:rsid w:val="00136C81"/>
    <w:rsid w:val="00137034"/>
    <w:rsid w:val="0013738A"/>
    <w:rsid w:val="0013747F"/>
    <w:rsid w:val="0013763B"/>
    <w:rsid w:val="00137BC8"/>
    <w:rsid w:val="001420BD"/>
    <w:rsid w:val="001420EB"/>
    <w:rsid w:val="0014258E"/>
    <w:rsid w:val="00142699"/>
    <w:rsid w:val="00142BFE"/>
    <w:rsid w:val="00142C1C"/>
    <w:rsid w:val="00142F0B"/>
    <w:rsid w:val="00143A4E"/>
    <w:rsid w:val="00143D3D"/>
    <w:rsid w:val="00143E2D"/>
    <w:rsid w:val="00144523"/>
    <w:rsid w:val="001445B6"/>
    <w:rsid w:val="001475ED"/>
    <w:rsid w:val="00150F7E"/>
    <w:rsid w:val="001511CA"/>
    <w:rsid w:val="00151844"/>
    <w:rsid w:val="00151869"/>
    <w:rsid w:val="001528C5"/>
    <w:rsid w:val="00153482"/>
    <w:rsid w:val="001553E4"/>
    <w:rsid w:val="00155DA2"/>
    <w:rsid w:val="001561C7"/>
    <w:rsid w:val="001561D3"/>
    <w:rsid w:val="001563E2"/>
    <w:rsid w:val="001565D8"/>
    <w:rsid w:val="00156902"/>
    <w:rsid w:val="00156E91"/>
    <w:rsid w:val="00156EAE"/>
    <w:rsid w:val="001575CC"/>
    <w:rsid w:val="00157679"/>
    <w:rsid w:val="001576B5"/>
    <w:rsid w:val="0016094C"/>
    <w:rsid w:val="0016138E"/>
    <w:rsid w:val="0016159C"/>
    <w:rsid w:val="0016182A"/>
    <w:rsid w:val="00161C1C"/>
    <w:rsid w:val="001621FF"/>
    <w:rsid w:val="00162254"/>
    <w:rsid w:val="001622D6"/>
    <w:rsid w:val="00162570"/>
    <w:rsid w:val="001625CE"/>
    <w:rsid w:val="001626F9"/>
    <w:rsid w:val="0016297C"/>
    <w:rsid w:val="00162AFC"/>
    <w:rsid w:val="001635A6"/>
    <w:rsid w:val="00163D04"/>
    <w:rsid w:val="00163F56"/>
    <w:rsid w:val="00164D76"/>
    <w:rsid w:val="00164EE8"/>
    <w:rsid w:val="0016598F"/>
    <w:rsid w:val="00166B34"/>
    <w:rsid w:val="00166E3A"/>
    <w:rsid w:val="001674B1"/>
    <w:rsid w:val="00167600"/>
    <w:rsid w:val="00167E32"/>
    <w:rsid w:val="001701AD"/>
    <w:rsid w:val="0017090A"/>
    <w:rsid w:val="00170ABE"/>
    <w:rsid w:val="00171CAC"/>
    <w:rsid w:val="00172222"/>
    <w:rsid w:val="00172A64"/>
    <w:rsid w:val="001732EF"/>
    <w:rsid w:val="00174521"/>
    <w:rsid w:val="00174C30"/>
    <w:rsid w:val="001759AA"/>
    <w:rsid w:val="00175D60"/>
    <w:rsid w:val="00175E21"/>
    <w:rsid w:val="00176317"/>
    <w:rsid w:val="00176A1C"/>
    <w:rsid w:val="00176C58"/>
    <w:rsid w:val="00177AEA"/>
    <w:rsid w:val="00180301"/>
    <w:rsid w:val="001807F0"/>
    <w:rsid w:val="00180E5D"/>
    <w:rsid w:val="00181C6C"/>
    <w:rsid w:val="00182819"/>
    <w:rsid w:val="00183399"/>
    <w:rsid w:val="00183E8B"/>
    <w:rsid w:val="001849F1"/>
    <w:rsid w:val="001850FF"/>
    <w:rsid w:val="0018524F"/>
    <w:rsid w:val="0018759C"/>
    <w:rsid w:val="0019009C"/>
    <w:rsid w:val="00192944"/>
    <w:rsid w:val="001942E2"/>
    <w:rsid w:val="0019494C"/>
    <w:rsid w:val="00195E2F"/>
    <w:rsid w:val="00196854"/>
    <w:rsid w:val="00196C6E"/>
    <w:rsid w:val="001977AE"/>
    <w:rsid w:val="001A0165"/>
    <w:rsid w:val="001A01DB"/>
    <w:rsid w:val="001A03FD"/>
    <w:rsid w:val="001A0710"/>
    <w:rsid w:val="001A1605"/>
    <w:rsid w:val="001A1AE1"/>
    <w:rsid w:val="001A1F10"/>
    <w:rsid w:val="001A3226"/>
    <w:rsid w:val="001A326F"/>
    <w:rsid w:val="001A3AB2"/>
    <w:rsid w:val="001A4005"/>
    <w:rsid w:val="001A4460"/>
    <w:rsid w:val="001A455A"/>
    <w:rsid w:val="001A46E3"/>
    <w:rsid w:val="001A55A7"/>
    <w:rsid w:val="001A6023"/>
    <w:rsid w:val="001A625B"/>
    <w:rsid w:val="001A6A14"/>
    <w:rsid w:val="001A7283"/>
    <w:rsid w:val="001A774B"/>
    <w:rsid w:val="001B11B6"/>
    <w:rsid w:val="001B2611"/>
    <w:rsid w:val="001B278B"/>
    <w:rsid w:val="001B394D"/>
    <w:rsid w:val="001B4AFF"/>
    <w:rsid w:val="001B5647"/>
    <w:rsid w:val="001B5FA7"/>
    <w:rsid w:val="001B64B7"/>
    <w:rsid w:val="001B708D"/>
    <w:rsid w:val="001B7815"/>
    <w:rsid w:val="001C0BE2"/>
    <w:rsid w:val="001C2188"/>
    <w:rsid w:val="001C3D2E"/>
    <w:rsid w:val="001C44A7"/>
    <w:rsid w:val="001C479D"/>
    <w:rsid w:val="001C5465"/>
    <w:rsid w:val="001C5D6C"/>
    <w:rsid w:val="001C6048"/>
    <w:rsid w:val="001C6A96"/>
    <w:rsid w:val="001C6EE3"/>
    <w:rsid w:val="001C7CA6"/>
    <w:rsid w:val="001D04D4"/>
    <w:rsid w:val="001D05C9"/>
    <w:rsid w:val="001D1121"/>
    <w:rsid w:val="001D13CF"/>
    <w:rsid w:val="001D192B"/>
    <w:rsid w:val="001D3404"/>
    <w:rsid w:val="001D3C2C"/>
    <w:rsid w:val="001D4F02"/>
    <w:rsid w:val="001D563D"/>
    <w:rsid w:val="001D5FAF"/>
    <w:rsid w:val="001D5FF9"/>
    <w:rsid w:val="001D626D"/>
    <w:rsid w:val="001D72D8"/>
    <w:rsid w:val="001D7766"/>
    <w:rsid w:val="001E1235"/>
    <w:rsid w:val="001E12A0"/>
    <w:rsid w:val="001E1439"/>
    <w:rsid w:val="001E18A1"/>
    <w:rsid w:val="001E1D25"/>
    <w:rsid w:val="001E21A3"/>
    <w:rsid w:val="001E3B81"/>
    <w:rsid w:val="001E3E00"/>
    <w:rsid w:val="001E4471"/>
    <w:rsid w:val="001E4AED"/>
    <w:rsid w:val="001E4CDB"/>
    <w:rsid w:val="001E4ED5"/>
    <w:rsid w:val="001E5349"/>
    <w:rsid w:val="001E5C16"/>
    <w:rsid w:val="001E5D3D"/>
    <w:rsid w:val="001E62C9"/>
    <w:rsid w:val="001E6730"/>
    <w:rsid w:val="001F176A"/>
    <w:rsid w:val="001F1FCB"/>
    <w:rsid w:val="001F2A34"/>
    <w:rsid w:val="001F34E0"/>
    <w:rsid w:val="001F36B7"/>
    <w:rsid w:val="001F3D8D"/>
    <w:rsid w:val="001F416B"/>
    <w:rsid w:val="001F4775"/>
    <w:rsid w:val="001F48CD"/>
    <w:rsid w:val="001F4ACB"/>
    <w:rsid w:val="001F4F44"/>
    <w:rsid w:val="001F57E4"/>
    <w:rsid w:val="001F6928"/>
    <w:rsid w:val="001F6F68"/>
    <w:rsid w:val="001F7BE1"/>
    <w:rsid w:val="001F7D57"/>
    <w:rsid w:val="001F7EEF"/>
    <w:rsid w:val="002001BE"/>
    <w:rsid w:val="002010F3"/>
    <w:rsid w:val="00201C29"/>
    <w:rsid w:val="002034F6"/>
    <w:rsid w:val="00203E1C"/>
    <w:rsid w:val="002040D8"/>
    <w:rsid w:val="00205054"/>
    <w:rsid w:val="002050B7"/>
    <w:rsid w:val="00206019"/>
    <w:rsid w:val="00206375"/>
    <w:rsid w:val="00206AB0"/>
    <w:rsid w:val="00206BF5"/>
    <w:rsid w:val="00207B4E"/>
    <w:rsid w:val="00207D41"/>
    <w:rsid w:val="00210224"/>
    <w:rsid w:val="0021056F"/>
    <w:rsid w:val="00210879"/>
    <w:rsid w:val="00211D87"/>
    <w:rsid w:val="0021252A"/>
    <w:rsid w:val="00212646"/>
    <w:rsid w:val="002128C4"/>
    <w:rsid w:val="00212F12"/>
    <w:rsid w:val="00213FDF"/>
    <w:rsid w:val="0021404E"/>
    <w:rsid w:val="002149A8"/>
    <w:rsid w:val="00214F60"/>
    <w:rsid w:val="00215616"/>
    <w:rsid w:val="002157F1"/>
    <w:rsid w:val="002161FB"/>
    <w:rsid w:val="00216486"/>
    <w:rsid w:val="00216DBF"/>
    <w:rsid w:val="002171FD"/>
    <w:rsid w:val="002173BC"/>
    <w:rsid w:val="00217786"/>
    <w:rsid w:val="002208B4"/>
    <w:rsid w:val="002213DC"/>
    <w:rsid w:val="00221712"/>
    <w:rsid w:val="0022189F"/>
    <w:rsid w:val="002226E0"/>
    <w:rsid w:val="00222A23"/>
    <w:rsid w:val="00223588"/>
    <w:rsid w:val="00223A26"/>
    <w:rsid w:val="00224452"/>
    <w:rsid w:val="0022448A"/>
    <w:rsid w:val="00224BCD"/>
    <w:rsid w:val="00225A39"/>
    <w:rsid w:val="00225E91"/>
    <w:rsid w:val="00225F42"/>
    <w:rsid w:val="002263AE"/>
    <w:rsid w:val="0022667F"/>
    <w:rsid w:val="00227138"/>
    <w:rsid w:val="00227281"/>
    <w:rsid w:val="002279FA"/>
    <w:rsid w:val="0023131C"/>
    <w:rsid w:val="00231765"/>
    <w:rsid w:val="00231B6E"/>
    <w:rsid w:val="002326E8"/>
    <w:rsid w:val="00232CB5"/>
    <w:rsid w:val="00232F3C"/>
    <w:rsid w:val="0023302B"/>
    <w:rsid w:val="00233BDE"/>
    <w:rsid w:val="00234BA8"/>
    <w:rsid w:val="00234C98"/>
    <w:rsid w:val="00234ED1"/>
    <w:rsid w:val="00235C0D"/>
    <w:rsid w:val="00235E74"/>
    <w:rsid w:val="0023611D"/>
    <w:rsid w:val="002367C4"/>
    <w:rsid w:val="0023681C"/>
    <w:rsid w:val="00236A6B"/>
    <w:rsid w:val="00237931"/>
    <w:rsid w:val="00240072"/>
    <w:rsid w:val="00240187"/>
    <w:rsid w:val="002407D6"/>
    <w:rsid w:val="002413F3"/>
    <w:rsid w:val="002416DC"/>
    <w:rsid w:val="00241D31"/>
    <w:rsid w:val="0024509F"/>
    <w:rsid w:val="00245F05"/>
    <w:rsid w:val="0024623A"/>
    <w:rsid w:val="00247180"/>
    <w:rsid w:val="00247328"/>
    <w:rsid w:val="002479BD"/>
    <w:rsid w:val="002501BB"/>
    <w:rsid w:val="00250870"/>
    <w:rsid w:val="00251589"/>
    <w:rsid w:val="00251CDE"/>
    <w:rsid w:val="0025207F"/>
    <w:rsid w:val="002524C1"/>
    <w:rsid w:val="00253846"/>
    <w:rsid w:val="00253852"/>
    <w:rsid w:val="00253B1A"/>
    <w:rsid w:val="00255108"/>
    <w:rsid w:val="002555FA"/>
    <w:rsid w:val="002556F1"/>
    <w:rsid w:val="00256870"/>
    <w:rsid w:val="00257FCB"/>
    <w:rsid w:val="00260B3F"/>
    <w:rsid w:val="00260D29"/>
    <w:rsid w:val="00260EB1"/>
    <w:rsid w:val="00261067"/>
    <w:rsid w:val="00262247"/>
    <w:rsid w:val="002632D8"/>
    <w:rsid w:val="00263BED"/>
    <w:rsid w:val="00264E3C"/>
    <w:rsid w:val="00264F68"/>
    <w:rsid w:val="002651E2"/>
    <w:rsid w:val="00265AE8"/>
    <w:rsid w:val="00265DCC"/>
    <w:rsid w:val="00266EBB"/>
    <w:rsid w:val="002678ED"/>
    <w:rsid w:val="00267929"/>
    <w:rsid w:val="00270853"/>
    <w:rsid w:val="00270959"/>
    <w:rsid w:val="00271030"/>
    <w:rsid w:val="002711B2"/>
    <w:rsid w:val="00271BF4"/>
    <w:rsid w:val="00274354"/>
    <w:rsid w:val="00275411"/>
    <w:rsid w:val="0027604E"/>
    <w:rsid w:val="002767D6"/>
    <w:rsid w:val="002769AE"/>
    <w:rsid w:val="00276C12"/>
    <w:rsid w:val="00280562"/>
    <w:rsid w:val="0028140B"/>
    <w:rsid w:val="00281E49"/>
    <w:rsid w:val="00282E61"/>
    <w:rsid w:val="00283756"/>
    <w:rsid w:val="0028474B"/>
    <w:rsid w:val="002848DB"/>
    <w:rsid w:val="00284F7A"/>
    <w:rsid w:val="00285269"/>
    <w:rsid w:val="002856BD"/>
    <w:rsid w:val="002859B7"/>
    <w:rsid w:val="00285C64"/>
    <w:rsid w:val="002873EC"/>
    <w:rsid w:val="0029007A"/>
    <w:rsid w:val="0029069F"/>
    <w:rsid w:val="002908C4"/>
    <w:rsid w:val="00290EEC"/>
    <w:rsid w:val="0029158E"/>
    <w:rsid w:val="0029171D"/>
    <w:rsid w:val="00291B6A"/>
    <w:rsid w:val="00291B90"/>
    <w:rsid w:val="0029632E"/>
    <w:rsid w:val="002968E0"/>
    <w:rsid w:val="00297488"/>
    <w:rsid w:val="00297679"/>
    <w:rsid w:val="002A06A2"/>
    <w:rsid w:val="002A1097"/>
    <w:rsid w:val="002A13D1"/>
    <w:rsid w:val="002A27E0"/>
    <w:rsid w:val="002A2E6A"/>
    <w:rsid w:val="002A3E12"/>
    <w:rsid w:val="002A462E"/>
    <w:rsid w:val="002A4B4D"/>
    <w:rsid w:val="002A5258"/>
    <w:rsid w:val="002A5B44"/>
    <w:rsid w:val="002A5F22"/>
    <w:rsid w:val="002A661D"/>
    <w:rsid w:val="002A76C6"/>
    <w:rsid w:val="002A7720"/>
    <w:rsid w:val="002A7D23"/>
    <w:rsid w:val="002B035D"/>
    <w:rsid w:val="002B0CF6"/>
    <w:rsid w:val="002B16FD"/>
    <w:rsid w:val="002B3A1C"/>
    <w:rsid w:val="002B3C7B"/>
    <w:rsid w:val="002B4062"/>
    <w:rsid w:val="002B437E"/>
    <w:rsid w:val="002B4825"/>
    <w:rsid w:val="002B4B69"/>
    <w:rsid w:val="002B5095"/>
    <w:rsid w:val="002B53AC"/>
    <w:rsid w:val="002B6D2B"/>
    <w:rsid w:val="002B7421"/>
    <w:rsid w:val="002B7A0D"/>
    <w:rsid w:val="002B7B83"/>
    <w:rsid w:val="002C03BB"/>
    <w:rsid w:val="002C094B"/>
    <w:rsid w:val="002C1B8A"/>
    <w:rsid w:val="002C29BB"/>
    <w:rsid w:val="002C2D8F"/>
    <w:rsid w:val="002C34E3"/>
    <w:rsid w:val="002C5F4D"/>
    <w:rsid w:val="002C6CE1"/>
    <w:rsid w:val="002C6D06"/>
    <w:rsid w:val="002C6FC8"/>
    <w:rsid w:val="002D0267"/>
    <w:rsid w:val="002D06BA"/>
    <w:rsid w:val="002D123E"/>
    <w:rsid w:val="002D27F3"/>
    <w:rsid w:val="002D2960"/>
    <w:rsid w:val="002D2F01"/>
    <w:rsid w:val="002D2F16"/>
    <w:rsid w:val="002D30A8"/>
    <w:rsid w:val="002D4556"/>
    <w:rsid w:val="002D499A"/>
    <w:rsid w:val="002D4AA1"/>
    <w:rsid w:val="002D563A"/>
    <w:rsid w:val="002D5BF8"/>
    <w:rsid w:val="002E11CF"/>
    <w:rsid w:val="002E3C59"/>
    <w:rsid w:val="002E42CD"/>
    <w:rsid w:val="002E45FA"/>
    <w:rsid w:val="002E532D"/>
    <w:rsid w:val="002E65C2"/>
    <w:rsid w:val="002E6DF7"/>
    <w:rsid w:val="002E6EC7"/>
    <w:rsid w:val="002E77D2"/>
    <w:rsid w:val="002E7D62"/>
    <w:rsid w:val="002F1127"/>
    <w:rsid w:val="002F2761"/>
    <w:rsid w:val="002F32CB"/>
    <w:rsid w:val="002F347D"/>
    <w:rsid w:val="002F4656"/>
    <w:rsid w:val="002F492B"/>
    <w:rsid w:val="002F4AEB"/>
    <w:rsid w:val="002F51E8"/>
    <w:rsid w:val="002F5F7D"/>
    <w:rsid w:val="002F79B9"/>
    <w:rsid w:val="003017D2"/>
    <w:rsid w:val="00301C30"/>
    <w:rsid w:val="00301E49"/>
    <w:rsid w:val="003024B6"/>
    <w:rsid w:val="00302EA7"/>
    <w:rsid w:val="003030EB"/>
    <w:rsid w:val="0030359C"/>
    <w:rsid w:val="00304C98"/>
    <w:rsid w:val="00304D39"/>
    <w:rsid w:val="00305E56"/>
    <w:rsid w:val="003071F7"/>
    <w:rsid w:val="00307301"/>
    <w:rsid w:val="0031007B"/>
    <w:rsid w:val="003102DF"/>
    <w:rsid w:val="003110CF"/>
    <w:rsid w:val="003113C9"/>
    <w:rsid w:val="00312484"/>
    <w:rsid w:val="00312747"/>
    <w:rsid w:val="00313363"/>
    <w:rsid w:val="003134B5"/>
    <w:rsid w:val="00313F72"/>
    <w:rsid w:val="00314561"/>
    <w:rsid w:val="00314D29"/>
    <w:rsid w:val="00315A50"/>
    <w:rsid w:val="00315B8B"/>
    <w:rsid w:val="00315BFB"/>
    <w:rsid w:val="00316A0B"/>
    <w:rsid w:val="00316DE4"/>
    <w:rsid w:val="00317DDD"/>
    <w:rsid w:val="00320763"/>
    <w:rsid w:val="00320B1D"/>
    <w:rsid w:val="00320C39"/>
    <w:rsid w:val="00322E66"/>
    <w:rsid w:val="00323D33"/>
    <w:rsid w:val="00324056"/>
    <w:rsid w:val="0033065E"/>
    <w:rsid w:val="00330BF1"/>
    <w:rsid w:val="003312A3"/>
    <w:rsid w:val="00334BD3"/>
    <w:rsid w:val="003351F8"/>
    <w:rsid w:val="0033660C"/>
    <w:rsid w:val="00336E19"/>
    <w:rsid w:val="00337970"/>
    <w:rsid w:val="00337DA1"/>
    <w:rsid w:val="00337F4F"/>
    <w:rsid w:val="003404C4"/>
    <w:rsid w:val="0034065E"/>
    <w:rsid w:val="00340905"/>
    <w:rsid w:val="00340D59"/>
    <w:rsid w:val="00341FBC"/>
    <w:rsid w:val="00342C44"/>
    <w:rsid w:val="003438A9"/>
    <w:rsid w:val="00343C7C"/>
    <w:rsid w:val="003464D8"/>
    <w:rsid w:val="003465B9"/>
    <w:rsid w:val="00347391"/>
    <w:rsid w:val="00350919"/>
    <w:rsid w:val="00351812"/>
    <w:rsid w:val="00354088"/>
    <w:rsid w:val="0035475D"/>
    <w:rsid w:val="00354DC7"/>
    <w:rsid w:val="00356CC1"/>
    <w:rsid w:val="00357ACF"/>
    <w:rsid w:val="003603A3"/>
    <w:rsid w:val="00360DE5"/>
    <w:rsid w:val="00361526"/>
    <w:rsid w:val="003615A6"/>
    <w:rsid w:val="003617E1"/>
    <w:rsid w:val="003619F1"/>
    <w:rsid w:val="00361C47"/>
    <w:rsid w:val="00363A1D"/>
    <w:rsid w:val="00363B9B"/>
    <w:rsid w:val="00364A90"/>
    <w:rsid w:val="00364FBD"/>
    <w:rsid w:val="0036526C"/>
    <w:rsid w:val="00365C01"/>
    <w:rsid w:val="00366CDE"/>
    <w:rsid w:val="003670B0"/>
    <w:rsid w:val="003674B6"/>
    <w:rsid w:val="003712C6"/>
    <w:rsid w:val="003713A9"/>
    <w:rsid w:val="0037158A"/>
    <w:rsid w:val="00371874"/>
    <w:rsid w:val="003723D6"/>
    <w:rsid w:val="00372DB7"/>
    <w:rsid w:val="00372E24"/>
    <w:rsid w:val="00374555"/>
    <w:rsid w:val="00375030"/>
    <w:rsid w:val="0037695D"/>
    <w:rsid w:val="00376F51"/>
    <w:rsid w:val="00377F58"/>
    <w:rsid w:val="00380403"/>
    <w:rsid w:val="003812FB"/>
    <w:rsid w:val="00381761"/>
    <w:rsid w:val="003821F6"/>
    <w:rsid w:val="003829FF"/>
    <w:rsid w:val="00382E97"/>
    <w:rsid w:val="00382F53"/>
    <w:rsid w:val="0038342B"/>
    <w:rsid w:val="003838D9"/>
    <w:rsid w:val="003842EB"/>
    <w:rsid w:val="00384D42"/>
    <w:rsid w:val="00384FCA"/>
    <w:rsid w:val="003857F8"/>
    <w:rsid w:val="0038604D"/>
    <w:rsid w:val="0038623D"/>
    <w:rsid w:val="0038628C"/>
    <w:rsid w:val="00387240"/>
    <w:rsid w:val="00387714"/>
    <w:rsid w:val="00390F26"/>
    <w:rsid w:val="00391876"/>
    <w:rsid w:val="00392878"/>
    <w:rsid w:val="003932E0"/>
    <w:rsid w:val="00395F63"/>
    <w:rsid w:val="003961EF"/>
    <w:rsid w:val="003A0CBF"/>
    <w:rsid w:val="003A179B"/>
    <w:rsid w:val="003A2209"/>
    <w:rsid w:val="003A2469"/>
    <w:rsid w:val="003A27EB"/>
    <w:rsid w:val="003A3269"/>
    <w:rsid w:val="003A3F71"/>
    <w:rsid w:val="003A4550"/>
    <w:rsid w:val="003A48B1"/>
    <w:rsid w:val="003A48C8"/>
    <w:rsid w:val="003A5117"/>
    <w:rsid w:val="003A5EF9"/>
    <w:rsid w:val="003A6468"/>
    <w:rsid w:val="003A6DE8"/>
    <w:rsid w:val="003A7657"/>
    <w:rsid w:val="003A7C6F"/>
    <w:rsid w:val="003B0BD4"/>
    <w:rsid w:val="003B0E20"/>
    <w:rsid w:val="003B18AC"/>
    <w:rsid w:val="003B1DB4"/>
    <w:rsid w:val="003B2240"/>
    <w:rsid w:val="003B3180"/>
    <w:rsid w:val="003B3773"/>
    <w:rsid w:val="003B3A57"/>
    <w:rsid w:val="003B3C4B"/>
    <w:rsid w:val="003B4675"/>
    <w:rsid w:val="003B46F5"/>
    <w:rsid w:val="003B55AA"/>
    <w:rsid w:val="003B74BA"/>
    <w:rsid w:val="003C1248"/>
    <w:rsid w:val="003C1389"/>
    <w:rsid w:val="003C1AE2"/>
    <w:rsid w:val="003C33A9"/>
    <w:rsid w:val="003C3F9D"/>
    <w:rsid w:val="003C470E"/>
    <w:rsid w:val="003C4F68"/>
    <w:rsid w:val="003C57FE"/>
    <w:rsid w:val="003C6BC3"/>
    <w:rsid w:val="003C7275"/>
    <w:rsid w:val="003C7BDB"/>
    <w:rsid w:val="003D0FF4"/>
    <w:rsid w:val="003D146B"/>
    <w:rsid w:val="003D1559"/>
    <w:rsid w:val="003D2A4C"/>
    <w:rsid w:val="003D41FA"/>
    <w:rsid w:val="003D4905"/>
    <w:rsid w:val="003D4DA0"/>
    <w:rsid w:val="003D4E1F"/>
    <w:rsid w:val="003D4E4E"/>
    <w:rsid w:val="003D5044"/>
    <w:rsid w:val="003D57B8"/>
    <w:rsid w:val="003D5B89"/>
    <w:rsid w:val="003D5F48"/>
    <w:rsid w:val="003D676D"/>
    <w:rsid w:val="003D68CD"/>
    <w:rsid w:val="003D6FB4"/>
    <w:rsid w:val="003D7D8C"/>
    <w:rsid w:val="003E0131"/>
    <w:rsid w:val="003E015E"/>
    <w:rsid w:val="003E02FC"/>
    <w:rsid w:val="003E03C0"/>
    <w:rsid w:val="003E0A16"/>
    <w:rsid w:val="003E1705"/>
    <w:rsid w:val="003E207C"/>
    <w:rsid w:val="003E2666"/>
    <w:rsid w:val="003E2D3B"/>
    <w:rsid w:val="003E5CB3"/>
    <w:rsid w:val="003E6178"/>
    <w:rsid w:val="003E7AD9"/>
    <w:rsid w:val="003F0CC6"/>
    <w:rsid w:val="003F14E1"/>
    <w:rsid w:val="003F16B0"/>
    <w:rsid w:val="003F1DA9"/>
    <w:rsid w:val="003F1FF2"/>
    <w:rsid w:val="003F3462"/>
    <w:rsid w:val="003F49B0"/>
    <w:rsid w:val="003F5088"/>
    <w:rsid w:val="003F5989"/>
    <w:rsid w:val="003F689E"/>
    <w:rsid w:val="003F715A"/>
    <w:rsid w:val="003F736A"/>
    <w:rsid w:val="003F7381"/>
    <w:rsid w:val="003F77BD"/>
    <w:rsid w:val="003F7B47"/>
    <w:rsid w:val="004002FB"/>
    <w:rsid w:val="00400719"/>
    <w:rsid w:val="004008E7"/>
    <w:rsid w:val="00400AD1"/>
    <w:rsid w:val="00401030"/>
    <w:rsid w:val="00401BE3"/>
    <w:rsid w:val="0040216D"/>
    <w:rsid w:val="00402E87"/>
    <w:rsid w:val="00403EE9"/>
    <w:rsid w:val="00403F53"/>
    <w:rsid w:val="00404B63"/>
    <w:rsid w:val="004070DC"/>
    <w:rsid w:val="00410799"/>
    <w:rsid w:val="00410FA6"/>
    <w:rsid w:val="00411998"/>
    <w:rsid w:val="00411C7F"/>
    <w:rsid w:val="0041253F"/>
    <w:rsid w:val="0041306D"/>
    <w:rsid w:val="0041338E"/>
    <w:rsid w:val="00413EC5"/>
    <w:rsid w:val="00415C56"/>
    <w:rsid w:val="00420624"/>
    <w:rsid w:val="00423018"/>
    <w:rsid w:val="00423A78"/>
    <w:rsid w:val="004251BB"/>
    <w:rsid w:val="004271AA"/>
    <w:rsid w:val="00427563"/>
    <w:rsid w:val="004278CA"/>
    <w:rsid w:val="004302A5"/>
    <w:rsid w:val="004305E0"/>
    <w:rsid w:val="004306DD"/>
    <w:rsid w:val="004318A1"/>
    <w:rsid w:val="00431900"/>
    <w:rsid w:val="00432F6B"/>
    <w:rsid w:val="004337D9"/>
    <w:rsid w:val="0043493F"/>
    <w:rsid w:val="004350CF"/>
    <w:rsid w:val="00435F4A"/>
    <w:rsid w:val="00436BCB"/>
    <w:rsid w:val="00437BB9"/>
    <w:rsid w:val="004401CE"/>
    <w:rsid w:val="004405F2"/>
    <w:rsid w:val="00440AC0"/>
    <w:rsid w:val="00441FAA"/>
    <w:rsid w:val="00443399"/>
    <w:rsid w:val="0044392B"/>
    <w:rsid w:val="004444D9"/>
    <w:rsid w:val="00445801"/>
    <w:rsid w:val="00445EF3"/>
    <w:rsid w:val="0044675A"/>
    <w:rsid w:val="00446DBA"/>
    <w:rsid w:val="004476B8"/>
    <w:rsid w:val="00450115"/>
    <w:rsid w:val="00450354"/>
    <w:rsid w:val="00450E71"/>
    <w:rsid w:val="004519AD"/>
    <w:rsid w:val="00452F5B"/>
    <w:rsid w:val="00455B60"/>
    <w:rsid w:val="00456547"/>
    <w:rsid w:val="0045662C"/>
    <w:rsid w:val="00456705"/>
    <w:rsid w:val="00456C60"/>
    <w:rsid w:val="0045780C"/>
    <w:rsid w:val="00457B68"/>
    <w:rsid w:val="0046023F"/>
    <w:rsid w:val="00460472"/>
    <w:rsid w:val="00460D2C"/>
    <w:rsid w:val="00460D39"/>
    <w:rsid w:val="004632E1"/>
    <w:rsid w:val="00463A33"/>
    <w:rsid w:val="00463CFC"/>
    <w:rsid w:val="0046406E"/>
    <w:rsid w:val="004643AC"/>
    <w:rsid w:val="004652E6"/>
    <w:rsid w:val="00465DE3"/>
    <w:rsid w:val="0046739D"/>
    <w:rsid w:val="00467B3A"/>
    <w:rsid w:val="004703FB"/>
    <w:rsid w:val="004704AA"/>
    <w:rsid w:val="00470CFB"/>
    <w:rsid w:val="004718A5"/>
    <w:rsid w:val="00473049"/>
    <w:rsid w:val="00473D69"/>
    <w:rsid w:val="00474AFC"/>
    <w:rsid w:val="00474D3F"/>
    <w:rsid w:val="00475072"/>
    <w:rsid w:val="00475365"/>
    <w:rsid w:val="00475AF8"/>
    <w:rsid w:val="0047601C"/>
    <w:rsid w:val="00476021"/>
    <w:rsid w:val="004761D7"/>
    <w:rsid w:val="00476A67"/>
    <w:rsid w:val="00476CE6"/>
    <w:rsid w:val="00477926"/>
    <w:rsid w:val="0048046B"/>
    <w:rsid w:val="00480477"/>
    <w:rsid w:val="0048051F"/>
    <w:rsid w:val="00480D11"/>
    <w:rsid w:val="00480E6C"/>
    <w:rsid w:val="00481433"/>
    <w:rsid w:val="00481D76"/>
    <w:rsid w:val="00481E55"/>
    <w:rsid w:val="00481FC7"/>
    <w:rsid w:val="004822D5"/>
    <w:rsid w:val="00482685"/>
    <w:rsid w:val="00482DEB"/>
    <w:rsid w:val="004830F1"/>
    <w:rsid w:val="00485CCC"/>
    <w:rsid w:val="00485D1A"/>
    <w:rsid w:val="00486378"/>
    <w:rsid w:val="004863D4"/>
    <w:rsid w:val="00486B13"/>
    <w:rsid w:val="0048774E"/>
    <w:rsid w:val="0049059C"/>
    <w:rsid w:val="0049103A"/>
    <w:rsid w:val="00491094"/>
    <w:rsid w:val="00491C75"/>
    <w:rsid w:val="00491E28"/>
    <w:rsid w:val="00492670"/>
    <w:rsid w:val="004927B7"/>
    <w:rsid w:val="00492B1F"/>
    <w:rsid w:val="00492BDB"/>
    <w:rsid w:val="004934F1"/>
    <w:rsid w:val="00494412"/>
    <w:rsid w:val="004944F8"/>
    <w:rsid w:val="0049456F"/>
    <w:rsid w:val="00494866"/>
    <w:rsid w:val="00494A92"/>
    <w:rsid w:val="0049556B"/>
    <w:rsid w:val="0049625B"/>
    <w:rsid w:val="004966FA"/>
    <w:rsid w:val="00497269"/>
    <w:rsid w:val="004975F7"/>
    <w:rsid w:val="00497B80"/>
    <w:rsid w:val="004A0184"/>
    <w:rsid w:val="004A0350"/>
    <w:rsid w:val="004A0BB9"/>
    <w:rsid w:val="004A0E26"/>
    <w:rsid w:val="004A12F7"/>
    <w:rsid w:val="004A1671"/>
    <w:rsid w:val="004A31A4"/>
    <w:rsid w:val="004A33C4"/>
    <w:rsid w:val="004A3562"/>
    <w:rsid w:val="004A3BB2"/>
    <w:rsid w:val="004A3CB8"/>
    <w:rsid w:val="004A440C"/>
    <w:rsid w:val="004A44F7"/>
    <w:rsid w:val="004A477B"/>
    <w:rsid w:val="004A4919"/>
    <w:rsid w:val="004A6075"/>
    <w:rsid w:val="004A61A8"/>
    <w:rsid w:val="004A7020"/>
    <w:rsid w:val="004A706B"/>
    <w:rsid w:val="004A752B"/>
    <w:rsid w:val="004B0235"/>
    <w:rsid w:val="004B050C"/>
    <w:rsid w:val="004B0F56"/>
    <w:rsid w:val="004B39D6"/>
    <w:rsid w:val="004B3E86"/>
    <w:rsid w:val="004B56C9"/>
    <w:rsid w:val="004B5927"/>
    <w:rsid w:val="004B5C3C"/>
    <w:rsid w:val="004B6562"/>
    <w:rsid w:val="004B67C3"/>
    <w:rsid w:val="004B67D0"/>
    <w:rsid w:val="004B78A0"/>
    <w:rsid w:val="004C05FA"/>
    <w:rsid w:val="004C0E49"/>
    <w:rsid w:val="004C0F26"/>
    <w:rsid w:val="004C163F"/>
    <w:rsid w:val="004C20CB"/>
    <w:rsid w:val="004C22EB"/>
    <w:rsid w:val="004C27AA"/>
    <w:rsid w:val="004C2DF2"/>
    <w:rsid w:val="004C3058"/>
    <w:rsid w:val="004C377D"/>
    <w:rsid w:val="004C5F7A"/>
    <w:rsid w:val="004C6EE6"/>
    <w:rsid w:val="004C7AA8"/>
    <w:rsid w:val="004D0206"/>
    <w:rsid w:val="004D09BA"/>
    <w:rsid w:val="004D1018"/>
    <w:rsid w:val="004D2856"/>
    <w:rsid w:val="004D3C4B"/>
    <w:rsid w:val="004D3EA5"/>
    <w:rsid w:val="004D418D"/>
    <w:rsid w:val="004D7B71"/>
    <w:rsid w:val="004E053E"/>
    <w:rsid w:val="004E17BC"/>
    <w:rsid w:val="004E1A2C"/>
    <w:rsid w:val="004E1DD9"/>
    <w:rsid w:val="004E2406"/>
    <w:rsid w:val="004E2E09"/>
    <w:rsid w:val="004E342B"/>
    <w:rsid w:val="004E5E42"/>
    <w:rsid w:val="004E60B7"/>
    <w:rsid w:val="004E6258"/>
    <w:rsid w:val="004F0649"/>
    <w:rsid w:val="004F1658"/>
    <w:rsid w:val="004F166D"/>
    <w:rsid w:val="004F1EE7"/>
    <w:rsid w:val="004F2064"/>
    <w:rsid w:val="004F267D"/>
    <w:rsid w:val="004F2C0B"/>
    <w:rsid w:val="004F37C8"/>
    <w:rsid w:val="004F47AA"/>
    <w:rsid w:val="004F535A"/>
    <w:rsid w:val="004F5459"/>
    <w:rsid w:val="004F5C61"/>
    <w:rsid w:val="004F65D9"/>
    <w:rsid w:val="004F6749"/>
    <w:rsid w:val="00500B17"/>
    <w:rsid w:val="00501070"/>
    <w:rsid w:val="005011D4"/>
    <w:rsid w:val="005015D7"/>
    <w:rsid w:val="0050186D"/>
    <w:rsid w:val="00501ACA"/>
    <w:rsid w:val="00501B57"/>
    <w:rsid w:val="00501C96"/>
    <w:rsid w:val="00502542"/>
    <w:rsid w:val="005026B4"/>
    <w:rsid w:val="00502A0D"/>
    <w:rsid w:val="00502B81"/>
    <w:rsid w:val="00503493"/>
    <w:rsid w:val="00503CB6"/>
    <w:rsid w:val="005045FE"/>
    <w:rsid w:val="00507046"/>
    <w:rsid w:val="005071A4"/>
    <w:rsid w:val="00507490"/>
    <w:rsid w:val="00507700"/>
    <w:rsid w:val="00510A37"/>
    <w:rsid w:val="00510AF5"/>
    <w:rsid w:val="00511044"/>
    <w:rsid w:val="0051164A"/>
    <w:rsid w:val="00511EB1"/>
    <w:rsid w:val="00512AFC"/>
    <w:rsid w:val="00512BA3"/>
    <w:rsid w:val="00513B9B"/>
    <w:rsid w:val="00513CCD"/>
    <w:rsid w:val="00514CC9"/>
    <w:rsid w:val="00515198"/>
    <w:rsid w:val="00515389"/>
    <w:rsid w:val="00516DED"/>
    <w:rsid w:val="00517B1A"/>
    <w:rsid w:val="0052032E"/>
    <w:rsid w:val="00520983"/>
    <w:rsid w:val="005209D9"/>
    <w:rsid w:val="00522712"/>
    <w:rsid w:val="00522E98"/>
    <w:rsid w:val="00523694"/>
    <w:rsid w:val="00523E23"/>
    <w:rsid w:val="00524187"/>
    <w:rsid w:val="005242FC"/>
    <w:rsid w:val="0052473E"/>
    <w:rsid w:val="0052686C"/>
    <w:rsid w:val="005271CB"/>
    <w:rsid w:val="005277C5"/>
    <w:rsid w:val="005277DF"/>
    <w:rsid w:val="0053087B"/>
    <w:rsid w:val="00530CF5"/>
    <w:rsid w:val="005312A3"/>
    <w:rsid w:val="0053146F"/>
    <w:rsid w:val="00532625"/>
    <w:rsid w:val="0053266E"/>
    <w:rsid w:val="0053346F"/>
    <w:rsid w:val="00533BE2"/>
    <w:rsid w:val="005357AF"/>
    <w:rsid w:val="00536073"/>
    <w:rsid w:val="0053612F"/>
    <w:rsid w:val="00536904"/>
    <w:rsid w:val="0053775A"/>
    <w:rsid w:val="00541967"/>
    <w:rsid w:val="0054201B"/>
    <w:rsid w:val="005433DE"/>
    <w:rsid w:val="00543794"/>
    <w:rsid w:val="00543F60"/>
    <w:rsid w:val="00544691"/>
    <w:rsid w:val="0054535C"/>
    <w:rsid w:val="0054599E"/>
    <w:rsid w:val="00545DD1"/>
    <w:rsid w:val="00546D21"/>
    <w:rsid w:val="00546F22"/>
    <w:rsid w:val="005472AC"/>
    <w:rsid w:val="00550025"/>
    <w:rsid w:val="00550152"/>
    <w:rsid w:val="00550EA2"/>
    <w:rsid w:val="00551257"/>
    <w:rsid w:val="005512A7"/>
    <w:rsid w:val="0055146E"/>
    <w:rsid w:val="005521EC"/>
    <w:rsid w:val="00552589"/>
    <w:rsid w:val="00552C4B"/>
    <w:rsid w:val="00552D9D"/>
    <w:rsid w:val="00552DEC"/>
    <w:rsid w:val="00553082"/>
    <w:rsid w:val="00553445"/>
    <w:rsid w:val="00554E2A"/>
    <w:rsid w:val="005558BF"/>
    <w:rsid w:val="00556D6B"/>
    <w:rsid w:val="0055748C"/>
    <w:rsid w:val="00557766"/>
    <w:rsid w:val="00557E36"/>
    <w:rsid w:val="0056071C"/>
    <w:rsid w:val="00560E3A"/>
    <w:rsid w:val="005616DD"/>
    <w:rsid w:val="0056187C"/>
    <w:rsid w:val="00562619"/>
    <w:rsid w:val="005640CD"/>
    <w:rsid w:val="00564124"/>
    <w:rsid w:val="0056436F"/>
    <w:rsid w:val="00564740"/>
    <w:rsid w:val="005647C1"/>
    <w:rsid w:val="00564D7F"/>
    <w:rsid w:val="00565074"/>
    <w:rsid w:val="005652FD"/>
    <w:rsid w:val="00565637"/>
    <w:rsid w:val="00565664"/>
    <w:rsid w:val="00565D4B"/>
    <w:rsid w:val="00567FDC"/>
    <w:rsid w:val="005708FF"/>
    <w:rsid w:val="00571799"/>
    <w:rsid w:val="005719B7"/>
    <w:rsid w:val="005723EB"/>
    <w:rsid w:val="0057254C"/>
    <w:rsid w:val="005727D1"/>
    <w:rsid w:val="0057287E"/>
    <w:rsid w:val="0057299F"/>
    <w:rsid w:val="00572E8E"/>
    <w:rsid w:val="00572FCA"/>
    <w:rsid w:val="005733B8"/>
    <w:rsid w:val="00575977"/>
    <w:rsid w:val="00576CDF"/>
    <w:rsid w:val="0057782C"/>
    <w:rsid w:val="005779D8"/>
    <w:rsid w:val="00577EA3"/>
    <w:rsid w:val="005803A0"/>
    <w:rsid w:val="00580D96"/>
    <w:rsid w:val="00583259"/>
    <w:rsid w:val="00583BB9"/>
    <w:rsid w:val="00583C85"/>
    <w:rsid w:val="005840BD"/>
    <w:rsid w:val="005846DB"/>
    <w:rsid w:val="00584E73"/>
    <w:rsid w:val="00585C57"/>
    <w:rsid w:val="00585ECA"/>
    <w:rsid w:val="00586BDD"/>
    <w:rsid w:val="00586F25"/>
    <w:rsid w:val="00586F8E"/>
    <w:rsid w:val="00587FD9"/>
    <w:rsid w:val="00590944"/>
    <w:rsid w:val="00591A5A"/>
    <w:rsid w:val="00592EDB"/>
    <w:rsid w:val="00594AA8"/>
    <w:rsid w:val="00595268"/>
    <w:rsid w:val="00595343"/>
    <w:rsid w:val="00595464"/>
    <w:rsid w:val="0059714E"/>
    <w:rsid w:val="00597484"/>
    <w:rsid w:val="00597786"/>
    <w:rsid w:val="005978DB"/>
    <w:rsid w:val="005A0046"/>
    <w:rsid w:val="005A0E95"/>
    <w:rsid w:val="005A0FCC"/>
    <w:rsid w:val="005A1398"/>
    <w:rsid w:val="005A1BE4"/>
    <w:rsid w:val="005A23DF"/>
    <w:rsid w:val="005A27CD"/>
    <w:rsid w:val="005A3531"/>
    <w:rsid w:val="005A3742"/>
    <w:rsid w:val="005A3FF0"/>
    <w:rsid w:val="005A4F0D"/>
    <w:rsid w:val="005A54D3"/>
    <w:rsid w:val="005A5866"/>
    <w:rsid w:val="005A59A4"/>
    <w:rsid w:val="005A7123"/>
    <w:rsid w:val="005B0446"/>
    <w:rsid w:val="005B04B7"/>
    <w:rsid w:val="005B0E2F"/>
    <w:rsid w:val="005B1BF1"/>
    <w:rsid w:val="005B33C2"/>
    <w:rsid w:val="005B3836"/>
    <w:rsid w:val="005B38C9"/>
    <w:rsid w:val="005B6714"/>
    <w:rsid w:val="005B715C"/>
    <w:rsid w:val="005B7283"/>
    <w:rsid w:val="005C0100"/>
    <w:rsid w:val="005C0B42"/>
    <w:rsid w:val="005C145B"/>
    <w:rsid w:val="005C1DF3"/>
    <w:rsid w:val="005C28A7"/>
    <w:rsid w:val="005C34D2"/>
    <w:rsid w:val="005C38AF"/>
    <w:rsid w:val="005C40D4"/>
    <w:rsid w:val="005C44F5"/>
    <w:rsid w:val="005C4F4B"/>
    <w:rsid w:val="005C5EB8"/>
    <w:rsid w:val="005C6B4D"/>
    <w:rsid w:val="005D0070"/>
    <w:rsid w:val="005D12D8"/>
    <w:rsid w:val="005D1A8F"/>
    <w:rsid w:val="005D2879"/>
    <w:rsid w:val="005D3671"/>
    <w:rsid w:val="005D375F"/>
    <w:rsid w:val="005D3B76"/>
    <w:rsid w:val="005D3D5C"/>
    <w:rsid w:val="005D5A01"/>
    <w:rsid w:val="005D5A14"/>
    <w:rsid w:val="005D62B0"/>
    <w:rsid w:val="005D66B0"/>
    <w:rsid w:val="005D73D5"/>
    <w:rsid w:val="005D7F76"/>
    <w:rsid w:val="005E0FD3"/>
    <w:rsid w:val="005E1B0A"/>
    <w:rsid w:val="005E2985"/>
    <w:rsid w:val="005E31C1"/>
    <w:rsid w:val="005E4D96"/>
    <w:rsid w:val="005E5FF4"/>
    <w:rsid w:val="005E74FD"/>
    <w:rsid w:val="005F03FD"/>
    <w:rsid w:val="005F138E"/>
    <w:rsid w:val="005F1843"/>
    <w:rsid w:val="005F1867"/>
    <w:rsid w:val="005F1B62"/>
    <w:rsid w:val="005F1BFD"/>
    <w:rsid w:val="005F3C8A"/>
    <w:rsid w:val="005F43D9"/>
    <w:rsid w:val="005F44BE"/>
    <w:rsid w:val="005F4DB8"/>
    <w:rsid w:val="005F578D"/>
    <w:rsid w:val="005F5A23"/>
    <w:rsid w:val="005F66BA"/>
    <w:rsid w:val="005F7256"/>
    <w:rsid w:val="005F72E6"/>
    <w:rsid w:val="005F73DF"/>
    <w:rsid w:val="005F7950"/>
    <w:rsid w:val="005F7BC3"/>
    <w:rsid w:val="00600BFA"/>
    <w:rsid w:val="00600E52"/>
    <w:rsid w:val="00602498"/>
    <w:rsid w:val="006024B5"/>
    <w:rsid w:val="0060338B"/>
    <w:rsid w:val="00603832"/>
    <w:rsid w:val="006040FB"/>
    <w:rsid w:val="00604822"/>
    <w:rsid w:val="00604A45"/>
    <w:rsid w:val="00605E3E"/>
    <w:rsid w:val="00606349"/>
    <w:rsid w:val="00607B01"/>
    <w:rsid w:val="00610604"/>
    <w:rsid w:val="006124D6"/>
    <w:rsid w:val="00612700"/>
    <w:rsid w:val="006129E5"/>
    <w:rsid w:val="0061371E"/>
    <w:rsid w:val="00613A41"/>
    <w:rsid w:val="006144D6"/>
    <w:rsid w:val="0061479E"/>
    <w:rsid w:val="00614882"/>
    <w:rsid w:val="00615AFA"/>
    <w:rsid w:val="00615EAD"/>
    <w:rsid w:val="00616542"/>
    <w:rsid w:val="00616C61"/>
    <w:rsid w:val="006200B1"/>
    <w:rsid w:val="00620D4C"/>
    <w:rsid w:val="006217D7"/>
    <w:rsid w:val="006221CB"/>
    <w:rsid w:val="006221E5"/>
    <w:rsid w:val="00622D1D"/>
    <w:rsid w:val="00622F7C"/>
    <w:rsid w:val="0062338C"/>
    <w:rsid w:val="0062356A"/>
    <w:rsid w:val="006256FE"/>
    <w:rsid w:val="0062599A"/>
    <w:rsid w:val="00626962"/>
    <w:rsid w:val="00626CF7"/>
    <w:rsid w:val="006275C2"/>
    <w:rsid w:val="00627F02"/>
    <w:rsid w:val="0063065D"/>
    <w:rsid w:val="00630F91"/>
    <w:rsid w:val="00631FF2"/>
    <w:rsid w:val="006320E2"/>
    <w:rsid w:val="006321A2"/>
    <w:rsid w:val="0063294F"/>
    <w:rsid w:val="00632E14"/>
    <w:rsid w:val="006330D8"/>
    <w:rsid w:val="00633303"/>
    <w:rsid w:val="00634059"/>
    <w:rsid w:val="00634196"/>
    <w:rsid w:val="006345EE"/>
    <w:rsid w:val="006352BC"/>
    <w:rsid w:val="00635776"/>
    <w:rsid w:val="00635BC6"/>
    <w:rsid w:val="006363C5"/>
    <w:rsid w:val="00636B72"/>
    <w:rsid w:val="00636E56"/>
    <w:rsid w:val="00636FE9"/>
    <w:rsid w:val="0063750C"/>
    <w:rsid w:val="006378B7"/>
    <w:rsid w:val="00640035"/>
    <w:rsid w:val="00641028"/>
    <w:rsid w:val="00642406"/>
    <w:rsid w:val="00642516"/>
    <w:rsid w:val="006442A1"/>
    <w:rsid w:val="00644633"/>
    <w:rsid w:val="006449F2"/>
    <w:rsid w:val="00645273"/>
    <w:rsid w:val="00645A9E"/>
    <w:rsid w:val="00645BBD"/>
    <w:rsid w:val="00645CEE"/>
    <w:rsid w:val="006472EE"/>
    <w:rsid w:val="00647438"/>
    <w:rsid w:val="00650CEF"/>
    <w:rsid w:val="00650E9D"/>
    <w:rsid w:val="00650EA0"/>
    <w:rsid w:val="00650FE4"/>
    <w:rsid w:val="00651D07"/>
    <w:rsid w:val="006523D2"/>
    <w:rsid w:val="00652EC5"/>
    <w:rsid w:val="006542A5"/>
    <w:rsid w:val="006575A8"/>
    <w:rsid w:val="00657AB8"/>
    <w:rsid w:val="00657FF6"/>
    <w:rsid w:val="006609FA"/>
    <w:rsid w:val="006610E5"/>
    <w:rsid w:val="00661A01"/>
    <w:rsid w:val="006646BC"/>
    <w:rsid w:val="006648B9"/>
    <w:rsid w:val="00665C38"/>
    <w:rsid w:val="00665E54"/>
    <w:rsid w:val="00665FB8"/>
    <w:rsid w:val="00666155"/>
    <w:rsid w:val="00666889"/>
    <w:rsid w:val="00666A71"/>
    <w:rsid w:val="00666AB1"/>
    <w:rsid w:val="00666B3E"/>
    <w:rsid w:val="00667B91"/>
    <w:rsid w:val="00667BF8"/>
    <w:rsid w:val="00667D59"/>
    <w:rsid w:val="006712D6"/>
    <w:rsid w:val="00672551"/>
    <w:rsid w:val="00674355"/>
    <w:rsid w:val="00674441"/>
    <w:rsid w:val="006753C3"/>
    <w:rsid w:val="0067581C"/>
    <w:rsid w:val="00675AD0"/>
    <w:rsid w:val="00675E10"/>
    <w:rsid w:val="00676E50"/>
    <w:rsid w:val="00680436"/>
    <w:rsid w:val="006809BA"/>
    <w:rsid w:val="00680A8C"/>
    <w:rsid w:val="006821B5"/>
    <w:rsid w:val="006828FB"/>
    <w:rsid w:val="00684CDA"/>
    <w:rsid w:val="00686211"/>
    <w:rsid w:val="00686A18"/>
    <w:rsid w:val="00687ACC"/>
    <w:rsid w:val="00690003"/>
    <w:rsid w:val="006901C9"/>
    <w:rsid w:val="00691C0D"/>
    <w:rsid w:val="00692BF6"/>
    <w:rsid w:val="006941C5"/>
    <w:rsid w:val="0069483C"/>
    <w:rsid w:val="006952E7"/>
    <w:rsid w:val="00695512"/>
    <w:rsid w:val="00696582"/>
    <w:rsid w:val="006966A4"/>
    <w:rsid w:val="0069731A"/>
    <w:rsid w:val="00697A33"/>
    <w:rsid w:val="00697D64"/>
    <w:rsid w:val="006A099C"/>
    <w:rsid w:val="006A0DA0"/>
    <w:rsid w:val="006A1596"/>
    <w:rsid w:val="006A21E9"/>
    <w:rsid w:val="006A2758"/>
    <w:rsid w:val="006A3EB4"/>
    <w:rsid w:val="006A462F"/>
    <w:rsid w:val="006A47F4"/>
    <w:rsid w:val="006A5396"/>
    <w:rsid w:val="006A5BE5"/>
    <w:rsid w:val="006A736E"/>
    <w:rsid w:val="006B09D2"/>
    <w:rsid w:val="006B0DBD"/>
    <w:rsid w:val="006B10B5"/>
    <w:rsid w:val="006B1E8F"/>
    <w:rsid w:val="006B2A90"/>
    <w:rsid w:val="006B3E0C"/>
    <w:rsid w:val="006B4B9E"/>
    <w:rsid w:val="006B5B6C"/>
    <w:rsid w:val="006B5CBB"/>
    <w:rsid w:val="006B6121"/>
    <w:rsid w:val="006B622E"/>
    <w:rsid w:val="006B7482"/>
    <w:rsid w:val="006B7D13"/>
    <w:rsid w:val="006B7F06"/>
    <w:rsid w:val="006B7FED"/>
    <w:rsid w:val="006C02CF"/>
    <w:rsid w:val="006C0698"/>
    <w:rsid w:val="006C0CB1"/>
    <w:rsid w:val="006C1671"/>
    <w:rsid w:val="006C1A02"/>
    <w:rsid w:val="006C1E13"/>
    <w:rsid w:val="006C1E4F"/>
    <w:rsid w:val="006C3450"/>
    <w:rsid w:val="006C363B"/>
    <w:rsid w:val="006C3725"/>
    <w:rsid w:val="006C443C"/>
    <w:rsid w:val="006C492C"/>
    <w:rsid w:val="006C4DBD"/>
    <w:rsid w:val="006C507B"/>
    <w:rsid w:val="006C518C"/>
    <w:rsid w:val="006D07C5"/>
    <w:rsid w:val="006D13CA"/>
    <w:rsid w:val="006D17C6"/>
    <w:rsid w:val="006D238A"/>
    <w:rsid w:val="006D50D8"/>
    <w:rsid w:val="006D5636"/>
    <w:rsid w:val="006D63B0"/>
    <w:rsid w:val="006D7A4E"/>
    <w:rsid w:val="006E0388"/>
    <w:rsid w:val="006E054A"/>
    <w:rsid w:val="006E0D39"/>
    <w:rsid w:val="006E0EDC"/>
    <w:rsid w:val="006E13F7"/>
    <w:rsid w:val="006E1F04"/>
    <w:rsid w:val="006E26BE"/>
    <w:rsid w:val="006E2E59"/>
    <w:rsid w:val="006E3265"/>
    <w:rsid w:val="006E49D6"/>
    <w:rsid w:val="006E4FCA"/>
    <w:rsid w:val="006F0114"/>
    <w:rsid w:val="006F0F96"/>
    <w:rsid w:val="006F1741"/>
    <w:rsid w:val="006F2864"/>
    <w:rsid w:val="006F2DF4"/>
    <w:rsid w:val="006F5CE9"/>
    <w:rsid w:val="006F5CED"/>
    <w:rsid w:val="006F663B"/>
    <w:rsid w:val="006F75FC"/>
    <w:rsid w:val="006F7889"/>
    <w:rsid w:val="0070109A"/>
    <w:rsid w:val="007024DC"/>
    <w:rsid w:val="007027F5"/>
    <w:rsid w:val="0070360E"/>
    <w:rsid w:val="007036B1"/>
    <w:rsid w:val="007040BD"/>
    <w:rsid w:val="00705415"/>
    <w:rsid w:val="007056ED"/>
    <w:rsid w:val="00705A51"/>
    <w:rsid w:val="007110D8"/>
    <w:rsid w:val="00711797"/>
    <w:rsid w:val="007117E3"/>
    <w:rsid w:val="00711DC8"/>
    <w:rsid w:val="00711E30"/>
    <w:rsid w:val="00712D05"/>
    <w:rsid w:val="00712F96"/>
    <w:rsid w:val="007137B0"/>
    <w:rsid w:val="007141AB"/>
    <w:rsid w:val="00714FB6"/>
    <w:rsid w:val="007150FC"/>
    <w:rsid w:val="00715A5A"/>
    <w:rsid w:val="00715E79"/>
    <w:rsid w:val="007163FA"/>
    <w:rsid w:val="00716A9C"/>
    <w:rsid w:val="007175CD"/>
    <w:rsid w:val="00717C77"/>
    <w:rsid w:val="00721699"/>
    <w:rsid w:val="00721768"/>
    <w:rsid w:val="00723A49"/>
    <w:rsid w:val="00724D3B"/>
    <w:rsid w:val="00725148"/>
    <w:rsid w:val="00725F08"/>
    <w:rsid w:val="00732334"/>
    <w:rsid w:val="0073239C"/>
    <w:rsid w:val="00732671"/>
    <w:rsid w:val="0073326A"/>
    <w:rsid w:val="007336EA"/>
    <w:rsid w:val="00733ADA"/>
    <w:rsid w:val="00734A51"/>
    <w:rsid w:val="00734B3E"/>
    <w:rsid w:val="00734F74"/>
    <w:rsid w:val="0073539E"/>
    <w:rsid w:val="00735939"/>
    <w:rsid w:val="00735E43"/>
    <w:rsid w:val="00735FC7"/>
    <w:rsid w:val="00737221"/>
    <w:rsid w:val="00737ED1"/>
    <w:rsid w:val="007401CE"/>
    <w:rsid w:val="007402DD"/>
    <w:rsid w:val="007404B8"/>
    <w:rsid w:val="00740EC6"/>
    <w:rsid w:val="00741FE1"/>
    <w:rsid w:val="00743095"/>
    <w:rsid w:val="007443CD"/>
    <w:rsid w:val="00744448"/>
    <w:rsid w:val="007450AC"/>
    <w:rsid w:val="00745EE8"/>
    <w:rsid w:val="00746A69"/>
    <w:rsid w:val="00746E28"/>
    <w:rsid w:val="00747277"/>
    <w:rsid w:val="00747827"/>
    <w:rsid w:val="00747C5A"/>
    <w:rsid w:val="007503E2"/>
    <w:rsid w:val="00750B12"/>
    <w:rsid w:val="00750C65"/>
    <w:rsid w:val="007527DE"/>
    <w:rsid w:val="00752B52"/>
    <w:rsid w:val="00752EE7"/>
    <w:rsid w:val="00754A55"/>
    <w:rsid w:val="007553C3"/>
    <w:rsid w:val="00756590"/>
    <w:rsid w:val="00757626"/>
    <w:rsid w:val="007602DC"/>
    <w:rsid w:val="007613B1"/>
    <w:rsid w:val="0076172F"/>
    <w:rsid w:val="00761843"/>
    <w:rsid w:val="007625C9"/>
    <w:rsid w:val="007637EB"/>
    <w:rsid w:val="00763BD6"/>
    <w:rsid w:val="00763CC0"/>
    <w:rsid w:val="0076432B"/>
    <w:rsid w:val="00764DEA"/>
    <w:rsid w:val="00764FC2"/>
    <w:rsid w:val="00765389"/>
    <w:rsid w:val="007654E6"/>
    <w:rsid w:val="00765585"/>
    <w:rsid w:val="00765998"/>
    <w:rsid w:val="00767867"/>
    <w:rsid w:val="007706BC"/>
    <w:rsid w:val="0077119E"/>
    <w:rsid w:val="00771332"/>
    <w:rsid w:val="0077392B"/>
    <w:rsid w:val="00775436"/>
    <w:rsid w:val="00776958"/>
    <w:rsid w:val="007773C5"/>
    <w:rsid w:val="00780AE3"/>
    <w:rsid w:val="00781893"/>
    <w:rsid w:val="00782282"/>
    <w:rsid w:val="00782AB7"/>
    <w:rsid w:val="00782CAA"/>
    <w:rsid w:val="007831B5"/>
    <w:rsid w:val="00783315"/>
    <w:rsid w:val="0078391A"/>
    <w:rsid w:val="00783A5E"/>
    <w:rsid w:val="00784342"/>
    <w:rsid w:val="007844EE"/>
    <w:rsid w:val="00784C4B"/>
    <w:rsid w:val="0078545A"/>
    <w:rsid w:val="00785C50"/>
    <w:rsid w:val="00785E84"/>
    <w:rsid w:val="00786120"/>
    <w:rsid w:val="00786220"/>
    <w:rsid w:val="007863F7"/>
    <w:rsid w:val="00787305"/>
    <w:rsid w:val="00790128"/>
    <w:rsid w:val="0079069A"/>
    <w:rsid w:val="00790940"/>
    <w:rsid w:val="00791A2D"/>
    <w:rsid w:val="00792CA7"/>
    <w:rsid w:val="00793207"/>
    <w:rsid w:val="0079399B"/>
    <w:rsid w:val="00793E48"/>
    <w:rsid w:val="007943E4"/>
    <w:rsid w:val="007958D9"/>
    <w:rsid w:val="00797053"/>
    <w:rsid w:val="007972EA"/>
    <w:rsid w:val="00797A86"/>
    <w:rsid w:val="00797B93"/>
    <w:rsid w:val="00797FD9"/>
    <w:rsid w:val="007A06E7"/>
    <w:rsid w:val="007A219C"/>
    <w:rsid w:val="007A259A"/>
    <w:rsid w:val="007A2AD3"/>
    <w:rsid w:val="007A3DCD"/>
    <w:rsid w:val="007A3EBA"/>
    <w:rsid w:val="007A44D0"/>
    <w:rsid w:val="007A5B29"/>
    <w:rsid w:val="007A5B44"/>
    <w:rsid w:val="007A686F"/>
    <w:rsid w:val="007A68E7"/>
    <w:rsid w:val="007A7CFB"/>
    <w:rsid w:val="007A7E89"/>
    <w:rsid w:val="007B0838"/>
    <w:rsid w:val="007B095A"/>
    <w:rsid w:val="007B095C"/>
    <w:rsid w:val="007B0D1E"/>
    <w:rsid w:val="007B0F16"/>
    <w:rsid w:val="007B15FF"/>
    <w:rsid w:val="007B3FEB"/>
    <w:rsid w:val="007B44CD"/>
    <w:rsid w:val="007B52F1"/>
    <w:rsid w:val="007B53A7"/>
    <w:rsid w:val="007B5AB0"/>
    <w:rsid w:val="007B6720"/>
    <w:rsid w:val="007B6DF9"/>
    <w:rsid w:val="007B74B7"/>
    <w:rsid w:val="007B798A"/>
    <w:rsid w:val="007B7E1D"/>
    <w:rsid w:val="007C05B4"/>
    <w:rsid w:val="007C0E4B"/>
    <w:rsid w:val="007C1875"/>
    <w:rsid w:val="007C19D0"/>
    <w:rsid w:val="007C1D0A"/>
    <w:rsid w:val="007C22CC"/>
    <w:rsid w:val="007C22D9"/>
    <w:rsid w:val="007C2B10"/>
    <w:rsid w:val="007C31FB"/>
    <w:rsid w:val="007C3567"/>
    <w:rsid w:val="007C40DC"/>
    <w:rsid w:val="007C43A7"/>
    <w:rsid w:val="007C44CD"/>
    <w:rsid w:val="007C4996"/>
    <w:rsid w:val="007C4F8B"/>
    <w:rsid w:val="007C58FD"/>
    <w:rsid w:val="007C66F8"/>
    <w:rsid w:val="007C6D7C"/>
    <w:rsid w:val="007C728A"/>
    <w:rsid w:val="007C752A"/>
    <w:rsid w:val="007C77A2"/>
    <w:rsid w:val="007C7D36"/>
    <w:rsid w:val="007C7EF5"/>
    <w:rsid w:val="007D0A6B"/>
    <w:rsid w:val="007D34FD"/>
    <w:rsid w:val="007D3CB6"/>
    <w:rsid w:val="007D3ED6"/>
    <w:rsid w:val="007D4BEA"/>
    <w:rsid w:val="007D54D5"/>
    <w:rsid w:val="007D557A"/>
    <w:rsid w:val="007D5931"/>
    <w:rsid w:val="007D63F0"/>
    <w:rsid w:val="007D79E1"/>
    <w:rsid w:val="007E024E"/>
    <w:rsid w:val="007E0492"/>
    <w:rsid w:val="007E33F7"/>
    <w:rsid w:val="007E42F9"/>
    <w:rsid w:val="007E4745"/>
    <w:rsid w:val="007E4C40"/>
    <w:rsid w:val="007E4DC5"/>
    <w:rsid w:val="007E4E7E"/>
    <w:rsid w:val="007E4EB2"/>
    <w:rsid w:val="007E5339"/>
    <w:rsid w:val="007E5BB2"/>
    <w:rsid w:val="007E5F23"/>
    <w:rsid w:val="007E60E8"/>
    <w:rsid w:val="007E683B"/>
    <w:rsid w:val="007E6976"/>
    <w:rsid w:val="007E6A9F"/>
    <w:rsid w:val="007E7FE6"/>
    <w:rsid w:val="007F02B7"/>
    <w:rsid w:val="007F18DC"/>
    <w:rsid w:val="007F271B"/>
    <w:rsid w:val="007F31BD"/>
    <w:rsid w:val="007F3A75"/>
    <w:rsid w:val="007F4780"/>
    <w:rsid w:val="007F57FD"/>
    <w:rsid w:val="007F5B71"/>
    <w:rsid w:val="007F6385"/>
    <w:rsid w:val="007F6738"/>
    <w:rsid w:val="007F6A75"/>
    <w:rsid w:val="007F70ED"/>
    <w:rsid w:val="007F7DE0"/>
    <w:rsid w:val="0080097F"/>
    <w:rsid w:val="00800F49"/>
    <w:rsid w:val="008015DD"/>
    <w:rsid w:val="00801621"/>
    <w:rsid w:val="00801A6E"/>
    <w:rsid w:val="00801EA9"/>
    <w:rsid w:val="00801F40"/>
    <w:rsid w:val="008022FA"/>
    <w:rsid w:val="008023BD"/>
    <w:rsid w:val="00802475"/>
    <w:rsid w:val="0080274C"/>
    <w:rsid w:val="00802938"/>
    <w:rsid w:val="00802AAA"/>
    <w:rsid w:val="008030D0"/>
    <w:rsid w:val="00803748"/>
    <w:rsid w:val="008046CC"/>
    <w:rsid w:val="00804D2E"/>
    <w:rsid w:val="0080603D"/>
    <w:rsid w:val="0080702B"/>
    <w:rsid w:val="0081036A"/>
    <w:rsid w:val="00810CCC"/>
    <w:rsid w:val="008116E7"/>
    <w:rsid w:val="008123E5"/>
    <w:rsid w:val="008126B8"/>
    <w:rsid w:val="00813116"/>
    <w:rsid w:val="008132F8"/>
    <w:rsid w:val="00813404"/>
    <w:rsid w:val="00814151"/>
    <w:rsid w:val="00814B22"/>
    <w:rsid w:val="00814EED"/>
    <w:rsid w:val="00815153"/>
    <w:rsid w:val="0081526E"/>
    <w:rsid w:val="008156BF"/>
    <w:rsid w:val="00815881"/>
    <w:rsid w:val="00815B81"/>
    <w:rsid w:val="00816AF0"/>
    <w:rsid w:val="00817981"/>
    <w:rsid w:val="008200CF"/>
    <w:rsid w:val="00820203"/>
    <w:rsid w:val="00820530"/>
    <w:rsid w:val="00821401"/>
    <w:rsid w:val="00821503"/>
    <w:rsid w:val="00822D89"/>
    <w:rsid w:val="00823311"/>
    <w:rsid w:val="008236AD"/>
    <w:rsid w:val="0082371E"/>
    <w:rsid w:val="0082420D"/>
    <w:rsid w:val="00824EF0"/>
    <w:rsid w:val="008254DB"/>
    <w:rsid w:val="0082603A"/>
    <w:rsid w:val="008263AE"/>
    <w:rsid w:val="00826AD6"/>
    <w:rsid w:val="00827CD2"/>
    <w:rsid w:val="008302B6"/>
    <w:rsid w:val="00830D5B"/>
    <w:rsid w:val="00830DEB"/>
    <w:rsid w:val="00832577"/>
    <w:rsid w:val="008329FB"/>
    <w:rsid w:val="00832C51"/>
    <w:rsid w:val="00833274"/>
    <w:rsid w:val="008337E5"/>
    <w:rsid w:val="008339CD"/>
    <w:rsid w:val="00833B84"/>
    <w:rsid w:val="00834A9A"/>
    <w:rsid w:val="00835B2C"/>
    <w:rsid w:val="00835EF6"/>
    <w:rsid w:val="00835F3F"/>
    <w:rsid w:val="00836870"/>
    <w:rsid w:val="008369AA"/>
    <w:rsid w:val="00836F61"/>
    <w:rsid w:val="00837919"/>
    <w:rsid w:val="00837CCF"/>
    <w:rsid w:val="00841307"/>
    <w:rsid w:val="00841C3D"/>
    <w:rsid w:val="00842ECC"/>
    <w:rsid w:val="00842EE8"/>
    <w:rsid w:val="008430A0"/>
    <w:rsid w:val="00843345"/>
    <w:rsid w:val="00843D36"/>
    <w:rsid w:val="00843F50"/>
    <w:rsid w:val="00843FA8"/>
    <w:rsid w:val="00844AC7"/>
    <w:rsid w:val="00845440"/>
    <w:rsid w:val="00845B03"/>
    <w:rsid w:val="00845F9F"/>
    <w:rsid w:val="00846809"/>
    <w:rsid w:val="00846E06"/>
    <w:rsid w:val="00852130"/>
    <w:rsid w:val="0085252C"/>
    <w:rsid w:val="00853BD7"/>
    <w:rsid w:val="00853F56"/>
    <w:rsid w:val="0085475E"/>
    <w:rsid w:val="00854AA3"/>
    <w:rsid w:val="008551C7"/>
    <w:rsid w:val="00855AA9"/>
    <w:rsid w:val="00855B30"/>
    <w:rsid w:val="0085628B"/>
    <w:rsid w:val="008565E7"/>
    <w:rsid w:val="008615E4"/>
    <w:rsid w:val="00862CDB"/>
    <w:rsid w:val="00863791"/>
    <w:rsid w:val="00865056"/>
    <w:rsid w:val="00865915"/>
    <w:rsid w:val="00866D94"/>
    <w:rsid w:val="00867968"/>
    <w:rsid w:val="0087079F"/>
    <w:rsid w:val="00870976"/>
    <w:rsid w:val="00871FA3"/>
    <w:rsid w:val="0087293E"/>
    <w:rsid w:val="00873041"/>
    <w:rsid w:val="00873876"/>
    <w:rsid w:val="00873C7B"/>
    <w:rsid w:val="00874111"/>
    <w:rsid w:val="00874560"/>
    <w:rsid w:val="008745D0"/>
    <w:rsid w:val="00875397"/>
    <w:rsid w:val="00875481"/>
    <w:rsid w:val="0087611C"/>
    <w:rsid w:val="0087652F"/>
    <w:rsid w:val="00876599"/>
    <w:rsid w:val="00876C79"/>
    <w:rsid w:val="00881F0D"/>
    <w:rsid w:val="008827FC"/>
    <w:rsid w:val="00883E10"/>
    <w:rsid w:val="0088484E"/>
    <w:rsid w:val="008848EF"/>
    <w:rsid w:val="0088498F"/>
    <w:rsid w:val="00884FB9"/>
    <w:rsid w:val="008858DC"/>
    <w:rsid w:val="008864AD"/>
    <w:rsid w:val="008869AF"/>
    <w:rsid w:val="00886D3A"/>
    <w:rsid w:val="0089028D"/>
    <w:rsid w:val="008902F8"/>
    <w:rsid w:val="0089294F"/>
    <w:rsid w:val="00892D3B"/>
    <w:rsid w:val="00892E56"/>
    <w:rsid w:val="0089341D"/>
    <w:rsid w:val="00893EBD"/>
    <w:rsid w:val="0089432F"/>
    <w:rsid w:val="00895696"/>
    <w:rsid w:val="00895D6D"/>
    <w:rsid w:val="0089691C"/>
    <w:rsid w:val="00896B96"/>
    <w:rsid w:val="00896BD7"/>
    <w:rsid w:val="0089779A"/>
    <w:rsid w:val="008A0442"/>
    <w:rsid w:val="008A05A8"/>
    <w:rsid w:val="008A169F"/>
    <w:rsid w:val="008A187A"/>
    <w:rsid w:val="008A1B0A"/>
    <w:rsid w:val="008A1C13"/>
    <w:rsid w:val="008A212B"/>
    <w:rsid w:val="008A2238"/>
    <w:rsid w:val="008A32CF"/>
    <w:rsid w:val="008A3CA5"/>
    <w:rsid w:val="008A3D5D"/>
    <w:rsid w:val="008A3F6D"/>
    <w:rsid w:val="008A43FF"/>
    <w:rsid w:val="008A5B8D"/>
    <w:rsid w:val="008A6030"/>
    <w:rsid w:val="008A75C2"/>
    <w:rsid w:val="008B00FC"/>
    <w:rsid w:val="008B0259"/>
    <w:rsid w:val="008B028A"/>
    <w:rsid w:val="008B0E6C"/>
    <w:rsid w:val="008B222F"/>
    <w:rsid w:val="008B2AEF"/>
    <w:rsid w:val="008B33BB"/>
    <w:rsid w:val="008B3B36"/>
    <w:rsid w:val="008B44D7"/>
    <w:rsid w:val="008B484C"/>
    <w:rsid w:val="008B493B"/>
    <w:rsid w:val="008B5B05"/>
    <w:rsid w:val="008B6C8D"/>
    <w:rsid w:val="008B79AD"/>
    <w:rsid w:val="008B7AD8"/>
    <w:rsid w:val="008B7D9F"/>
    <w:rsid w:val="008C0BF5"/>
    <w:rsid w:val="008C0D2A"/>
    <w:rsid w:val="008C1009"/>
    <w:rsid w:val="008C11B2"/>
    <w:rsid w:val="008C1BB9"/>
    <w:rsid w:val="008C299E"/>
    <w:rsid w:val="008C3CC7"/>
    <w:rsid w:val="008C3E99"/>
    <w:rsid w:val="008C55D0"/>
    <w:rsid w:val="008C5687"/>
    <w:rsid w:val="008C5EA1"/>
    <w:rsid w:val="008C63A0"/>
    <w:rsid w:val="008C726E"/>
    <w:rsid w:val="008D011F"/>
    <w:rsid w:val="008D1A7D"/>
    <w:rsid w:val="008D1D3F"/>
    <w:rsid w:val="008D2037"/>
    <w:rsid w:val="008D2A0C"/>
    <w:rsid w:val="008D319D"/>
    <w:rsid w:val="008D3503"/>
    <w:rsid w:val="008D38FC"/>
    <w:rsid w:val="008D3FA0"/>
    <w:rsid w:val="008D451B"/>
    <w:rsid w:val="008D484E"/>
    <w:rsid w:val="008D4E3A"/>
    <w:rsid w:val="008D55C7"/>
    <w:rsid w:val="008D5949"/>
    <w:rsid w:val="008D5E43"/>
    <w:rsid w:val="008D73CF"/>
    <w:rsid w:val="008D78CC"/>
    <w:rsid w:val="008D7CB3"/>
    <w:rsid w:val="008E04FB"/>
    <w:rsid w:val="008E144E"/>
    <w:rsid w:val="008E1540"/>
    <w:rsid w:val="008E2EC9"/>
    <w:rsid w:val="008E3192"/>
    <w:rsid w:val="008E3921"/>
    <w:rsid w:val="008E39E7"/>
    <w:rsid w:val="008E3FFB"/>
    <w:rsid w:val="008E4F8A"/>
    <w:rsid w:val="008E6547"/>
    <w:rsid w:val="008E74AA"/>
    <w:rsid w:val="008E7744"/>
    <w:rsid w:val="008E7B5A"/>
    <w:rsid w:val="008F0F92"/>
    <w:rsid w:val="008F12D6"/>
    <w:rsid w:val="008F149D"/>
    <w:rsid w:val="008F23B1"/>
    <w:rsid w:val="008F2C13"/>
    <w:rsid w:val="008F3304"/>
    <w:rsid w:val="008F3C0C"/>
    <w:rsid w:val="008F4B7E"/>
    <w:rsid w:val="008F52D3"/>
    <w:rsid w:val="008F5BF1"/>
    <w:rsid w:val="008F663B"/>
    <w:rsid w:val="008F73A8"/>
    <w:rsid w:val="008F7935"/>
    <w:rsid w:val="00900EBB"/>
    <w:rsid w:val="00900FD4"/>
    <w:rsid w:val="009013FD"/>
    <w:rsid w:val="0090172E"/>
    <w:rsid w:val="00901C93"/>
    <w:rsid w:val="00902DE6"/>
    <w:rsid w:val="00902FF1"/>
    <w:rsid w:val="009036F0"/>
    <w:rsid w:val="00903D36"/>
    <w:rsid w:val="00903E89"/>
    <w:rsid w:val="00904485"/>
    <w:rsid w:val="00904B45"/>
    <w:rsid w:val="009051FF"/>
    <w:rsid w:val="00905886"/>
    <w:rsid w:val="00906B89"/>
    <w:rsid w:val="00911FD3"/>
    <w:rsid w:val="00914305"/>
    <w:rsid w:val="009143D9"/>
    <w:rsid w:val="00914720"/>
    <w:rsid w:val="009148D5"/>
    <w:rsid w:val="0091571D"/>
    <w:rsid w:val="00915841"/>
    <w:rsid w:val="00916234"/>
    <w:rsid w:val="00917244"/>
    <w:rsid w:val="00917487"/>
    <w:rsid w:val="00917730"/>
    <w:rsid w:val="0092004A"/>
    <w:rsid w:val="009201CA"/>
    <w:rsid w:val="009205BB"/>
    <w:rsid w:val="00920676"/>
    <w:rsid w:val="0092103F"/>
    <w:rsid w:val="00921CC7"/>
    <w:rsid w:val="00922A50"/>
    <w:rsid w:val="00922A74"/>
    <w:rsid w:val="0092393F"/>
    <w:rsid w:val="00923FD9"/>
    <w:rsid w:val="0092457A"/>
    <w:rsid w:val="0092459C"/>
    <w:rsid w:val="00924B20"/>
    <w:rsid w:val="00924C52"/>
    <w:rsid w:val="0092519B"/>
    <w:rsid w:val="00925902"/>
    <w:rsid w:val="009259FF"/>
    <w:rsid w:val="00925BD4"/>
    <w:rsid w:val="00925F03"/>
    <w:rsid w:val="0092668A"/>
    <w:rsid w:val="00926C84"/>
    <w:rsid w:val="00926CBC"/>
    <w:rsid w:val="00927118"/>
    <w:rsid w:val="0093115D"/>
    <w:rsid w:val="00931267"/>
    <w:rsid w:val="00931825"/>
    <w:rsid w:val="00932E32"/>
    <w:rsid w:val="00933288"/>
    <w:rsid w:val="00933BFE"/>
    <w:rsid w:val="00933DC9"/>
    <w:rsid w:val="00934192"/>
    <w:rsid w:val="00934B40"/>
    <w:rsid w:val="0093567B"/>
    <w:rsid w:val="00935FCD"/>
    <w:rsid w:val="00936027"/>
    <w:rsid w:val="009372F0"/>
    <w:rsid w:val="00937373"/>
    <w:rsid w:val="009378BF"/>
    <w:rsid w:val="009407E1"/>
    <w:rsid w:val="00940CFC"/>
    <w:rsid w:val="009417BB"/>
    <w:rsid w:val="00943D37"/>
    <w:rsid w:val="00943ED1"/>
    <w:rsid w:val="009446A5"/>
    <w:rsid w:val="00944F20"/>
    <w:rsid w:val="00945251"/>
    <w:rsid w:val="009452B3"/>
    <w:rsid w:val="00945681"/>
    <w:rsid w:val="00946A55"/>
    <w:rsid w:val="00946B64"/>
    <w:rsid w:val="009472CD"/>
    <w:rsid w:val="00947798"/>
    <w:rsid w:val="009478F5"/>
    <w:rsid w:val="0095021D"/>
    <w:rsid w:val="00950DE7"/>
    <w:rsid w:val="00951514"/>
    <w:rsid w:val="009526FD"/>
    <w:rsid w:val="0095408D"/>
    <w:rsid w:val="0095664D"/>
    <w:rsid w:val="00957387"/>
    <w:rsid w:val="00962873"/>
    <w:rsid w:val="00963C5C"/>
    <w:rsid w:val="00964641"/>
    <w:rsid w:val="009656F2"/>
    <w:rsid w:val="00965A2C"/>
    <w:rsid w:val="0096662A"/>
    <w:rsid w:val="00966D45"/>
    <w:rsid w:val="009672B9"/>
    <w:rsid w:val="00967D69"/>
    <w:rsid w:val="00967E23"/>
    <w:rsid w:val="009716D7"/>
    <w:rsid w:val="00971FE4"/>
    <w:rsid w:val="00972845"/>
    <w:rsid w:val="009767C7"/>
    <w:rsid w:val="0097771C"/>
    <w:rsid w:val="00977A3A"/>
    <w:rsid w:val="00977E8B"/>
    <w:rsid w:val="00980BCD"/>
    <w:rsid w:val="00980F93"/>
    <w:rsid w:val="009812FE"/>
    <w:rsid w:val="00981C2F"/>
    <w:rsid w:val="00981EF8"/>
    <w:rsid w:val="00984018"/>
    <w:rsid w:val="00984D4A"/>
    <w:rsid w:val="009858C4"/>
    <w:rsid w:val="009869E6"/>
    <w:rsid w:val="00986A80"/>
    <w:rsid w:val="00987CBA"/>
    <w:rsid w:val="009905BC"/>
    <w:rsid w:val="009908DE"/>
    <w:rsid w:val="00990ECC"/>
    <w:rsid w:val="00991702"/>
    <w:rsid w:val="00991E91"/>
    <w:rsid w:val="00992825"/>
    <w:rsid w:val="00992B13"/>
    <w:rsid w:val="00992E35"/>
    <w:rsid w:val="00993661"/>
    <w:rsid w:val="009938BC"/>
    <w:rsid w:val="009951AF"/>
    <w:rsid w:val="0099553A"/>
    <w:rsid w:val="009957EF"/>
    <w:rsid w:val="0099581B"/>
    <w:rsid w:val="00995BB4"/>
    <w:rsid w:val="00997696"/>
    <w:rsid w:val="00997824"/>
    <w:rsid w:val="009A0B80"/>
    <w:rsid w:val="009A149A"/>
    <w:rsid w:val="009A33F4"/>
    <w:rsid w:val="009A34D1"/>
    <w:rsid w:val="009A4D2D"/>
    <w:rsid w:val="009A4E64"/>
    <w:rsid w:val="009A5041"/>
    <w:rsid w:val="009A5785"/>
    <w:rsid w:val="009A5E40"/>
    <w:rsid w:val="009A6F13"/>
    <w:rsid w:val="009B1A0E"/>
    <w:rsid w:val="009B21B0"/>
    <w:rsid w:val="009B3502"/>
    <w:rsid w:val="009B53F5"/>
    <w:rsid w:val="009B6F49"/>
    <w:rsid w:val="009B708D"/>
    <w:rsid w:val="009B790C"/>
    <w:rsid w:val="009C0448"/>
    <w:rsid w:val="009C0BEC"/>
    <w:rsid w:val="009C2191"/>
    <w:rsid w:val="009C49B1"/>
    <w:rsid w:val="009C5202"/>
    <w:rsid w:val="009C5AA7"/>
    <w:rsid w:val="009C747B"/>
    <w:rsid w:val="009C748A"/>
    <w:rsid w:val="009C7796"/>
    <w:rsid w:val="009C78BC"/>
    <w:rsid w:val="009C7950"/>
    <w:rsid w:val="009D06C8"/>
    <w:rsid w:val="009D0AFA"/>
    <w:rsid w:val="009D0D3A"/>
    <w:rsid w:val="009D1256"/>
    <w:rsid w:val="009D2387"/>
    <w:rsid w:val="009D256B"/>
    <w:rsid w:val="009D25B6"/>
    <w:rsid w:val="009D3787"/>
    <w:rsid w:val="009D38F3"/>
    <w:rsid w:val="009D4739"/>
    <w:rsid w:val="009D5E86"/>
    <w:rsid w:val="009D6985"/>
    <w:rsid w:val="009D6A66"/>
    <w:rsid w:val="009D6D30"/>
    <w:rsid w:val="009D7CBB"/>
    <w:rsid w:val="009E023C"/>
    <w:rsid w:val="009E0608"/>
    <w:rsid w:val="009E08BC"/>
    <w:rsid w:val="009E09DE"/>
    <w:rsid w:val="009E10AD"/>
    <w:rsid w:val="009E3273"/>
    <w:rsid w:val="009E397B"/>
    <w:rsid w:val="009E3FEC"/>
    <w:rsid w:val="009E412C"/>
    <w:rsid w:val="009E4786"/>
    <w:rsid w:val="009E4C39"/>
    <w:rsid w:val="009E4DD6"/>
    <w:rsid w:val="009E5259"/>
    <w:rsid w:val="009E536F"/>
    <w:rsid w:val="009E5DB6"/>
    <w:rsid w:val="009E60F6"/>
    <w:rsid w:val="009E6A50"/>
    <w:rsid w:val="009E78E0"/>
    <w:rsid w:val="009E7AAD"/>
    <w:rsid w:val="009F0303"/>
    <w:rsid w:val="009F0FD2"/>
    <w:rsid w:val="009F12BA"/>
    <w:rsid w:val="009F1AD8"/>
    <w:rsid w:val="009F2191"/>
    <w:rsid w:val="009F22EE"/>
    <w:rsid w:val="009F356C"/>
    <w:rsid w:val="009F469F"/>
    <w:rsid w:val="009F4B20"/>
    <w:rsid w:val="009F5350"/>
    <w:rsid w:val="009F5DFC"/>
    <w:rsid w:val="009F7A36"/>
    <w:rsid w:val="009F7A63"/>
    <w:rsid w:val="009F7B4A"/>
    <w:rsid w:val="009F7CA1"/>
    <w:rsid w:val="00A0034A"/>
    <w:rsid w:val="00A007A5"/>
    <w:rsid w:val="00A00EAE"/>
    <w:rsid w:val="00A01C3E"/>
    <w:rsid w:val="00A01C8C"/>
    <w:rsid w:val="00A01E76"/>
    <w:rsid w:val="00A02BDB"/>
    <w:rsid w:val="00A02D89"/>
    <w:rsid w:val="00A03071"/>
    <w:rsid w:val="00A04AF2"/>
    <w:rsid w:val="00A04D75"/>
    <w:rsid w:val="00A06928"/>
    <w:rsid w:val="00A0785F"/>
    <w:rsid w:val="00A1070D"/>
    <w:rsid w:val="00A127B7"/>
    <w:rsid w:val="00A1354E"/>
    <w:rsid w:val="00A13CA7"/>
    <w:rsid w:val="00A13E4D"/>
    <w:rsid w:val="00A14951"/>
    <w:rsid w:val="00A149B6"/>
    <w:rsid w:val="00A152AC"/>
    <w:rsid w:val="00A153A9"/>
    <w:rsid w:val="00A155B4"/>
    <w:rsid w:val="00A16082"/>
    <w:rsid w:val="00A16DBE"/>
    <w:rsid w:val="00A175FF"/>
    <w:rsid w:val="00A206CA"/>
    <w:rsid w:val="00A20BFA"/>
    <w:rsid w:val="00A213D0"/>
    <w:rsid w:val="00A220A6"/>
    <w:rsid w:val="00A2288E"/>
    <w:rsid w:val="00A22C87"/>
    <w:rsid w:val="00A241E3"/>
    <w:rsid w:val="00A244C7"/>
    <w:rsid w:val="00A249A7"/>
    <w:rsid w:val="00A25013"/>
    <w:rsid w:val="00A251E8"/>
    <w:rsid w:val="00A259EF"/>
    <w:rsid w:val="00A26080"/>
    <w:rsid w:val="00A30528"/>
    <w:rsid w:val="00A307C1"/>
    <w:rsid w:val="00A30A02"/>
    <w:rsid w:val="00A3106F"/>
    <w:rsid w:val="00A311B0"/>
    <w:rsid w:val="00A31DE0"/>
    <w:rsid w:val="00A327A9"/>
    <w:rsid w:val="00A327AE"/>
    <w:rsid w:val="00A331AA"/>
    <w:rsid w:val="00A336E2"/>
    <w:rsid w:val="00A33986"/>
    <w:rsid w:val="00A34098"/>
    <w:rsid w:val="00A344F3"/>
    <w:rsid w:val="00A34794"/>
    <w:rsid w:val="00A34D1B"/>
    <w:rsid w:val="00A359AC"/>
    <w:rsid w:val="00A35D20"/>
    <w:rsid w:val="00A36BA5"/>
    <w:rsid w:val="00A36DE6"/>
    <w:rsid w:val="00A377C8"/>
    <w:rsid w:val="00A3797A"/>
    <w:rsid w:val="00A37E94"/>
    <w:rsid w:val="00A40593"/>
    <w:rsid w:val="00A40AFE"/>
    <w:rsid w:val="00A40ED5"/>
    <w:rsid w:val="00A41707"/>
    <w:rsid w:val="00A41DDB"/>
    <w:rsid w:val="00A42994"/>
    <w:rsid w:val="00A42B4F"/>
    <w:rsid w:val="00A42BBB"/>
    <w:rsid w:val="00A43377"/>
    <w:rsid w:val="00A4371A"/>
    <w:rsid w:val="00A442A2"/>
    <w:rsid w:val="00A44D32"/>
    <w:rsid w:val="00A45D1C"/>
    <w:rsid w:val="00A45EC8"/>
    <w:rsid w:val="00A465C5"/>
    <w:rsid w:val="00A4707F"/>
    <w:rsid w:val="00A47660"/>
    <w:rsid w:val="00A47BE9"/>
    <w:rsid w:val="00A47CE3"/>
    <w:rsid w:val="00A51C2A"/>
    <w:rsid w:val="00A53608"/>
    <w:rsid w:val="00A53E29"/>
    <w:rsid w:val="00A53FB0"/>
    <w:rsid w:val="00A55391"/>
    <w:rsid w:val="00A55F21"/>
    <w:rsid w:val="00A5671F"/>
    <w:rsid w:val="00A6010F"/>
    <w:rsid w:val="00A60CC0"/>
    <w:rsid w:val="00A60F52"/>
    <w:rsid w:val="00A615AB"/>
    <w:rsid w:val="00A61871"/>
    <w:rsid w:val="00A61E60"/>
    <w:rsid w:val="00A639D7"/>
    <w:rsid w:val="00A6458C"/>
    <w:rsid w:val="00A67191"/>
    <w:rsid w:val="00A71AF4"/>
    <w:rsid w:val="00A72EA2"/>
    <w:rsid w:val="00A73D77"/>
    <w:rsid w:val="00A73DCA"/>
    <w:rsid w:val="00A740F1"/>
    <w:rsid w:val="00A7416C"/>
    <w:rsid w:val="00A74356"/>
    <w:rsid w:val="00A756F2"/>
    <w:rsid w:val="00A75A88"/>
    <w:rsid w:val="00A75BC2"/>
    <w:rsid w:val="00A75F04"/>
    <w:rsid w:val="00A75F9E"/>
    <w:rsid w:val="00A760CD"/>
    <w:rsid w:val="00A77181"/>
    <w:rsid w:val="00A807FC"/>
    <w:rsid w:val="00A80D60"/>
    <w:rsid w:val="00A82120"/>
    <w:rsid w:val="00A8248D"/>
    <w:rsid w:val="00A83425"/>
    <w:rsid w:val="00A83800"/>
    <w:rsid w:val="00A83F44"/>
    <w:rsid w:val="00A840EA"/>
    <w:rsid w:val="00A84632"/>
    <w:rsid w:val="00A84D91"/>
    <w:rsid w:val="00A85084"/>
    <w:rsid w:val="00A852A6"/>
    <w:rsid w:val="00A85E8B"/>
    <w:rsid w:val="00A860AF"/>
    <w:rsid w:val="00A860E9"/>
    <w:rsid w:val="00A861C2"/>
    <w:rsid w:val="00A87A0D"/>
    <w:rsid w:val="00A87ACE"/>
    <w:rsid w:val="00A87B98"/>
    <w:rsid w:val="00A90577"/>
    <w:rsid w:val="00A90C05"/>
    <w:rsid w:val="00A92511"/>
    <w:rsid w:val="00A92548"/>
    <w:rsid w:val="00A93167"/>
    <w:rsid w:val="00A93933"/>
    <w:rsid w:val="00A94F03"/>
    <w:rsid w:val="00A954F1"/>
    <w:rsid w:val="00A95735"/>
    <w:rsid w:val="00A95E72"/>
    <w:rsid w:val="00A95F5F"/>
    <w:rsid w:val="00A973B6"/>
    <w:rsid w:val="00A9740D"/>
    <w:rsid w:val="00A97A6F"/>
    <w:rsid w:val="00AA0435"/>
    <w:rsid w:val="00AA0BEB"/>
    <w:rsid w:val="00AA0C44"/>
    <w:rsid w:val="00AA0C5C"/>
    <w:rsid w:val="00AA1414"/>
    <w:rsid w:val="00AA27FE"/>
    <w:rsid w:val="00AA32DA"/>
    <w:rsid w:val="00AA373A"/>
    <w:rsid w:val="00AA385A"/>
    <w:rsid w:val="00AA404C"/>
    <w:rsid w:val="00AA4857"/>
    <w:rsid w:val="00AA5773"/>
    <w:rsid w:val="00AA58F3"/>
    <w:rsid w:val="00AA6786"/>
    <w:rsid w:val="00AA6BCA"/>
    <w:rsid w:val="00AA6F6D"/>
    <w:rsid w:val="00AA790C"/>
    <w:rsid w:val="00AA7CC8"/>
    <w:rsid w:val="00AB0EC5"/>
    <w:rsid w:val="00AB1478"/>
    <w:rsid w:val="00AB19C1"/>
    <w:rsid w:val="00AB29A0"/>
    <w:rsid w:val="00AB2E84"/>
    <w:rsid w:val="00AB4037"/>
    <w:rsid w:val="00AB6D78"/>
    <w:rsid w:val="00AB70E8"/>
    <w:rsid w:val="00AB7163"/>
    <w:rsid w:val="00AB73AD"/>
    <w:rsid w:val="00AC08C0"/>
    <w:rsid w:val="00AC0DE5"/>
    <w:rsid w:val="00AC16BC"/>
    <w:rsid w:val="00AC2514"/>
    <w:rsid w:val="00AC2624"/>
    <w:rsid w:val="00AC2E08"/>
    <w:rsid w:val="00AC3817"/>
    <w:rsid w:val="00AC387A"/>
    <w:rsid w:val="00AC4272"/>
    <w:rsid w:val="00AC4596"/>
    <w:rsid w:val="00AC6A46"/>
    <w:rsid w:val="00AC6BA4"/>
    <w:rsid w:val="00AC6BB9"/>
    <w:rsid w:val="00AC7294"/>
    <w:rsid w:val="00AD00D7"/>
    <w:rsid w:val="00AD06E2"/>
    <w:rsid w:val="00AD0AB7"/>
    <w:rsid w:val="00AD1A3E"/>
    <w:rsid w:val="00AD2FB2"/>
    <w:rsid w:val="00AD3243"/>
    <w:rsid w:val="00AD3483"/>
    <w:rsid w:val="00AD390F"/>
    <w:rsid w:val="00AD45E3"/>
    <w:rsid w:val="00AD5D43"/>
    <w:rsid w:val="00AD6CB8"/>
    <w:rsid w:val="00AD6CEA"/>
    <w:rsid w:val="00AD6FEB"/>
    <w:rsid w:val="00AE1542"/>
    <w:rsid w:val="00AE1A2A"/>
    <w:rsid w:val="00AE1D28"/>
    <w:rsid w:val="00AE1D44"/>
    <w:rsid w:val="00AE30AA"/>
    <w:rsid w:val="00AE3B19"/>
    <w:rsid w:val="00AE3CA8"/>
    <w:rsid w:val="00AE6099"/>
    <w:rsid w:val="00AE71EC"/>
    <w:rsid w:val="00AE7776"/>
    <w:rsid w:val="00AF22F5"/>
    <w:rsid w:val="00AF2D3D"/>
    <w:rsid w:val="00AF3D1D"/>
    <w:rsid w:val="00AF3F95"/>
    <w:rsid w:val="00AF51E2"/>
    <w:rsid w:val="00AF532E"/>
    <w:rsid w:val="00AF5A0F"/>
    <w:rsid w:val="00AF60B5"/>
    <w:rsid w:val="00AF700D"/>
    <w:rsid w:val="00AF7B0B"/>
    <w:rsid w:val="00B006EB"/>
    <w:rsid w:val="00B011C7"/>
    <w:rsid w:val="00B016A0"/>
    <w:rsid w:val="00B0317B"/>
    <w:rsid w:val="00B0327B"/>
    <w:rsid w:val="00B04406"/>
    <w:rsid w:val="00B04661"/>
    <w:rsid w:val="00B0487F"/>
    <w:rsid w:val="00B0562B"/>
    <w:rsid w:val="00B0597B"/>
    <w:rsid w:val="00B060C9"/>
    <w:rsid w:val="00B06C37"/>
    <w:rsid w:val="00B072B0"/>
    <w:rsid w:val="00B0798C"/>
    <w:rsid w:val="00B10808"/>
    <w:rsid w:val="00B10A77"/>
    <w:rsid w:val="00B11436"/>
    <w:rsid w:val="00B117A9"/>
    <w:rsid w:val="00B12569"/>
    <w:rsid w:val="00B1275E"/>
    <w:rsid w:val="00B1340A"/>
    <w:rsid w:val="00B1395B"/>
    <w:rsid w:val="00B13BAE"/>
    <w:rsid w:val="00B13E56"/>
    <w:rsid w:val="00B1492A"/>
    <w:rsid w:val="00B15687"/>
    <w:rsid w:val="00B15A4F"/>
    <w:rsid w:val="00B15C37"/>
    <w:rsid w:val="00B1740C"/>
    <w:rsid w:val="00B2126D"/>
    <w:rsid w:val="00B22014"/>
    <w:rsid w:val="00B22016"/>
    <w:rsid w:val="00B227DE"/>
    <w:rsid w:val="00B23F64"/>
    <w:rsid w:val="00B24099"/>
    <w:rsid w:val="00B250B7"/>
    <w:rsid w:val="00B25959"/>
    <w:rsid w:val="00B263E3"/>
    <w:rsid w:val="00B2712C"/>
    <w:rsid w:val="00B273E7"/>
    <w:rsid w:val="00B27BC4"/>
    <w:rsid w:val="00B30AD3"/>
    <w:rsid w:val="00B317BC"/>
    <w:rsid w:val="00B32656"/>
    <w:rsid w:val="00B32B3B"/>
    <w:rsid w:val="00B332DF"/>
    <w:rsid w:val="00B334BA"/>
    <w:rsid w:val="00B3357C"/>
    <w:rsid w:val="00B34E03"/>
    <w:rsid w:val="00B35C7C"/>
    <w:rsid w:val="00B36802"/>
    <w:rsid w:val="00B369A6"/>
    <w:rsid w:val="00B36DB8"/>
    <w:rsid w:val="00B3738D"/>
    <w:rsid w:val="00B373BE"/>
    <w:rsid w:val="00B373E4"/>
    <w:rsid w:val="00B37BBF"/>
    <w:rsid w:val="00B40EDC"/>
    <w:rsid w:val="00B41EE1"/>
    <w:rsid w:val="00B423A8"/>
    <w:rsid w:val="00B424CA"/>
    <w:rsid w:val="00B43023"/>
    <w:rsid w:val="00B45140"/>
    <w:rsid w:val="00B457DF"/>
    <w:rsid w:val="00B45AF1"/>
    <w:rsid w:val="00B460D8"/>
    <w:rsid w:val="00B46709"/>
    <w:rsid w:val="00B46728"/>
    <w:rsid w:val="00B46877"/>
    <w:rsid w:val="00B46B99"/>
    <w:rsid w:val="00B46E86"/>
    <w:rsid w:val="00B474DF"/>
    <w:rsid w:val="00B505BB"/>
    <w:rsid w:val="00B50B77"/>
    <w:rsid w:val="00B50E3D"/>
    <w:rsid w:val="00B50E7A"/>
    <w:rsid w:val="00B513D4"/>
    <w:rsid w:val="00B51A2B"/>
    <w:rsid w:val="00B51E88"/>
    <w:rsid w:val="00B51F0F"/>
    <w:rsid w:val="00B52390"/>
    <w:rsid w:val="00B5469E"/>
    <w:rsid w:val="00B548EA"/>
    <w:rsid w:val="00B56063"/>
    <w:rsid w:val="00B56DDA"/>
    <w:rsid w:val="00B605AA"/>
    <w:rsid w:val="00B617DE"/>
    <w:rsid w:val="00B622FE"/>
    <w:rsid w:val="00B62732"/>
    <w:rsid w:val="00B62D65"/>
    <w:rsid w:val="00B634A6"/>
    <w:rsid w:val="00B63755"/>
    <w:rsid w:val="00B6393F"/>
    <w:rsid w:val="00B643B4"/>
    <w:rsid w:val="00B64EF1"/>
    <w:rsid w:val="00B64F4B"/>
    <w:rsid w:val="00B64FE3"/>
    <w:rsid w:val="00B65D6E"/>
    <w:rsid w:val="00B660C3"/>
    <w:rsid w:val="00B668AD"/>
    <w:rsid w:val="00B703FE"/>
    <w:rsid w:val="00B71788"/>
    <w:rsid w:val="00B71A06"/>
    <w:rsid w:val="00B71C89"/>
    <w:rsid w:val="00B726C7"/>
    <w:rsid w:val="00B72C46"/>
    <w:rsid w:val="00B73748"/>
    <w:rsid w:val="00B73B44"/>
    <w:rsid w:val="00B73CD3"/>
    <w:rsid w:val="00B73D40"/>
    <w:rsid w:val="00B7404E"/>
    <w:rsid w:val="00B747A5"/>
    <w:rsid w:val="00B7484D"/>
    <w:rsid w:val="00B75511"/>
    <w:rsid w:val="00B75845"/>
    <w:rsid w:val="00B75D1D"/>
    <w:rsid w:val="00B7617C"/>
    <w:rsid w:val="00B777CB"/>
    <w:rsid w:val="00B803E3"/>
    <w:rsid w:val="00B80910"/>
    <w:rsid w:val="00B8261D"/>
    <w:rsid w:val="00B82B7B"/>
    <w:rsid w:val="00B83B24"/>
    <w:rsid w:val="00B84872"/>
    <w:rsid w:val="00B86471"/>
    <w:rsid w:val="00B87142"/>
    <w:rsid w:val="00B90E45"/>
    <w:rsid w:val="00B912D1"/>
    <w:rsid w:val="00B92237"/>
    <w:rsid w:val="00B93A52"/>
    <w:rsid w:val="00B93CF8"/>
    <w:rsid w:val="00B944B1"/>
    <w:rsid w:val="00B9476B"/>
    <w:rsid w:val="00B94F49"/>
    <w:rsid w:val="00B95572"/>
    <w:rsid w:val="00B97102"/>
    <w:rsid w:val="00BA0F4F"/>
    <w:rsid w:val="00BA27BB"/>
    <w:rsid w:val="00BA2853"/>
    <w:rsid w:val="00BA2BFE"/>
    <w:rsid w:val="00BA2D31"/>
    <w:rsid w:val="00BA426A"/>
    <w:rsid w:val="00BA5097"/>
    <w:rsid w:val="00BA70A4"/>
    <w:rsid w:val="00BA7857"/>
    <w:rsid w:val="00BB0D6E"/>
    <w:rsid w:val="00BB1760"/>
    <w:rsid w:val="00BB1946"/>
    <w:rsid w:val="00BB1D60"/>
    <w:rsid w:val="00BB2803"/>
    <w:rsid w:val="00BB2973"/>
    <w:rsid w:val="00BB2CF7"/>
    <w:rsid w:val="00BB369C"/>
    <w:rsid w:val="00BB370F"/>
    <w:rsid w:val="00BB434B"/>
    <w:rsid w:val="00BB4C8D"/>
    <w:rsid w:val="00BB5293"/>
    <w:rsid w:val="00BB565D"/>
    <w:rsid w:val="00BB56CF"/>
    <w:rsid w:val="00BB61F9"/>
    <w:rsid w:val="00BB67E1"/>
    <w:rsid w:val="00BB6F14"/>
    <w:rsid w:val="00BB70BF"/>
    <w:rsid w:val="00BB7C1D"/>
    <w:rsid w:val="00BC0298"/>
    <w:rsid w:val="00BC04C0"/>
    <w:rsid w:val="00BC073A"/>
    <w:rsid w:val="00BC0A75"/>
    <w:rsid w:val="00BC121E"/>
    <w:rsid w:val="00BC1AF4"/>
    <w:rsid w:val="00BC200F"/>
    <w:rsid w:val="00BC298D"/>
    <w:rsid w:val="00BC335E"/>
    <w:rsid w:val="00BC411A"/>
    <w:rsid w:val="00BC4812"/>
    <w:rsid w:val="00BC5731"/>
    <w:rsid w:val="00BC58D1"/>
    <w:rsid w:val="00BC5969"/>
    <w:rsid w:val="00BC6536"/>
    <w:rsid w:val="00BC77F8"/>
    <w:rsid w:val="00BC79F4"/>
    <w:rsid w:val="00BD2D6B"/>
    <w:rsid w:val="00BD3E43"/>
    <w:rsid w:val="00BD4897"/>
    <w:rsid w:val="00BD7B47"/>
    <w:rsid w:val="00BE05EE"/>
    <w:rsid w:val="00BE0F96"/>
    <w:rsid w:val="00BE1100"/>
    <w:rsid w:val="00BE13E1"/>
    <w:rsid w:val="00BE1480"/>
    <w:rsid w:val="00BE2B33"/>
    <w:rsid w:val="00BE31E8"/>
    <w:rsid w:val="00BE375F"/>
    <w:rsid w:val="00BE3DF1"/>
    <w:rsid w:val="00BE4142"/>
    <w:rsid w:val="00BE4EBF"/>
    <w:rsid w:val="00BE5261"/>
    <w:rsid w:val="00BE5EEC"/>
    <w:rsid w:val="00BE73DF"/>
    <w:rsid w:val="00BE777B"/>
    <w:rsid w:val="00BF053B"/>
    <w:rsid w:val="00BF06CC"/>
    <w:rsid w:val="00BF0A53"/>
    <w:rsid w:val="00BF1BF8"/>
    <w:rsid w:val="00BF2458"/>
    <w:rsid w:val="00BF2512"/>
    <w:rsid w:val="00BF2C4B"/>
    <w:rsid w:val="00BF2CA4"/>
    <w:rsid w:val="00BF380D"/>
    <w:rsid w:val="00BF42F8"/>
    <w:rsid w:val="00BF4544"/>
    <w:rsid w:val="00BF458D"/>
    <w:rsid w:val="00BF45AF"/>
    <w:rsid w:val="00BF46C9"/>
    <w:rsid w:val="00BF5746"/>
    <w:rsid w:val="00BF58D5"/>
    <w:rsid w:val="00BF595E"/>
    <w:rsid w:val="00BF623C"/>
    <w:rsid w:val="00BF63D1"/>
    <w:rsid w:val="00BF6F93"/>
    <w:rsid w:val="00BF72AE"/>
    <w:rsid w:val="00BF730C"/>
    <w:rsid w:val="00BF7D03"/>
    <w:rsid w:val="00C0032A"/>
    <w:rsid w:val="00C016EF"/>
    <w:rsid w:val="00C02210"/>
    <w:rsid w:val="00C03C62"/>
    <w:rsid w:val="00C03FB3"/>
    <w:rsid w:val="00C04D1E"/>
    <w:rsid w:val="00C050D5"/>
    <w:rsid w:val="00C05993"/>
    <w:rsid w:val="00C0617F"/>
    <w:rsid w:val="00C066C9"/>
    <w:rsid w:val="00C06B93"/>
    <w:rsid w:val="00C07780"/>
    <w:rsid w:val="00C078A0"/>
    <w:rsid w:val="00C07EDD"/>
    <w:rsid w:val="00C122E9"/>
    <w:rsid w:val="00C1231E"/>
    <w:rsid w:val="00C138D9"/>
    <w:rsid w:val="00C13BE7"/>
    <w:rsid w:val="00C14887"/>
    <w:rsid w:val="00C14FAD"/>
    <w:rsid w:val="00C15867"/>
    <w:rsid w:val="00C15C81"/>
    <w:rsid w:val="00C15D4B"/>
    <w:rsid w:val="00C16D10"/>
    <w:rsid w:val="00C1745B"/>
    <w:rsid w:val="00C177D0"/>
    <w:rsid w:val="00C21CAF"/>
    <w:rsid w:val="00C21D34"/>
    <w:rsid w:val="00C22195"/>
    <w:rsid w:val="00C23E86"/>
    <w:rsid w:val="00C240DB"/>
    <w:rsid w:val="00C24741"/>
    <w:rsid w:val="00C24E12"/>
    <w:rsid w:val="00C2647D"/>
    <w:rsid w:val="00C264F3"/>
    <w:rsid w:val="00C26867"/>
    <w:rsid w:val="00C26EF2"/>
    <w:rsid w:val="00C27E25"/>
    <w:rsid w:val="00C3031E"/>
    <w:rsid w:val="00C3111A"/>
    <w:rsid w:val="00C329E3"/>
    <w:rsid w:val="00C32AE7"/>
    <w:rsid w:val="00C336EA"/>
    <w:rsid w:val="00C3433A"/>
    <w:rsid w:val="00C34A94"/>
    <w:rsid w:val="00C34C01"/>
    <w:rsid w:val="00C3503D"/>
    <w:rsid w:val="00C35B54"/>
    <w:rsid w:val="00C35FE2"/>
    <w:rsid w:val="00C36CA5"/>
    <w:rsid w:val="00C36DA4"/>
    <w:rsid w:val="00C3787F"/>
    <w:rsid w:val="00C37E16"/>
    <w:rsid w:val="00C37FD1"/>
    <w:rsid w:val="00C4020C"/>
    <w:rsid w:val="00C410D0"/>
    <w:rsid w:val="00C41B0C"/>
    <w:rsid w:val="00C42B92"/>
    <w:rsid w:val="00C42DF8"/>
    <w:rsid w:val="00C4389D"/>
    <w:rsid w:val="00C43D96"/>
    <w:rsid w:val="00C444A1"/>
    <w:rsid w:val="00C4478B"/>
    <w:rsid w:val="00C45141"/>
    <w:rsid w:val="00C46548"/>
    <w:rsid w:val="00C46C27"/>
    <w:rsid w:val="00C47168"/>
    <w:rsid w:val="00C4760F"/>
    <w:rsid w:val="00C501EA"/>
    <w:rsid w:val="00C5050E"/>
    <w:rsid w:val="00C5053F"/>
    <w:rsid w:val="00C50710"/>
    <w:rsid w:val="00C51039"/>
    <w:rsid w:val="00C51688"/>
    <w:rsid w:val="00C525F9"/>
    <w:rsid w:val="00C53F61"/>
    <w:rsid w:val="00C544DA"/>
    <w:rsid w:val="00C5465D"/>
    <w:rsid w:val="00C54CAA"/>
    <w:rsid w:val="00C54CAF"/>
    <w:rsid w:val="00C557BF"/>
    <w:rsid w:val="00C5588E"/>
    <w:rsid w:val="00C56118"/>
    <w:rsid w:val="00C5660A"/>
    <w:rsid w:val="00C570AE"/>
    <w:rsid w:val="00C60CE2"/>
    <w:rsid w:val="00C61120"/>
    <w:rsid w:val="00C611E7"/>
    <w:rsid w:val="00C61C87"/>
    <w:rsid w:val="00C63831"/>
    <w:rsid w:val="00C65287"/>
    <w:rsid w:val="00C659B6"/>
    <w:rsid w:val="00C65E28"/>
    <w:rsid w:val="00C66297"/>
    <w:rsid w:val="00C67811"/>
    <w:rsid w:val="00C705D2"/>
    <w:rsid w:val="00C716CC"/>
    <w:rsid w:val="00C7219A"/>
    <w:rsid w:val="00C724CE"/>
    <w:rsid w:val="00C72A46"/>
    <w:rsid w:val="00C7466E"/>
    <w:rsid w:val="00C75C70"/>
    <w:rsid w:val="00C761F0"/>
    <w:rsid w:val="00C77B8C"/>
    <w:rsid w:val="00C8048D"/>
    <w:rsid w:val="00C8054F"/>
    <w:rsid w:val="00C81BEB"/>
    <w:rsid w:val="00C81D9A"/>
    <w:rsid w:val="00C81F77"/>
    <w:rsid w:val="00C822F6"/>
    <w:rsid w:val="00C82479"/>
    <w:rsid w:val="00C8309B"/>
    <w:rsid w:val="00C83140"/>
    <w:rsid w:val="00C84BC0"/>
    <w:rsid w:val="00C84E04"/>
    <w:rsid w:val="00C85093"/>
    <w:rsid w:val="00C855D2"/>
    <w:rsid w:val="00C86345"/>
    <w:rsid w:val="00C9074D"/>
    <w:rsid w:val="00C9147E"/>
    <w:rsid w:val="00C9202A"/>
    <w:rsid w:val="00C9275F"/>
    <w:rsid w:val="00C9287F"/>
    <w:rsid w:val="00C92AC0"/>
    <w:rsid w:val="00C93141"/>
    <w:rsid w:val="00C937D2"/>
    <w:rsid w:val="00C94896"/>
    <w:rsid w:val="00C95133"/>
    <w:rsid w:val="00C96AD4"/>
    <w:rsid w:val="00C96C47"/>
    <w:rsid w:val="00C973A8"/>
    <w:rsid w:val="00C97463"/>
    <w:rsid w:val="00C978DD"/>
    <w:rsid w:val="00CA0014"/>
    <w:rsid w:val="00CA15B7"/>
    <w:rsid w:val="00CA2773"/>
    <w:rsid w:val="00CA2F28"/>
    <w:rsid w:val="00CA370A"/>
    <w:rsid w:val="00CA48E9"/>
    <w:rsid w:val="00CA4E57"/>
    <w:rsid w:val="00CA52BA"/>
    <w:rsid w:val="00CA5C8F"/>
    <w:rsid w:val="00CA5DFA"/>
    <w:rsid w:val="00CA62DC"/>
    <w:rsid w:val="00CB05BD"/>
    <w:rsid w:val="00CB10E3"/>
    <w:rsid w:val="00CB199A"/>
    <w:rsid w:val="00CB275C"/>
    <w:rsid w:val="00CB3236"/>
    <w:rsid w:val="00CB35F2"/>
    <w:rsid w:val="00CB4189"/>
    <w:rsid w:val="00CB41D9"/>
    <w:rsid w:val="00CB575B"/>
    <w:rsid w:val="00CB6964"/>
    <w:rsid w:val="00CB6A10"/>
    <w:rsid w:val="00CB71D5"/>
    <w:rsid w:val="00CB73C9"/>
    <w:rsid w:val="00CB765D"/>
    <w:rsid w:val="00CC00D7"/>
    <w:rsid w:val="00CC0644"/>
    <w:rsid w:val="00CC07B7"/>
    <w:rsid w:val="00CC0D4A"/>
    <w:rsid w:val="00CC1F5A"/>
    <w:rsid w:val="00CC2E28"/>
    <w:rsid w:val="00CC3142"/>
    <w:rsid w:val="00CC32E8"/>
    <w:rsid w:val="00CC3809"/>
    <w:rsid w:val="00CC3D4B"/>
    <w:rsid w:val="00CC3DBC"/>
    <w:rsid w:val="00CC4355"/>
    <w:rsid w:val="00CC4C6D"/>
    <w:rsid w:val="00CC4D36"/>
    <w:rsid w:val="00CC4E16"/>
    <w:rsid w:val="00CC51B5"/>
    <w:rsid w:val="00CC60A1"/>
    <w:rsid w:val="00CC6548"/>
    <w:rsid w:val="00CC6637"/>
    <w:rsid w:val="00CC6A5A"/>
    <w:rsid w:val="00CC79C8"/>
    <w:rsid w:val="00CD0887"/>
    <w:rsid w:val="00CD27AB"/>
    <w:rsid w:val="00CD2B7A"/>
    <w:rsid w:val="00CD2FE3"/>
    <w:rsid w:val="00CD41DA"/>
    <w:rsid w:val="00CD432C"/>
    <w:rsid w:val="00CD47AB"/>
    <w:rsid w:val="00CD47D5"/>
    <w:rsid w:val="00CD5577"/>
    <w:rsid w:val="00CD60CD"/>
    <w:rsid w:val="00CD645A"/>
    <w:rsid w:val="00CD6AD2"/>
    <w:rsid w:val="00CD7494"/>
    <w:rsid w:val="00CD759D"/>
    <w:rsid w:val="00CE04AD"/>
    <w:rsid w:val="00CE0525"/>
    <w:rsid w:val="00CE0600"/>
    <w:rsid w:val="00CE149A"/>
    <w:rsid w:val="00CE1B7A"/>
    <w:rsid w:val="00CE1CF3"/>
    <w:rsid w:val="00CE2019"/>
    <w:rsid w:val="00CE28ED"/>
    <w:rsid w:val="00CE3D71"/>
    <w:rsid w:val="00CE496B"/>
    <w:rsid w:val="00CE71F9"/>
    <w:rsid w:val="00CE72C1"/>
    <w:rsid w:val="00CE74BE"/>
    <w:rsid w:val="00CF0234"/>
    <w:rsid w:val="00CF09CB"/>
    <w:rsid w:val="00CF12A2"/>
    <w:rsid w:val="00CF3B62"/>
    <w:rsid w:val="00CF3C7C"/>
    <w:rsid w:val="00CF429B"/>
    <w:rsid w:val="00CF4D7F"/>
    <w:rsid w:val="00CF5BB7"/>
    <w:rsid w:val="00CF7325"/>
    <w:rsid w:val="00CF7912"/>
    <w:rsid w:val="00CF7B30"/>
    <w:rsid w:val="00CF7BE2"/>
    <w:rsid w:val="00D0057A"/>
    <w:rsid w:val="00D01505"/>
    <w:rsid w:val="00D017A6"/>
    <w:rsid w:val="00D01B24"/>
    <w:rsid w:val="00D01D7E"/>
    <w:rsid w:val="00D02EE3"/>
    <w:rsid w:val="00D03641"/>
    <w:rsid w:val="00D071F3"/>
    <w:rsid w:val="00D075AE"/>
    <w:rsid w:val="00D0765C"/>
    <w:rsid w:val="00D07C14"/>
    <w:rsid w:val="00D1108E"/>
    <w:rsid w:val="00D12765"/>
    <w:rsid w:val="00D12969"/>
    <w:rsid w:val="00D12F1D"/>
    <w:rsid w:val="00D139AC"/>
    <w:rsid w:val="00D139B2"/>
    <w:rsid w:val="00D13BD0"/>
    <w:rsid w:val="00D1463A"/>
    <w:rsid w:val="00D14F6A"/>
    <w:rsid w:val="00D1525D"/>
    <w:rsid w:val="00D1531B"/>
    <w:rsid w:val="00D15D81"/>
    <w:rsid w:val="00D160CC"/>
    <w:rsid w:val="00D16251"/>
    <w:rsid w:val="00D162CA"/>
    <w:rsid w:val="00D16CBE"/>
    <w:rsid w:val="00D2093B"/>
    <w:rsid w:val="00D20E16"/>
    <w:rsid w:val="00D22C46"/>
    <w:rsid w:val="00D241E4"/>
    <w:rsid w:val="00D302EF"/>
    <w:rsid w:val="00D31191"/>
    <w:rsid w:val="00D31408"/>
    <w:rsid w:val="00D31728"/>
    <w:rsid w:val="00D33FC9"/>
    <w:rsid w:val="00D3415E"/>
    <w:rsid w:val="00D35880"/>
    <w:rsid w:val="00D35971"/>
    <w:rsid w:val="00D35C47"/>
    <w:rsid w:val="00D35CDB"/>
    <w:rsid w:val="00D37AEB"/>
    <w:rsid w:val="00D40AF9"/>
    <w:rsid w:val="00D40B9A"/>
    <w:rsid w:val="00D40E79"/>
    <w:rsid w:val="00D416F7"/>
    <w:rsid w:val="00D41D55"/>
    <w:rsid w:val="00D43DC5"/>
    <w:rsid w:val="00D445FE"/>
    <w:rsid w:val="00D44647"/>
    <w:rsid w:val="00D44C37"/>
    <w:rsid w:val="00D458D1"/>
    <w:rsid w:val="00D46739"/>
    <w:rsid w:val="00D4696B"/>
    <w:rsid w:val="00D46BBC"/>
    <w:rsid w:val="00D46E52"/>
    <w:rsid w:val="00D4774B"/>
    <w:rsid w:val="00D4799D"/>
    <w:rsid w:val="00D50649"/>
    <w:rsid w:val="00D50719"/>
    <w:rsid w:val="00D50F2C"/>
    <w:rsid w:val="00D51E5B"/>
    <w:rsid w:val="00D521C8"/>
    <w:rsid w:val="00D5243A"/>
    <w:rsid w:val="00D527C6"/>
    <w:rsid w:val="00D53025"/>
    <w:rsid w:val="00D53621"/>
    <w:rsid w:val="00D53B0F"/>
    <w:rsid w:val="00D5486E"/>
    <w:rsid w:val="00D548E8"/>
    <w:rsid w:val="00D549B8"/>
    <w:rsid w:val="00D54E1C"/>
    <w:rsid w:val="00D550E9"/>
    <w:rsid w:val="00D55F06"/>
    <w:rsid w:val="00D56C0E"/>
    <w:rsid w:val="00D56ED4"/>
    <w:rsid w:val="00D56F91"/>
    <w:rsid w:val="00D57004"/>
    <w:rsid w:val="00D5745B"/>
    <w:rsid w:val="00D57516"/>
    <w:rsid w:val="00D57A12"/>
    <w:rsid w:val="00D60D89"/>
    <w:rsid w:val="00D61E31"/>
    <w:rsid w:val="00D62CE9"/>
    <w:rsid w:val="00D63028"/>
    <w:rsid w:val="00D63F47"/>
    <w:rsid w:val="00D70633"/>
    <w:rsid w:val="00D70BC9"/>
    <w:rsid w:val="00D71482"/>
    <w:rsid w:val="00D717EC"/>
    <w:rsid w:val="00D71941"/>
    <w:rsid w:val="00D71B8C"/>
    <w:rsid w:val="00D71DB3"/>
    <w:rsid w:val="00D72FA4"/>
    <w:rsid w:val="00D73576"/>
    <w:rsid w:val="00D73B26"/>
    <w:rsid w:val="00D74EFF"/>
    <w:rsid w:val="00D75282"/>
    <w:rsid w:val="00D75C7A"/>
    <w:rsid w:val="00D76D78"/>
    <w:rsid w:val="00D7749B"/>
    <w:rsid w:val="00D77B0B"/>
    <w:rsid w:val="00D77DE4"/>
    <w:rsid w:val="00D77F8D"/>
    <w:rsid w:val="00D808EB"/>
    <w:rsid w:val="00D80DC5"/>
    <w:rsid w:val="00D81EEB"/>
    <w:rsid w:val="00D82A57"/>
    <w:rsid w:val="00D84DEE"/>
    <w:rsid w:val="00D8514B"/>
    <w:rsid w:val="00D851BD"/>
    <w:rsid w:val="00D8565C"/>
    <w:rsid w:val="00D858CA"/>
    <w:rsid w:val="00D86F06"/>
    <w:rsid w:val="00D870CC"/>
    <w:rsid w:val="00D87500"/>
    <w:rsid w:val="00D875A0"/>
    <w:rsid w:val="00D87FE5"/>
    <w:rsid w:val="00D90E9F"/>
    <w:rsid w:val="00D9134E"/>
    <w:rsid w:val="00D9212C"/>
    <w:rsid w:val="00D92398"/>
    <w:rsid w:val="00D92551"/>
    <w:rsid w:val="00D93364"/>
    <w:rsid w:val="00D93A6D"/>
    <w:rsid w:val="00D93D58"/>
    <w:rsid w:val="00D96106"/>
    <w:rsid w:val="00D9614F"/>
    <w:rsid w:val="00D97A80"/>
    <w:rsid w:val="00DA04CE"/>
    <w:rsid w:val="00DA1323"/>
    <w:rsid w:val="00DA256D"/>
    <w:rsid w:val="00DA265A"/>
    <w:rsid w:val="00DA268A"/>
    <w:rsid w:val="00DA2FA4"/>
    <w:rsid w:val="00DA3AE6"/>
    <w:rsid w:val="00DA3D5D"/>
    <w:rsid w:val="00DA3DEC"/>
    <w:rsid w:val="00DA40CF"/>
    <w:rsid w:val="00DA4483"/>
    <w:rsid w:val="00DA5217"/>
    <w:rsid w:val="00DA53BA"/>
    <w:rsid w:val="00DA554E"/>
    <w:rsid w:val="00DA65B3"/>
    <w:rsid w:val="00DA708A"/>
    <w:rsid w:val="00DA73DA"/>
    <w:rsid w:val="00DB0441"/>
    <w:rsid w:val="00DB0635"/>
    <w:rsid w:val="00DB20B7"/>
    <w:rsid w:val="00DB2118"/>
    <w:rsid w:val="00DB29D8"/>
    <w:rsid w:val="00DB3F97"/>
    <w:rsid w:val="00DB47E0"/>
    <w:rsid w:val="00DB4845"/>
    <w:rsid w:val="00DB60D3"/>
    <w:rsid w:val="00DB6230"/>
    <w:rsid w:val="00DB714F"/>
    <w:rsid w:val="00DB76E3"/>
    <w:rsid w:val="00DC0994"/>
    <w:rsid w:val="00DC0CA1"/>
    <w:rsid w:val="00DC189C"/>
    <w:rsid w:val="00DC2A27"/>
    <w:rsid w:val="00DC2DF9"/>
    <w:rsid w:val="00DC3072"/>
    <w:rsid w:val="00DC3E65"/>
    <w:rsid w:val="00DC5B33"/>
    <w:rsid w:val="00DC6FC4"/>
    <w:rsid w:val="00DD1A6E"/>
    <w:rsid w:val="00DD1A84"/>
    <w:rsid w:val="00DD1FBB"/>
    <w:rsid w:val="00DD1FD2"/>
    <w:rsid w:val="00DD2176"/>
    <w:rsid w:val="00DD23CD"/>
    <w:rsid w:val="00DD29A9"/>
    <w:rsid w:val="00DD33D3"/>
    <w:rsid w:val="00DD4E64"/>
    <w:rsid w:val="00DD6F9C"/>
    <w:rsid w:val="00DD7017"/>
    <w:rsid w:val="00DD70D0"/>
    <w:rsid w:val="00DD7578"/>
    <w:rsid w:val="00DD79E2"/>
    <w:rsid w:val="00DE0825"/>
    <w:rsid w:val="00DE23EF"/>
    <w:rsid w:val="00DE2697"/>
    <w:rsid w:val="00DE2FB4"/>
    <w:rsid w:val="00DE3B83"/>
    <w:rsid w:val="00DE4EB5"/>
    <w:rsid w:val="00DE71B4"/>
    <w:rsid w:val="00DE77C4"/>
    <w:rsid w:val="00DE7A99"/>
    <w:rsid w:val="00DF09EB"/>
    <w:rsid w:val="00DF09FB"/>
    <w:rsid w:val="00DF0F95"/>
    <w:rsid w:val="00DF1458"/>
    <w:rsid w:val="00DF1A0D"/>
    <w:rsid w:val="00DF2A8E"/>
    <w:rsid w:val="00DF3202"/>
    <w:rsid w:val="00DF3410"/>
    <w:rsid w:val="00DF3F6D"/>
    <w:rsid w:val="00DF3F9A"/>
    <w:rsid w:val="00DF44A9"/>
    <w:rsid w:val="00DF4B7A"/>
    <w:rsid w:val="00DF5199"/>
    <w:rsid w:val="00DF51CB"/>
    <w:rsid w:val="00DF57F1"/>
    <w:rsid w:val="00DF59C9"/>
    <w:rsid w:val="00DF5BCF"/>
    <w:rsid w:val="00DF6975"/>
    <w:rsid w:val="00E02981"/>
    <w:rsid w:val="00E02F28"/>
    <w:rsid w:val="00E03E03"/>
    <w:rsid w:val="00E0568D"/>
    <w:rsid w:val="00E0584F"/>
    <w:rsid w:val="00E05E66"/>
    <w:rsid w:val="00E06370"/>
    <w:rsid w:val="00E07975"/>
    <w:rsid w:val="00E07BF0"/>
    <w:rsid w:val="00E10486"/>
    <w:rsid w:val="00E10B44"/>
    <w:rsid w:val="00E10CAE"/>
    <w:rsid w:val="00E112CB"/>
    <w:rsid w:val="00E11C66"/>
    <w:rsid w:val="00E12C30"/>
    <w:rsid w:val="00E165FD"/>
    <w:rsid w:val="00E16805"/>
    <w:rsid w:val="00E16A91"/>
    <w:rsid w:val="00E16E34"/>
    <w:rsid w:val="00E171B8"/>
    <w:rsid w:val="00E17321"/>
    <w:rsid w:val="00E1739A"/>
    <w:rsid w:val="00E1751A"/>
    <w:rsid w:val="00E17627"/>
    <w:rsid w:val="00E17872"/>
    <w:rsid w:val="00E20561"/>
    <w:rsid w:val="00E20609"/>
    <w:rsid w:val="00E20653"/>
    <w:rsid w:val="00E206CC"/>
    <w:rsid w:val="00E20BA4"/>
    <w:rsid w:val="00E214F9"/>
    <w:rsid w:val="00E219D2"/>
    <w:rsid w:val="00E21E0D"/>
    <w:rsid w:val="00E223B2"/>
    <w:rsid w:val="00E22C55"/>
    <w:rsid w:val="00E2405A"/>
    <w:rsid w:val="00E24A07"/>
    <w:rsid w:val="00E24E62"/>
    <w:rsid w:val="00E253E8"/>
    <w:rsid w:val="00E261B7"/>
    <w:rsid w:val="00E268E6"/>
    <w:rsid w:val="00E26CFF"/>
    <w:rsid w:val="00E274A9"/>
    <w:rsid w:val="00E27DC6"/>
    <w:rsid w:val="00E300FC"/>
    <w:rsid w:val="00E307EF"/>
    <w:rsid w:val="00E3096B"/>
    <w:rsid w:val="00E30B68"/>
    <w:rsid w:val="00E30DE1"/>
    <w:rsid w:val="00E32EBE"/>
    <w:rsid w:val="00E3346A"/>
    <w:rsid w:val="00E33843"/>
    <w:rsid w:val="00E3388C"/>
    <w:rsid w:val="00E343B6"/>
    <w:rsid w:val="00E35613"/>
    <w:rsid w:val="00E36B5B"/>
    <w:rsid w:val="00E373E0"/>
    <w:rsid w:val="00E4150B"/>
    <w:rsid w:val="00E424F9"/>
    <w:rsid w:val="00E4312B"/>
    <w:rsid w:val="00E4367F"/>
    <w:rsid w:val="00E43BA8"/>
    <w:rsid w:val="00E445C1"/>
    <w:rsid w:val="00E448BE"/>
    <w:rsid w:val="00E4490B"/>
    <w:rsid w:val="00E44B61"/>
    <w:rsid w:val="00E44C05"/>
    <w:rsid w:val="00E4522A"/>
    <w:rsid w:val="00E47721"/>
    <w:rsid w:val="00E47FF7"/>
    <w:rsid w:val="00E509CB"/>
    <w:rsid w:val="00E51E7A"/>
    <w:rsid w:val="00E52C75"/>
    <w:rsid w:val="00E539BD"/>
    <w:rsid w:val="00E53C1F"/>
    <w:rsid w:val="00E53F00"/>
    <w:rsid w:val="00E54AF2"/>
    <w:rsid w:val="00E5622B"/>
    <w:rsid w:val="00E5626D"/>
    <w:rsid w:val="00E564B9"/>
    <w:rsid w:val="00E569A7"/>
    <w:rsid w:val="00E57513"/>
    <w:rsid w:val="00E60BDA"/>
    <w:rsid w:val="00E614DC"/>
    <w:rsid w:val="00E622A0"/>
    <w:rsid w:val="00E62912"/>
    <w:rsid w:val="00E62F11"/>
    <w:rsid w:val="00E63F64"/>
    <w:rsid w:val="00E6484D"/>
    <w:rsid w:val="00E64A8A"/>
    <w:rsid w:val="00E64E2E"/>
    <w:rsid w:val="00E64FF4"/>
    <w:rsid w:val="00E65AF8"/>
    <w:rsid w:val="00E66470"/>
    <w:rsid w:val="00E66CCF"/>
    <w:rsid w:val="00E66E53"/>
    <w:rsid w:val="00E67DF4"/>
    <w:rsid w:val="00E67F62"/>
    <w:rsid w:val="00E70144"/>
    <w:rsid w:val="00E70440"/>
    <w:rsid w:val="00E705B1"/>
    <w:rsid w:val="00E70BF5"/>
    <w:rsid w:val="00E70E7E"/>
    <w:rsid w:val="00E71574"/>
    <w:rsid w:val="00E71DC0"/>
    <w:rsid w:val="00E73648"/>
    <w:rsid w:val="00E73742"/>
    <w:rsid w:val="00E74695"/>
    <w:rsid w:val="00E77084"/>
    <w:rsid w:val="00E775ED"/>
    <w:rsid w:val="00E80061"/>
    <w:rsid w:val="00E81DD4"/>
    <w:rsid w:val="00E8309D"/>
    <w:rsid w:val="00E83364"/>
    <w:rsid w:val="00E835E9"/>
    <w:rsid w:val="00E8439F"/>
    <w:rsid w:val="00E8512E"/>
    <w:rsid w:val="00E854ED"/>
    <w:rsid w:val="00E863F3"/>
    <w:rsid w:val="00E87C75"/>
    <w:rsid w:val="00E9067A"/>
    <w:rsid w:val="00E910C8"/>
    <w:rsid w:val="00E914EA"/>
    <w:rsid w:val="00E91A82"/>
    <w:rsid w:val="00E930E0"/>
    <w:rsid w:val="00E9310C"/>
    <w:rsid w:val="00E935E2"/>
    <w:rsid w:val="00E93FBF"/>
    <w:rsid w:val="00E94062"/>
    <w:rsid w:val="00E9427B"/>
    <w:rsid w:val="00E94DFE"/>
    <w:rsid w:val="00E9637D"/>
    <w:rsid w:val="00E96E8E"/>
    <w:rsid w:val="00E971C8"/>
    <w:rsid w:val="00EA1D1C"/>
    <w:rsid w:val="00EA3156"/>
    <w:rsid w:val="00EA4441"/>
    <w:rsid w:val="00EA4E24"/>
    <w:rsid w:val="00EA53D7"/>
    <w:rsid w:val="00EA61D2"/>
    <w:rsid w:val="00EA687C"/>
    <w:rsid w:val="00EA695C"/>
    <w:rsid w:val="00EA7573"/>
    <w:rsid w:val="00EB2479"/>
    <w:rsid w:val="00EB2BF5"/>
    <w:rsid w:val="00EB3C1C"/>
    <w:rsid w:val="00EB4186"/>
    <w:rsid w:val="00EB4460"/>
    <w:rsid w:val="00EB4598"/>
    <w:rsid w:val="00EB5BF8"/>
    <w:rsid w:val="00EB6608"/>
    <w:rsid w:val="00EB7292"/>
    <w:rsid w:val="00EB7B1A"/>
    <w:rsid w:val="00EC0366"/>
    <w:rsid w:val="00EC13C9"/>
    <w:rsid w:val="00EC1480"/>
    <w:rsid w:val="00EC2762"/>
    <w:rsid w:val="00EC38D7"/>
    <w:rsid w:val="00EC3CA5"/>
    <w:rsid w:val="00EC3EE4"/>
    <w:rsid w:val="00EC6C32"/>
    <w:rsid w:val="00EC7008"/>
    <w:rsid w:val="00EC7681"/>
    <w:rsid w:val="00EC76FB"/>
    <w:rsid w:val="00EC7B96"/>
    <w:rsid w:val="00EC7F1E"/>
    <w:rsid w:val="00ED0587"/>
    <w:rsid w:val="00ED2664"/>
    <w:rsid w:val="00ED2F99"/>
    <w:rsid w:val="00ED2FF5"/>
    <w:rsid w:val="00ED32E6"/>
    <w:rsid w:val="00ED3E30"/>
    <w:rsid w:val="00ED4F33"/>
    <w:rsid w:val="00ED5C0C"/>
    <w:rsid w:val="00ED6837"/>
    <w:rsid w:val="00EE26D4"/>
    <w:rsid w:val="00EE2F3E"/>
    <w:rsid w:val="00EE34E3"/>
    <w:rsid w:val="00EE43F0"/>
    <w:rsid w:val="00EE494E"/>
    <w:rsid w:val="00EE4F7A"/>
    <w:rsid w:val="00EE51FA"/>
    <w:rsid w:val="00EE5B52"/>
    <w:rsid w:val="00EE5B9D"/>
    <w:rsid w:val="00EF24DE"/>
    <w:rsid w:val="00EF385F"/>
    <w:rsid w:val="00EF3D36"/>
    <w:rsid w:val="00EF460F"/>
    <w:rsid w:val="00EF47D9"/>
    <w:rsid w:val="00EF4980"/>
    <w:rsid w:val="00EF4A5D"/>
    <w:rsid w:val="00EF4D02"/>
    <w:rsid w:val="00EF5428"/>
    <w:rsid w:val="00EF6B1E"/>
    <w:rsid w:val="00EF778D"/>
    <w:rsid w:val="00EF7ABB"/>
    <w:rsid w:val="00EF7B22"/>
    <w:rsid w:val="00EF7FF8"/>
    <w:rsid w:val="00F003FE"/>
    <w:rsid w:val="00F00B34"/>
    <w:rsid w:val="00F00DF2"/>
    <w:rsid w:val="00F01B7C"/>
    <w:rsid w:val="00F01D7A"/>
    <w:rsid w:val="00F021F2"/>
    <w:rsid w:val="00F03330"/>
    <w:rsid w:val="00F03E86"/>
    <w:rsid w:val="00F04718"/>
    <w:rsid w:val="00F04BD9"/>
    <w:rsid w:val="00F0527F"/>
    <w:rsid w:val="00F05327"/>
    <w:rsid w:val="00F056CA"/>
    <w:rsid w:val="00F076A8"/>
    <w:rsid w:val="00F0794F"/>
    <w:rsid w:val="00F07CEB"/>
    <w:rsid w:val="00F07DFB"/>
    <w:rsid w:val="00F10243"/>
    <w:rsid w:val="00F10338"/>
    <w:rsid w:val="00F10390"/>
    <w:rsid w:val="00F1085A"/>
    <w:rsid w:val="00F10C86"/>
    <w:rsid w:val="00F1105F"/>
    <w:rsid w:val="00F116E5"/>
    <w:rsid w:val="00F13889"/>
    <w:rsid w:val="00F13A76"/>
    <w:rsid w:val="00F144F7"/>
    <w:rsid w:val="00F1512C"/>
    <w:rsid w:val="00F159B3"/>
    <w:rsid w:val="00F15F48"/>
    <w:rsid w:val="00F162CB"/>
    <w:rsid w:val="00F16400"/>
    <w:rsid w:val="00F16738"/>
    <w:rsid w:val="00F16C29"/>
    <w:rsid w:val="00F1731D"/>
    <w:rsid w:val="00F173AF"/>
    <w:rsid w:val="00F1742E"/>
    <w:rsid w:val="00F17610"/>
    <w:rsid w:val="00F20432"/>
    <w:rsid w:val="00F2047D"/>
    <w:rsid w:val="00F2105F"/>
    <w:rsid w:val="00F225E7"/>
    <w:rsid w:val="00F227EF"/>
    <w:rsid w:val="00F22C81"/>
    <w:rsid w:val="00F23158"/>
    <w:rsid w:val="00F23D25"/>
    <w:rsid w:val="00F25234"/>
    <w:rsid w:val="00F256A2"/>
    <w:rsid w:val="00F25C23"/>
    <w:rsid w:val="00F25F32"/>
    <w:rsid w:val="00F26779"/>
    <w:rsid w:val="00F267A1"/>
    <w:rsid w:val="00F26C71"/>
    <w:rsid w:val="00F26EDC"/>
    <w:rsid w:val="00F26F75"/>
    <w:rsid w:val="00F27CB8"/>
    <w:rsid w:val="00F27EF1"/>
    <w:rsid w:val="00F30077"/>
    <w:rsid w:val="00F3077E"/>
    <w:rsid w:val="00F30C38"/>
    <w:rsid w:val="00F31714"/>
    <w:rsid w:val="00F3240E"/>
    <w:rsid w:val="00F32FBD"/>
    <w:rsid w:val="00F3451E"/>
    <w:rsid w:val="00F35C43"/>
    <w:rsid w:val="00F35D0E"/>
    <w:rsid w:val="00F35ECC"/>
    <w:rsid w:val="00F360F5"/>
    <w:rsid w:val="00F363A1"/>
    <w:rsid w:val="00F363BC"/>
    <w:rsid w:val="00F40013"/>
    <w:rsid w:val="00F4011B"/>
    <w:rsid w:val="00F40BB0"/>
    <w:rsid w:val="00F418A0"/>
    <w:rsid w:val="00F4221A"/>
    <w:rsid w:val="00F42298"/>
    <w:rsid w:val="00F43A45"/>
    <w:rsid w:val="00F43EBE"/>
    <w:rsid w:val="00F4444C"/>
    <w:rsid w:val="00F44B73"/>
    <w:rsid w:val="00F4509E"/>
    <w:rsid w:val="00F455A8"/>
    <w:rsid w:val="00F458AB"/>
    <w:rsid w:val="00F4596C"/>
    <w:rsid w:val="00F45C1C"/>
    <w:rsid w:val="00F45C7D"/>
    <w:rsid w:val="00F4758C"/>
    <w:rsid w:val="00F4792E"/>
    <w:rsid w:val="00F50311"/>
    <w:rsid w:val="00F50516"/>
    <w:rsid w:val="00F50C15"/>
    <w:rsid w:val="00F518D6"/>
    <w:rsid w:val="00F51C4B"/>
    <w:rsid w:val="00F52039"/>
    <w:rsid w:val="00F526A2"/>
    <w:rsid w:val="00F52997"/>
    <w:rsid w:val="00F538AD"/>
    <w:rsid w:val="00F54BA3"/>
    <w:rsid w:val="00F54C7F"/>
    <w:rsid w:val="00F5532E"/>
    <w:rsid w:val="00F5595C"/>
    <w:rsid w:val="00F5659D"/>
    <w:rsid w:val="00F566A1"/>
    <w:rsid w:val="00F601AE"/>
    <w:rsid w:val="00F6038F"/>
    <w:rsid w:val="00F603F8"/>
    <w:rsid w:val="00F604AE"/>
    <w:rsid w:val="00F60D24"/>
    <w:rsid w:val="00F61ADC"/>
    <w:rsid w:val="00F61CEF"/>
    <w:rsid w:val="00F621DB"/>
    <w:rsid w:val="00F62351"/>
    <w:rsid w:val="00F6280F"/>
    <w:rsid w:val="00F63DD8"/>
    <w:rsid w:val="00F63DF8"/>
    <w:rsid w:val="00F6511F"/>
    <w:rsid w:val="00F6545B"/>
    <w:rsid w:val="00F66536"/>
    <w:rsid w:val="00F679F8"/>
    <w:rsid w:val="00F67CCC"/>
    <w:rsid w:val="00F67E31"/>
    <w:rsid w:val="00F67F8C"/>
    <w:rsid w:val="00F70335"/>
    <w:rsid w:val="00F71133"/>
    <w:rsid w:val="00F711B9"/>
    <w:rsid w:val="00F716CA"/>
    <w:rsid w:val="00F724F9"/>
    <w:rsid w:val="00F72ACD"/>
    <w:rsid w:val="00F73829"/>
    <w:rsid w:val="00F7390A"/>
    <w:rsid w:val="00F73A98"/>
    <w:rsid w:val="00F74DB0"/>
    <w:rsid w:val="00F75DC7"/>
    <w:rsid w:val="00F76DE6"/>
    <w:rsid w:val="00F77309"/>
    <w:rsid w:val="00F779A1"/>
    <w:rsid w:val="00F80341"/>
    <w:rsid w:val="00F81E6B"/>
    <w:rsid w:val="00F82CF3"/>
    <w:rsid w:val="00F84F9E"/>
    <w:rsid w:val="00F854E5"/>
    <w:rsid w:val="00F85642"/>
    <w:rsid w:val="00F876B9"/>
    <w:rsid w:val="00F90587"/>
    <w:rsid w:val="00F905B8"/>
    <w:rsid w:val="00F91E0D"/>
    <w:rsid w:val="00F91F6A"/>
    <w:rsid w:val="00F9348E"/>
    <w:rsid w:val="00F935B0"/>
    <w:rsid w:val="00F947D9"/>
    <w:rsid w:val="00F94BB7"/>
    <w:rsid w:val="00F94D95"/>
    <w:rsid w:val="00F950BF"/>
    <w:rsid w:val="00F9610C"/>
    <w:rsid w:val="00F961AF"/>
    <w:rsid w:val="00F96620"/>
    <w:rsid w:val="00F96A4B"/>
    <w:rsid w:val="00F971A2"/>
    <w:rsid w:val="00F979B4"/>
    <w:rsid w:val="00FA0085"/>
    <w:rsid w:val="00FA0F9C"/>
    <w:rsid w:val="00FA143B"/>
    <w:rsid w:val="00FA15DA"/>
    <w:rsid w:val="00FA19D6"/>
    <w:rsid w:val="00FA1EC6"/>
    <w:rsid w:val="00FA2001"/>
    <w:rsid w:val="00FA3814"/>
    <w:rsid w:val="00FA4525"/>
    <w:rsid w:val="00FA46CC"/>
    <w:rsid w:val="00FA56ED"/>
    <w:rsid w:val="00FA57D6"/>
    <w:rsid w:val="00FA727E"/>
    <w:rsid w:val="00FA74A7"/>
    <w:rsid w:val="00FB0082"/>
    <w:rsid w:val="00FB075E"/>
    <w:rsid w:val="00FB07A1"/>
    <w:rsid w:val="00FB0813"/>
    <w:rsid w:val="00FB0AC2"/>
    <w:rsid w:val="00FB158E"/>
    <w:rsid w:val="00FB2AD0"/>
    <w:rsid w:val="00FB2DDE"/>
    <w:rsid w:val="00FB3AFC"/>
    <w:rsid w:val="00FB4E59"/>
    <w:rsid w:val="00FB500D"/>
    <w:rsid w:val="00FB54BF"/>
    <w:rsid w:val="00FB63D6"/>
    <w:rsid w:val="00FB6ECB"/>
    <w:rsid w:val="00FB758C"/>
    <w:rsid w:val="00FB7619"/>
    <w:rsid w:val="00FB7B6D"/>
    <w:rsid w:val="00FB7C37"/>
    <w:rsid w:val="00FC0154"/>
    <w:rsid w:val="00FC060E"/>
    <w:rsid w:val="00FC185C"/>
    <w:rsid w:val="00FC1F7A"/>
    <w:rsid w:val="00FC21F4"/>
    <w:rsid w:val="00FC3A8F"/>
    <w:rsid w:val="00FC43BB"/>
    <w:rsid w:val="00FC5301"/>
    <w:rsid w:val="00FC5334"/>
    <w:rsid w:val="00FC536E"/>
    <w:rsid w:val="00FC585E"/>
    <w:rsid w:val="00FC5933"/>
    <w:rsid w:val="00FC5A1A"/>
    <w:rsid w:val="00FC5A2F"/>
    <w:rsid w:val="00FC5A45"/>
    <w:rsid w:val="00FC6E37"/>
    <w:rsid w:val="00FC7D4A"/>
    <w:rsid w:val="00FD071A"/>
    <w:rsid w:val="00FD0B7C"/>
    <w:rsid w:val="00FD11DD"/>
    <w:rsid w:val="00FD1D1C"/>
    <w:rsid w:val="00FD1D4B"/>
    <w:rsid w:val="00FD1EB7"/>
    <w:rsid w:val="00FD32D4"/>
    <w:rsid w:val="00FD3713"/>
    <w:rsid w:val="00FD4305"/>
    <w:rsid w:val="00FD4E9A"/>
    <w:rsid w:val="00FD629E"/>
    <w:rsid w:val="00FE0DA4"/>
    <w:rsid w:val="00FE13EF"/>
    <w:rsid w:val="00FE1527"/>
    <w:rsid w:val="00FE20C0"/>
    <w:rsid w:val="00FE2305"/>
    <w:rsid w:val="00FE295D"/>
    <w:rsid w:val="00FE2B65"/>
    <w:rsid w:val="00FE2B78"/>
    <w:rsid w:val="00FE2CF0"/>
    <w:rsid w:val="00FE3173"/>
    <w:rsid w:val="00FE3E9F"/>
    <w:rsid w:val="00FE43B9"/>
    <w:rsid w:val="00FE44F4"/>
    <w:rsid w:val="00FE4619"/>
    <w:rsid w:val="00FE47D3"/>
    <w:rsid w:val="00FE47FD"/>
    <w:rsid w:val="00FE4A00"/>
    <w:rsid w:val="00FE4C0E"/>
    <w:rsid w:val="00FE5CEA"/>
    <w:rsid w:val="00FE62FE"/>
    <w:rsid w:val="00FE6E2C"/>
    <w:rsid w:val="00FE7CB2"/>
    <w:rsid w:val="00FF018D"/>
    <w:rsid w:val="00FF113F"/>
    <w:rsid w:val="00FF1B94"/>
    <w:rsid w:val="00FF2953"/>
    <w:rsid w:val="00FF343D"/>
    <w:rsid w:val="00FF3FC4"/>
    <w:rsid w:val="00FF50A4"/>
    <w:rsid w:val="00FF54EB"/>
    <w:rsid w:val="00FF5C00"/>
    <w:rsid w:val="00FF61FA"/>
    <w:rsid w:val="00FF73E7"/>
    <w:rsid w:val="00FF7E33"/>
    <w:rsid w:val="0170F866"/>
    <w:rsid w:val="01967628"/>
    <w:rsid w:val="024E67FB"/>
    <w:rsid w:val="03300449"/>
    <w:rsid w:val="0357B0D3"/>
    <w:rsid w:val="040D9C1F"/>
    <w:rsid w:val="05216F1B"/>
    <w:rsid w:val="059D6EE8"/>
    <w:rsid w:val="0611F31D"/>
    <w:rsid w:val="072B4CA9"/>
    <w:rsid w:val="07327F4C"/>
    <w:rsid w:val="07544967"/>
    <w:rsid w:val="0911CF6B"/>
    <w:rsid w:val="09450B21"/>
    <w:rsid w:val="0A948FC5"/>
    <w:rsid w:val="0AD460BE"/>
    <w:rsid w:val="0B1726A9"/>
    <w:rsid w:val="0B3729BA"/>
    <w:rsid w:val="0B6B8097"/>
    <w:rsid w:val="0C6A1C6E"/>
    <w:rsid w:val="0C6B722F"/>
    <w:rsid w:val="0CEEF08B"/>
    <w:rsid w:val="0D3E674A"/>
    <w:rsid w:val="0E07E5CB"/>
    <w:rsid w:val="0E5A0FC4"/>
    <w:rsid w:val="0ED1F47D"/>
    <w:rsid w:val="0F0D4025"/>
    <w:rsid w:val="0F18C438"/>
    <w:rsid w:val="0F7D1667"/>
    <w:rsid w:val="100397B9"/>
    <w:rsid w:val="10B1C6A4"/>
    <w:rsid w:val="12187EBF"/>
    <w:rsid w:val="1341DA7C"/>
    <w:rsid w:val="135308BA"/>
    <w:rsid w:val="141C9D82"/>
    <w:rsid w:val="1433F00E"/>
    <w:rsid w:val="14811D24"/>
    <w:rsid w:val="15E78D7A"/>
    <w:rsid w:val="160DD70A"/>
    <w:rsid w:val="16BF73AD"/>
    <w:rsid w:val="16DD339C"/>
    <w:rsid w:val="17836DAA"/>
    <w:rsid w:val="181793CF"/>
    <w:rsid w:val="18FC0E0D"/>
    <w:rsid w:val="1A0E375F"/>
    <w:rsid w:val="1A700C32"/>
    <w:rsid w:val="1A77F639"/>
    <w:rsid w:val="1AA576C8"/>
    <w:rsid w:val="1C2E5BA3"/>
    <w:rsid w:val="1CCD00D2"/>
    <w:rsid w:val="1D0806E5"/>
    <w:rsid w:val="1D1A853C"/>
    <w:rsid w:val="213C5C51"/>
    <w:rsid w:val="21481EDE"/>
    <w:rsid w:val="22DE7DAF"/>
    <w:rsid w:val="22E8198F"/>
    <w:rsid w:val="23ED540F"/>
    <w:rsid w:val="242EF549"/>
    <w:rsid w:val="24A89CA4"/>
    <w:rsid w:val="2531875B"/>
    <w:rsid w:val="2637EFF9"/>
    <w:rsid w:val="267881D7"/>
    <w:rsid w:val="26E1E30B"/>
    <w:rsid w:val="2768EA2C"/>
    <w:rsid w:val="27742BDB"/>
    <w:rsid w:val="27A961DA"/>
    <w:rsid w:val="292C718E"/>
    <w:rsid w:val="2952B9CE"/>
    <w:rsid w:val="29C1CCD8"/>
    <w:rsid w:val="2A035A2C"/>
    <w:rsid w:val="2A4F6473"/>
    <w:rsid w:val="2AA58EF6"/>
    <w:rsid w:val="2AAF2214"/>
    <w:rsid w:val="2C05C3C0"/>
    <w:rsid w:val="2C50D080"/>
    <w:rsid w:val="2DC7E8BE"/>
    <w:rsid w:val="2DC85B18"/>
    <w:rsid w:val="2E8B9FFD"/>
    <w:rsid w:val="2F0DAB6F"/>
    <w:rsid w:val="2F403D09"/>
    <w:rsid w:val="30539BC2"/>
    <w:rsid w:val="30C5A4D1"/>
    <w:rsid w:val="314B98B3"/>
    <w:rsid w:val="3153C4B1"/>
    <w:rsid w:val="31CB4E3C"/>
    <w:rsid w:val="322225F7"/>
    <w:rsid w:val="32613592"/>
    <w:rsid w:val="32D6E276"/>
    <w:rsid w:val="35200DA6"/>
    <w:rsid w:val="3598242D"/>
    <w:rsid w:val="3620B5BB"/>
    <w:rsid w:val="36D1AEBA"/>
    <w:rsid w:val="380A5E9A"/>
    <w:rsid w:val="383BFA80"/>
    <w:rsid w:val="394894FE"/>
    <w:rsid w:val="398039D5"/>
    <w:rsid w:val="39A92FE6"/>
    <w:rsid w:val="39F6F24E"/>
    <w:rsid w:val="3A1672EB"/>
    <w:rsid w:val="3A34F7FC"/>
    <w:rsid w:val="3A4E9B5A"/>
    <w:rsid w:val="3A97D8F7"/>
    <w:rsid w:val="3B76FC60"/>
    <w:rsid w:val="3BE73C00"/>
    <w:rsid w:val="3C63A9BF"/>
    <w:rsid w:val="3C9E6599"/>
    <w:rsid w:val="3CBB8304"/>
    <w:rsid w:val="3D2D9BA4"/>
    <w:rsid w:val="3E37DEB4"/>
    <w:rsid w:val="3E6AB20B"/>
    <w:rsid w:val="3E99E910"/>
    <w:rsid w:val="3EDE0CDF"/>
    <w:rsid w:val="3F15EB33"/>
    <w:rsid w:val="3F1D076C"/>
    <w:rsid w:val="40D10A3F"/>
    <w:rsid w:val="40FD365E"/>
    <w:rsid w:val="41D32500"/>
    <w:rsid w:val="42499D03"/>
    <w:rsid w:val="43DF1DCD"/>
    <w:rsid w:val="448A8514"/>
    <w:rsid w:val="44C87828"/>
    <w:rsid w:val="4566DEBE"/>
    <w:rsid w:val="45B5085D"/>
    <w:rsid w:val="466FA10E"/>
    <w:rsid w:val="468729CA"/>
    <w:rsid w:val="46B91BA2"/>
    <w:rsid w:val="48870B08"/>
    <w:rsid w:val="4A8D332A"/>
    <w:rsid w:val="4C4E1B22"/>
    <w:rsid w:val="4D6AB84B"/>
    <w:rsid w:val="4DF5E904"/>
    <w:rsid w:val="4E0EBAFB"/>
    <w:rsid w:val="4E58AD78"/>
    <w:rsid w:val="4F095104"/>
    <w:rsid w:val="4FAB2233"/>
    <w:rsid w:val="4FB5AFB7"/>
    <w:rsid w:val="4FE14C3D"/>
    <w:rsid w:val="50F91B05"/>
    <w:rsid w:val="53A91090"/>
    <w:rsid w:val="54184E02"/>
    <w:rsid w:val="547D8117"/>
    <w:rsid w:val="54B5BDD0"/>
    <w:rsid w:val="54F682AA"/>
    <w:rsid w:val="554E7BBB"/>
    <w:rsid w:val="55DEA3A2"/>
    <w:rsid w:val="55F486C1"/>
    <w:rsid w:val="5718F0BF"/>
    <w:rsid w:val="574F91CE"/>
    <w:rsid w:val="57624BF2"/>
    <w:rsid w:val="57E416D3"/>
    <w:rsid w:val="57EC9ACA"/>
    <w:rsid w:val="583C3D78"/>
    <w:rsid w:val="58BCACCD"/>
    <w:rsid w:val="58C46738"/>
    <w:rsid w:val="59BB810E"/>
    <w:rsid w:val="5AAACA21"/>
    <w:rsid w:val="5BD89E84"/>
    <w:rsid w:val="5BDAA4AC"/>
    <w:rsid w:val="5DFDE1BD"/>
    <w:rsid w:val="5F0A8025"/>
    <w:rsid w:val="5F49395B"/>
    <w:rsid w:val="61119774"/>
    <w:rsid w:val="615B6BA5"/>
    <w:rsid w:val="61E3BDF2"/>
    <w:rsid w:val="63EF35AB"/>
    <w:rsid w:val="647886DA"/>
    <w:rsid w:val="6496F052"/>
    <w:rsid w:val="6558DA1C"/>
    <w:rsid w:val="657AA534"/>
    <w:rsid w:val="6697AA5B"/>
    <w:rsid w:val="67491FA8"/>
    <w:rsid w:val="684A179D"/>
    <w:rsid w:val="685288AB"/>
    <w:rsid w:val="6A2B306C"/>
    <w:rsid w:val="6A825F1F"/>
    <w:rsid w:val="6C473F6F"/>
    <w:rsid w:val="6D09F7BC"/>
    <w:rsid w:val="6D8E5C3F"/>
    <w:rsid w:val="6E93BE69"/>
    <w:rsid w:val="6EB6F775"/>
    <w:rsid w:val="6F9CF6AF"/>
    <w:rsid w:val="7015564B"/>
    <w:rsid w:val="7078409C"/>
    <w:rsid w:val="70ED428F"/>
    <w:rsid w:val="71107640"/>
    <w:rsid w:val="72650D95"/>
    <w:rsid w:val="72837871"/>
    <w:rsid w:val="72F31740"/>
    <w:rsid w:val="7331D734"/>
    <w:rsid w:val="733580E2"/>
    <w:rsid w:val="73C18BE9"/>
    <w:rsid w:val="742A4B41"/>
    <w:rsid w:val="757583E1"/>
    <w:rsid w:val="75CC944A"/>
    <w:rsid w:val="7627DA8A"/>
    <w:rsid w:val="763A2DBD"/>
    <w:rsid w:val="7642E465"/>
    <w:rsid w:val="771F9B23"/>
    <w:rsid w:val="7842F5C2"/>
    <w:rsid w:val="799A8104"/>
    <w:rsid w:val="79F58951"/>
    <w:rsid w:val="7A8685DD"/>
    <w:rsid w:val="7AB3FDF1"/>
    <w:rsid w:val="7AE3815F"/>
    <w:rsid w:val="7B65B4F2"/>
    <w:rsid w:val="7B7DC629"/>
    <w:rsid w:val="7D75A5A1"/>
    <w:rsid w:val="7E5721CD"/>
    <w:rsid w:val="7EB8B11A"/>
    <w:rsid w:val="7F88D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EE401"/>
  <w15:chartTrackingRefBased/>
  <w15:docId w15:val="{6148051F-088C-4DF2-8152-EE6159B063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39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1739A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rsid w:val="00E1739A"/>
  </w:style>
  <w:style w:type="paragraph" w:styleId="Rodap">
    <w:name w:val="footer"/>
    <w:basedOn w:val="Normal"/>
    <w:link w:val="RodapChar"/>
    <w:uiPriority w:val="99"/>
    <w:unhideWhenUsed/>
    <w:rsid w:val="00E1739A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RodapChar">
    <w:name w:val="Rodapé Char"/>
    <w:basedOn w:val="Fontepargpadro"/>
    <w:link w:val="Rodap"/>
    <w:uiPriority w:val="99"/>
    <w:rsid w:val="00E1739A"/>
  </w:style>
  <w:style w:type="paragraph" w:styleId="Ttulo">
    <w:name w:val="Title"/>
    <w:basedOn w:val="Normal"/>
    <w:link w:val="TtuloChar"/>
    <w:uiPriority w:val="10"/>
    <w:qFormat/>
    <w:rsid w:val="00E1739A"/>
    <w:pPr>
      <w:widowControl w:val="0"/>
      <w:autoSpaceDE w:val="0"/>
      <w:autoSpaceDN w:val="0"/>
      <w:spacing w:before="83"/>
      <w:ind w:left="277" w:right="310"/>
      <w:jc w:val="center"/>
    </w:pPr>
    <w:rPr>
      <w:rFonts w:ascii="Arial" w:eastAsia="Arial" w:hAnsi="Arial" w:cs="Arial"/>
      <w:b/>
      <w:bCs/>
      <w:sz w:val="23"/>
      <w:szCs w:val="23"/>
      <w:lang w:val="pt-PT" w:eastAsia="en-US"/>
    </w:rPr>
  </w:style>
  <w:style w:type="character" w:customStyle="1" w:styleId="TtuloChar">
    <w:name w:val="Título Char"/>
    <w:basedOn w:val="Fontepargpadro"/>
    <w:link w:val="Ttulo"/>
    <w:uiPriority w:val="10"/>
    <w:rsid w:val="00E1739A"/>
    <w:rPr>
      <w:rFonts w:ascii="Arial" w:eastAsia="Arial" w:hAnsi="Arial" w:cs="Arial"/>
      <w:b/>
      <w:bCs/>
      <w:sz w:val="23"/>
      <w:szCs w:val="23"/>
      <w:lang w:val="pt-PT"/>
    </w:rPr>
  </w:style>
  <w:style w:type="paragraph" w:customStyle="1" w:styleId="Default">
    <w:name w:val="Default"/>
    <w:rsid w:val="00E1739A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pt-BR"/>
    </w:rPr>
  </w:style>
  <w:style w:type="table" w:styleId="Tabelacomgrade">
    <w:name w:val="Table Grid"/>
    <w:basedOn w:val="Tabelanormal"/>
    <w:uiPriority w:val="39"/>
    <w:rsid w:val="00E173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E1739A"/>
    <w:pPr>
      <w:ind w:left="720"/>
      <w:contextualSpacing/>
    </w:pPr>
  </w:style>
  <w:style w:type="character" w:styleId="Refdecomentrio">
    <w:name w:val="annotation reference"/>
    <w:basedOn w:val="Fontepargpadro"/>
    <w:uiPriority w:val="99"/>
    <w:semiHidden/>
    <w:unhideWhenUsed/>
    <w:rsid w:val="008D319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8D319D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8D319D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D319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D319D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4F1658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4F1658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aliases w:val="Stinking Styles13,sobrescrito,Referência de rodapé,FC,_Footnote Reference,_Footnote text,_Footnote,_Footnote Text,_Footnote base Reference,fr"/>
    <w:basedOn w:val="Fontepargpadro"/>
    <w:uiPriority w:val="99"/>
    <w:unhideWhenUsed/>
    <w:rsid w:val="004F1658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337F4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7F4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3087B"/>
    <w:rPr>
      <w:color w:val="954F72" w:themeColor="followed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94BB7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94BB7"/>
    <w:rPr>
      <w:rFonts w:ascii="Segoe UI" w:eastAsia="Times New Roman" w:hAnsi="Segoe UI" w:cs="Segoe UI"/>
      <w:sz w:val="18"/>
      <w:szCs w:val="18"/>
      <w:lang w:eastAsia="pt-BR"/>
    </w:rPr>
  </w:style>
  <w:style w:type="paragraph" w:styleId="Reviso">
    <w:name w:val="Revision"/>
    <w:hidden/>
    <w:uiPriority w:val="99"/>
    <w:semiHidden/>
    <w:rsid w:val="00D549B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orpodetexto">
    <w:name w:val="Body Text"/>
    <w:basedOn w:val="Normal"/>
    <w:link w:val="CorpodetextoChar"/>
    <w:rsid w:val="00FD11DD"/>
    <w:pPr>
      <w:autoSpaceDE w:val="0"/>
      <w:autoSpaceDN w:val="0"/>
      <w:adjustRightInd w:val="0"/>
      <w:jc w:val="both"/>
    </w:pPr>
    <w:rPr>
      <w:rFonts w:ascii="TimesNewRoman" w:hAnsi="TimesNewRoman"/>
      <w:sz w:val="19"/>
      <w:szCs w:val="19"/>
    </w:rPr>
  </w:style>
  <w:style w:type="character" w:customStyle="1" w:styleId="CorpodetextoChar">
    <w:name w:val="Corpo de texto Char"/>
    <w:basedOn w:val="Fontepargpadro"/>
    <w:link w:val="Corpodetexto"/>
    <w:rsid w:val="00FD11DD"/>
    <w:rPr>
      <w:rFonts w:ascii="TimesNewRoman" w:eastAsia="Times New Roman" w:hAnsi="TimesNewRoman" w:cs="Times New Roman"/>
      <w:sz w:val="19"/>
      <w:szCs w:val="19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66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8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46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66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724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994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616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850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53812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1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5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4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283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992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981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292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110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57553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936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6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8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1561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7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238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49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2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isaca.org/resources/cobit" TargetMode="External"/><Relationship Id="rId18" Type="http://schemas.openxmlformats.org/officeDocument/2006/relationships/hyperlink" Target="https://pesquisa.apps.tcu.gov.br/pesquisa/acordao-completo" TargetMode="External"/><Relationship Id="rId26" Type="http://schemas.openxmlformats.org/officeDocument/2006/relationships/hyperlink" Target="https://www.isaca.org/resources/cobit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itil.com/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www.isaca.org/resources/cobit" TargetMode="External"/><Relationship Id="rId17" Type="http://schemas.openxmlformats.org/officeDocument/2006/relationships/hyperlink" Target="https://www.tcerj.tc.br/consulta-acordaos/app" TargetMode="External"/><Relationship Id="rId25" Type="http://schemas.openxmlformats.org/officeDocument/2006/relationships/hyperlink" Target="https://www.isaca.org/resources/cobit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www.isaca.org/resources/cobit" TargetMode="External"/><Relationship Id="rId20" Type="http://schemas.openxmlformats.org/officeDocument/2006/relationships/hyperlink" Target="https://www.isaca.org/resources/cobit" TargetMode="External"/><Relationship Id="rId29" Type="http://schemas.openxmlformats.org/officeDocument/2006/relationships/hyperlink" Target="https://www.isaca.org/resources/cobit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isaca.org/resources/cobit" TargetMode="External"/><Relationship Id="rId24" Type="http://schemas.openxmlformats.org/officeDocument/2006/relationships/hyperlink" Target="https://www.itil.com/" TargetMode="External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yperlink" Target="https://www.isaca.org/resources/cobit" TargetMode="External"/><Relationship Id="rId23" Type="http://schemas.openxmlformats.org/officeDocument/2006/relationships/hyperlink" Target="https://www.isaca.org/resources/cobit" TargetMode="External"/><Relationship Id="rId28" Type="http://schemas.openxmlformats.org/officeDocument/2006/relationships/hyperlink" Target="https://www.isaca.org/resources/cobit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www.itil.com/" TargetMode="External"/><Relationship Id="rId31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isaca.org/resources/cobit" TargetMode="External"/><Relationship Id="rId22" Type="http://schemas.openxmlformats.org/officeDocument/2006/relationships/hyperlink" Target="https://www.itil.com/" TargetMode="External"/><Relationship Id="rId27" Type="http://schemas.openxmlformats.org/officeDocument/2006/relationships/hyperlink" Target="https://www.isaca.org/resources/cobit" TargetMode="External"/><Relationship Id="rId30" Type="http://schemas.openxmlformats.org/officeDocument/2006/relationships/hyperlink" Target="https://www.isaca.org/resources/cobit" TargetMode="External"/><Relationship Id="rId8" Type="http://schemas.openxmlformats.org/officeDocument/2006/relationships/webSettings" Target="webSetting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2c24b4c-a19a-4093-bf78-d5942ee237c3" xsi:nil="true"/>
    <lcf76f155ced4ddcb4097134ff3c332f xmlns="fdb186c7-7373-495f-878c-f0f79ab36130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A0C7017C8683A4E8D8838A33F67DDC9" ma:contentTypeVersion="10" ma:contentTypeDescription="Crie um novo documento." ma:contentTypeScope="" ma:versionID="40418b09319f9a2ee1ad34ac94a4982c">
  <xsd:schema xmlns:xsd="http://www.w3.org/2001/XMLSchema" xmlns:xs="http://www.w3.org/2001/XMLSchema" xmlns:p="http://schemas.microsoft.com/office/2006/metadata/properties" xmlns:ns2="fdb186c7-7373-495f-878c-f0f79ab36130" xmlns:ns3="a2c24b4c-a19a-4093-bf78-d5942ee237c3" targetNamespace="http://schemas.microsoft.com/office/2006/metadata/properties" ma:root="true" ma:fieldsID="279706ca315d76014cd459137316f840" ns2:_="" ns3:_="">
    <xsd:import namespace="fdb186c7-7373-495f-878c-f0f79ab36130"/>
    <xsd:import namespace="a2c24b4c-a19a-4093-bf78-d5942ee237c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b186c7-7373-495f-878c-f0f79ab361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b94074d8-97da-4deb-a367-6d65a6a9ab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c24b4c-a19a-4093-bf78-d5942ee237c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7689da7-651f-49aa-89b2-0746064c56a5}" ma:internalName="TaxCatchAll" ma:showField="CatchAllData" ma:web="a2c24b4c-a19a-4093-bf78-d5942ee237c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BFA4F3B-2708-4731-A0D3-85F4C0631F4E}">
  <ds:schemaRefs>
    <ds:schemaRef ds:uri="http://schemas.microsoft.com/office/2006/metadata/properties"/>
    <ds:schemaRef ds:uri="http://schemas.microsoft.com/office/infopath/2007/PartnerControls"/>
    <ds:schemaRef ds:uri="a2c24b4c-a19a-4093-bf78-d5942ee237c3"/>
    <ds:schemaRef ds:uri="fdb186c7-7373-495f-878c-f0f79ab36130"/>
  </ds:schemaRefs>
</ds:datastoreItem>
</file>

<file path=customXml/itemProps2.xml><?xml version="1.0" encoding="utf-8"?>
<ds:datastoreItem xmlns:ds="http://schemas.openxmlformats.org/officeDocument/2006/customXml" ds:itemID="{09CE5C4D-344E-4B9A-BACC-B692E5F42C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B3B699C-58A5-4E30-B28D-A0EBD273077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460D41C-4D86-48AB-A742-517920900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db186c7-7373-495f-878c-f0f79ab36130"/>
    <ds:schemaRef ds:uri="a2c24b4c-a19a-4093-bf78-d5942ee237c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5778</TotalTime>
  <Pages>7</Pages>
  <Words>3774</Words>
  <Characters>21667</Characters>
  <Application>Microsoft Office Word</Application>
  <DocSecurity>0</DocSecurity>
  <Lines>481</Lines>
  <Paragraphs>208</Paragraphs>
  <ScaleCrop>false</ScaleCrop>
  <Company/>
  <LinksUpToDate>false</LinksUpToDate>
  <CharactersWithSpaces>25233</CharactersWithSpaces>
  <SharedDoc>false</SharedDoc>
  <HLinks>
    <vt:vector size="120" baseType="variant">
      <vt:variant>
        <vt:i4>2031684</vt:i4>
      </vt:variant>
      <vt:variant>
        <vt:i4>57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54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51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48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45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42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6160385</vt:i4>
      </vt:variant>
      <vt:variant>
        <vt:i4>39</vt:i4>
      </vt:variant>
      <vt:variant>
        <vt:i4>0</vt:i4>
      </vt:variant>
      <vt:variant>
        <vt:i4>5</vt:i4>
      </vt:variant>
      <vt:variant>
        <vt:lpwstr>https://www.itil.com/</vt:lpwstr>
      </vt:variant>
      <vt:variant>
        <vt:lpwstr/>
      </vt:variant>
      <vt:variant>
        <vt:i4>2031684</vt:i4>
      </vt:variant>
      <vt:variant>
        <vt:i4>36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6160385</vt:i4>
      </vt:variant>
      <vt:variant>
        <vt:i4>33</vt:i4>
      </vt:variant>
      <vt:variant>
        <vt:i4>0</vt:i4>
      </vt:variant>
      <vt:variant>
        <vt:i4>5</vt:i4>
      </vt:variant>
      <vt:variant>
        <vt:lpwstr>https://www.itil.com/</vt:lpwstr>
      </vt:variant>
      <vt:variant>
        <vt:lpwstr/>
      </vt:variant>
      <vt:variant>
        <vt:i4>6160385</vt:i4>
      </vt:variant>
      <vt:variant>
        <vt:i4>30</vt:i4>
      </vt:variant>
      <vt:variant>
        <vt:i4>0</vt:i4>
      </vt:variant>
      <vt:variant>
        <vt:i4>5</vt:i4>
      </vt:variant>
      <vt:variant>
        <vt:lpwstr>https://www.itil.com/</vt:lpwstr>
      </vt:variant>
      <vt:variant>
        <vt:lpwstr/>
      </vt:variant>
      <vt:variant>
        <vt:i4>2031684</vt:i4>
      </vt:variant>
      <vt:variant>
        <vt:i4>27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6160385</vt:i4>
      </vt:variant>
      <vt:variant>
        <vt:i4>24</vt:i4>
      </vt:variant>
      <vt:variant>
        <vt:i4>0</vt:i4>
      </vt:variant>
      <vt:variant>
        <vt:i4>5</vt:i4>
      </vt:variant>
      <vt:variant>
        <vt:lpwstr>https://www.itil.com/</vt:lpwstr>
      </vt:variant>
      <vt:variant>
        <vt:lpwstr/>
      </vt:variant>
      <vt:variant>
        <vt:i4>3014714</vt:i4>
      </vt:variant>
      <vt:variant>
        <vt:i4>21</vt:i4>
      </vt:variant>
      <vt:variant>
        <vt:i4>0</vt:i4>
      </vt:variant>
      <vt:variant>
        <vt:i4>5</vt:i4>
      </vt:variant>
      <vt:variant>
        <vt:lpwstr>https://pesquisa.apps.tcu.gov.br/pesquisa/acordao-completo</vt:lpwstr>
      </vt:variant>
      <vt:variant>
        <vt:lpwstr/>
      </vt:variant>
      <vt:variant>
        <vt:i4>1179728</vt:i4>
      </vt:variant>
      <vt:variant>
        <vt:i4>18</vt:i4>
      </vt:variant>
      <vt:variant>
        <vt:i4>0</vt:i4>
      </vt:variant>
      <vt:variant>
        <vt:i4>5</vt:i4>
      </vt:variant>
      <vt:variant>
        <vt:lpwstr>https://www.tcerj.tc.br/consulta-acordaos/app</vt:lpwstr>
      </vt:variant>
      <vt:variant>
        <vt:lpwstr/>
      </vt:variant>
      <vt:variant>
        <vt:i4>2031684</vt:i4>
      </vt:variant>
      <vt:variant>
        <vt:i4>15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12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9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6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3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0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Souza Lima</dc:creator>
  <cp:keywords/>
  <dc:description/>
  <cp:lastModifiedBy>João Paulo de Freitas Ramirez</cp:lastModifiedBy>
  <cp:revision>3056</cp:revision>
  <cp:lastPrinted>2025-04-16T22:34:00Z</cp:lastPrinted>
  <dcterms:created xsi:type="dcterms:W3CDTF">2023-08-10T03:29:00Z</dcterms:created>
  <dcterms:modified xsi:type="dcterms:W3CDTF">2026-05-06T18:47:00Z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0x0101005A0C7017C8683A4E8D8838A33F67DDC9</vt:lpwstr>
  </property>
  <property fmtid="{D5CDD505-2E9C-101B-9397-08002B2CF9AE}" pid="3" name="Order">
    <vt:r8>61100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MediaServiceImageTags">
    <vt:lpwstr/>
  </property>
  <property fmtid="{D5CDD505-2E9C-101B-9397-08002B2CF9AE}" pid="11" name="docLang">
    <vt:lpwstr>pt</vt:lpwstr>
  </property>
</Properties>
</file>