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FBF47" w14:textId="77777777" w:rsidR="00DE1BD0" w:rsidRDefault="00DE1BD0">
      <w:pPr>
        <w:rPr>
          <w:rFonts w:eastAsia="Calibri"/>
          <w:b/>
          <w:color w:val="2F5496"/>
          <w:sz w:val="28"/>
          <w:szCs w:val="28"/>
        </w:rPr>
      </w:pPr>
    </w:p>
    <w:p w14:paraId="41A9F4B7" w14:textId="77777777" w:rsidR="00DE1BD0" w:rsidRDefault="00DE1BD0">
      <w:pPr>
        <w:rPr>
          <w:rFonts w:eastAsia="Calibri"/>
          <w:b/>
          <w:color w:val="2F5496"/>
          <w:sz w:val="28"/>
          <w:szCs w:val="28"/>
        </w:rPr>
      </w:pPr>
    </w:p>
    <w:p w14:paraId="301DD5DE" w14:textId="77777777" w:rsidR="00DE1BD0" w:rsidRDefault="00DE1BD0">
      <w:pPr>
        <w:rPr>
          <w:rFonts w:eastAsia="Calibri"/>
          <w:b/>
          <w:color w:val="2F5496"/>
          <w:sz w:val="28"/>
          <w:szCs w:val="28"/>
        </w:rPr>
      </w:pPr>
    </w:p>
    <w:p w14:paraId="03A260C5" w14:textId="77777777" w:rsidR="00DE1BD0" w:rsidRDefault="00DE1BD0">
      <w:pPr>
        <w:rPr>
          <w:rFonts w:eastAsia="Calibri"/>
          <w:b/>
          <w:color w:val="2F5496"/>
          <w:sz w:val="28"/>
          <w:szCs w:val="28"/>
        </w:rPr>
      </w:pPr>
    </w:p>
    <w:p w14:paraId="0767251C" w14:textId="77777777" w:rsidR="00DE1BD0" w:rsidRDefault="00DE1BD0">
      <w:pPr>
        <w:rPr>
          <w:rFonts w:eastAsia="Calibri"/>
          <w:b/>
          <w:color w:val="2F5496"/>
          <w:sz w:val="28"/>
          <w:szCs w:val="28"/>
        </w:rPr>
      </w:pPr>
    </w:p>
    <w:p w14:paraId="1B0757D9" w14:textId="77777777" w:rsidR="00DE1BD0" w:rsidRDefault="00DE1BD0">
      <w:pPr>
        <w:rPr>
          <w:rFonts w:eastAsia="Calibri"/>
          <w:b/>
          <w:color w:val="2F5496"/>
          <w:sz w:val="28"/>
          <w:szCs w:val="28"/>
        </w:rPr>
      </w:pPr>
    </w:p>
    <w:p w14:paraId="03C1EDE9" w14:textId="77777777" w:rsidR="00DE1BD0" w:rsidRDefault="00DE1BD0">
      <w:pPr>
        <w:rPr>
          <w:rFonts w:eastAsia="Calibri"/>
          <w:b/>
          <w:color w:val="2F5496"/>
          <w:sz w:val="28"/>
          <w:szCs w:val="28"/>
        </w:rPr>
      </w:pPr>
    </w:p>
    <w:p w14:paraId="41D0C176" w14:textId="77777777" w:rsidR="00DE1BD0" w:rsidRDefault="00DE1BD0">
      <w:pPr>
        <w:rPr>
          <w:rFonts w:eastAsia="Calibri"/>
          <w:b/>
          <w:color w:val="2F5496"/>
          <w:sz w:val="28"/>
          <w:szCs w:val="28"/>
        </w:rPr>
      </w:pPr>
    </w:p>
    <w:p w14:paraId="009AA017" w14:textId="77777777" w:rsidR="00DE1BD0" w:rsidRDefault="00DE1BD0">
      <w:pPr>
        <w:rPr>
          <w:rFonts w:eastAsia="Calibri"/>
          <w:b/>
          <w:color w:val="2F5496"/>
          <w:sz w:val="28"/>
          <w:szCs w:val="28"/>
        </w:rPr>
      </w:pPr>
    </w:p>
    <w:p w14:paraId="46FC4C20" w14:textId="3E855ED6" w:rsidR="00DE1BD0" w:rsidRDefault="005604EA">
      <w:pPr>
        <w:jc w:val="center"/>
        <w:rPr>
          <w:rFonts w:eastAsia="Calibri"/>
          <w:b/>
          <w:color w:val="2F5496"/>
          <w:sz w:val="40"/>
          <w:szCs w:val="40"/>
        </w:rPr>
      </w:pPr>
      <w:r>
        <w:rPr>
          <w:rFonts w:eastAsia="Calibri"/>
          <w:b/>
          <w:color w:val="2F5496"/>
          <w:sz w:val="40"/>
          <w:szCs w:val="40"/>
        </w:rPr>
        <w:t xml:space="preserve">Anexo AN04 </w:t>
      </w:r>
    </w:p>
    <w:p w14:paraId="58014330" w14:textId="5592A94E" w:rsidR="00DE1BD0" w:rsidRDefault="00870179">
      <w:pPr>
        <w:jc w:val="center"/>
        <w:rPr>
          <w:rFonts w:eastAsia="Calibri"/>
          <w:b/>
          <w:color w:val="2F5496"/>
          <w:sz w:val="40"/>
          <w:szCs w:val="40"/>
        </w:rPr>
      </w:pPr>
      <w:r>
        <w:rPr>
          <w:rFonts w:eastAsia="Calibri"/>
          <w:b/>
          <w:color w:val="2F5496"/>
          <w:sz w:val="40"/>
          <w:szCs w:val="40"/>
        </w:rPr>
        <w:t xml:space="preserve">EVIDÊNCIAS DOS ACHADOS</w:t>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AGENERSA</w:t>
      </w:r>
      <w:r w:rsidR="000E190E">
        <w:t xml:space="preserve"> – Agência Reguladora de Energia e Saneamento Básico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Embora o documento possua data de referência (janeiro/2024), a evidência é insuficiente para atestar a compatibilidade com ANS pactuados com as áreas de negócio. Não foram apresentados termos de acordo ou registros formais de alinhamento com os clientes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O catálogo foi fornecido como um arquivo PDF, porém não há evidência de sua disponibilização em portais, intranets ou sistemas institucionais de fácil acesso. Falta comprovação de que os usuários possuam visibilidade sobre este documento específico.;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O documento apresenta apenas metas estabelecidas unilateralmente pela área de TI. Não foram apresentados registros de formalização ou assinatura de acordos com as respectivas áreas de negócio atendidas.;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Não foram fornecidos relatórios, indicadores, dashboards ou qualquer registro de desempenho que comprove o monitoramento contínuo dos níveis de serviço. A mera definição de prazos no catálogo não supre a necessidade de evidenciar a aferição do seu alcance.;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Embora a organização mantenha um inventário centralizado de ativos, a evidência é insuficiente para atestar o relacionamento entre eles. As telas demonstram apenas listas segregadas por categorias, sem evidenciar vínculos entre ativos ou entre ativos e serviços de TI. Faltam diagramas de topologia, mapas de dependência ou registros de conectividade na base de dados.;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avaliação realizada indica que, apesar da evidência de uma ocorrência isolada de tratamento de incidente, não foram apresentados procedimentos formalizados que definam as responsabilidades, ações emergenciais, diretrizes de escalamento e fluxos de comunicação. A ausência de normas, manuais ou documentos institucionais que institucionalizem tais processos configura uma limitação que impede a conformidade com o item.;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a existência de um processo de governança que estabeleça a obrigatoriedade de análise prévia e aprovação técnica pela área de TI para contratações de soluções de tecnologia. O documento acostado refere-se a um único caso concreto de processo licitatório, sem comprovar a existência de norma, regulamento ou ato administrativo que institua tal prática como regra institucional. A documentação fornecida limita-se a um registro pontual no sistema de gestão documental, que não constitui evidência da abrangência organizacional solicitada. Falta a apresentação de norma, instrução normativa ou portaria que formalize a obrigatoriedade da submissão técnica à área de TI em todas as contratações do órgão.;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AGERIO</w:t>
      </w:r>
      <w:r w:rsidR="000E190E">
        <w:t xml:space="preserve"> – Agência de Fomento do Estado do Rio de Janeiro S.A.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Equipe de Auditoria avalia que a evidência é insuficiente. Apesar de a política determinar a elaboração de objetivos, metas e indicadores, não foram apresentados os planos estratégicos ou documentos equivalentes onde tais elementos tenham sido efetivamente estabelecidos. Há lacuna quanto à materialização dos objetivos e metas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AGETRANSP</w:t>
      </w:r>
      <w:r w:rsidR="000E190E">
        <w:t xml:space="preserve"> – Agência Reguladora de Serviços Públicos Concedidos de Transportes Aquaviários, Ferroviários e Metroviários e de Rodovias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Embora a PSI estabeleça diretrizes para a homologação de softwares (Art. 9, IV) e proíba a instalação de itens não autorizados (Art. 33), não foram apresentados elementos que demonstrem a execução de inventário ou controle contínuo dos softwares efetivamente instalados nos dispositivos conectados à rede. A evidência limita-se a normas de intenção, sem comprovação documental ou operacional do inventário de softwares. Identifica-se a lacuna de registros de auditoria ou ferramenta que apresente a relação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evidência apresentada é insuficiente para confirmar a existência de uma base de dados que mapeie o relacionamento entre ativos e serviços de TI. Embora os relatórios do GLPI comprovem o inventário de hardware e usuários, não há elementos que liguem esses componentes a serviços de TI ou que apresentem a estrutura de uma base de configuração relacional. O elemento faltante é a documentação ou registro que explicite as dependências entre a infraestrutura e os serviços suportados.;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Embora a Política de Segurança da Informação determine, no Artigo 91, que o processo de gestão de incidentes deve abordar a priorização e o escalonamento, a norma não define as regras, matrizes de criticidade ou os fluxos específicos para essas atividades. O documento restringe-se a estabelecer a diretriz de que o processo deve existir, sem detalhar os critérios técnicos necessários para a sua execução. A falta dessas definições claras limita o cumprimento do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política estabelece responsabilidades genéricas para notificação e tratamento, mas não define os procedimentos detalhados exigidos pelo item. Não constam na evidência orientações específicas para ações emergenciais, nem os fluxos detalhados de escalonamento ou os procedimentos para comunicações internas e externas. A ausência de detalhamento operacional impede que o requisito seja considerado plenamente atendido pela normativa apresentada.;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AGETRANSP não comprovou a existência de norma interna que exija obrigatoriamente a análise prévia e a aprovação técnica da área de tecnologia da informação em todas as contratações de soluções de TI, independentemente da área demandante. Embora as políticas apresentadas definam responsabilidades gerais para a área de tecnologia, não dispõem sobre o fluxo específico de controle para contratações. Não foram apresentados registros ou casos concretos que evidenciem a aplicação prática de tal fluxo de governança.;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ALERJ</w:t>
      </w:r>
      <w:r w:rsidR="000E190E">
        <w:t xml:space="preserve"> – Assembleia Legislativa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CEASA</w:t>
      </w:r>
      <w:r w:rsidR="000E190E">
        <w:t xml:space="preserve"> – Centrais de Abastecimento do Estado do Rio de Janeiro S.A.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Centralizada Externa: Os serviços de TI são prestados predominantemente por um órgão, entidade ou estrutura central externa à organização (ex: empresa pública de processamento de dados estadual ou municipal)."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CECIERJ</w:t>
      </w:r>
      <w:r w:rsidR="000E190E">
        <w:t xml:space="preserve"> – Fundação Centro de Ciências e Educação Superior a Distância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documento encaminhado não contempla as etapas, responsabilidades ou artefatos relativos ao planejamento de contratações de TI. A evidência foca exclusivamente em tópicos de segurança da informação e uso de recursos tecnológicos.;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o cumprimento do requisito de governança de TI. O documento limita-se a listar itens de contratação de software com seus respectivos valores e áreas demandantes, sem apresentar normas ou regulamentos internos que estabeleçam a obrigatoriedade de análise técnica prévia pela área de TI. Além disso, não foram fornecidos registros documentais, como pareceres ou assinaturas, que comprovem a efetiva realização dessa avaliação técnica nas demandas listadas.;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CEDAE</w:t>
      </w:r>
      <w:r w:rsidR="000E190E">
        <w:t xml:space="preserve"> – Companhia Estadual de Águas e Esgotos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O item é considerado não conforme, visto que a tela de monitoramento apresentada não caracteriza uma base de dados de configuração (CMDB) consolidada. A evidência demonstra apenas uma listagem técnica de roteadores com endereços IP e status, sem detalhar as configurações dos serviços de TI e os relacionamentos entre os ativos e as entregas de valor. Constata-se a ausência de uma base de dados que integre ativos e serviços de negócio, inviabilizando a comprovação do requisito de relacionamento.;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avaliação realizada indica que não há evidências da formalização do processo de gestão de incidentes. O pacote de evidências restringe-se a capturas de tela de uma ferramenta de tecnologia, sem a apresentação de norma, política, guia ou procedimento institucional que defina as diretrizes do processo e as responsabilidades dos envolvidos. A falta de um documento formal de normatização constitui a lacuna que impede a conformidade. É necessário apresentar o documento ou ato institucional que estabeleça 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Não há definição de um processo de trabalho voltado ao planejamento de contratações de TI, com delimitação de etapas e responsabilidades específicas. A documentação limita-se a modelos de contratação genéricos, carecendo de elementos que contemplem as especificidades do planejamento de soluções tecnológicas. Existe a lacuna de comprovação de um processo de planejamento estruturado para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CEHAB</w:t>
      </w:r>
      <w:r w:rsidR="000E190E">
        <w:t xml:space="preserve"> – Companhia Estadual de Habitação do Rio de Janeiro</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CENTRAL</w:t>
      </w:r>
      <w:r w:rsidR="000E190E">
        <w:t xml:space="preserve"> – Companhia Estadual de Engenharia de Transportes e Logística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evidência fornecida limita-se ao inventário de hardware, sem conter registros de controle de softwares instalados. Não foram apresentadas listas de programas, relatórios de versões ou evidências de gestão de licenças aplicadas aos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CEPERJ</w:t>
      </w:r>
      <w:r w:rsidR="000E190E">
        <w:t xml:space="preserve"> – Fundação Centro Estadual de Estatísticas, Pesquisas e Formação de Servidores Públicos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CGE</w:t>
      </w:r>
      <w:r w:rsidR="000E190E">
        <w:t xml:space="preserve"> – Controladoria Geral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Não existe evidência documental que registre a definição de um quantitativo necessário de pessoal. A captura de tela exibida contém apenas a listagem de um diretório de arquivos sem conteúdo técnico legível, e os demais documentos não tratam de metas ou quantitativos de pessoal definido.;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aponta que os documentos apresentados são insuficientes para demonstrar a atribuição formal de cargos ou funções à área de tecnologia da informação. Os formulários de avaliação de desempenho referem-se à situação funcional individual e não constituem ato formal de designação ou estruturação da área. Faz-se necessária a apresentação de norma ou ato administrativo que formalize a atribuição dessas funções à unidade.;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foram fornecidas evidências documentais de um processo formal, ferramenta de inventário ou controle centralizado de dispositivos conectados à rede. Os relatórios de teste de segurança mencionam ativos apenas no contexto de descoberta pontual para análise de vulnerabilidades.;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foram apresentadas evidências de um processo estruturado de inventário e controle de softwares instalados nos dispositivos. As menções a softwares em relatórios de pentest referem-se a identificação por scanners durante testes de intrusão, não a uma prática de gestão de inventário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evidência fornecida não demonstra a estrutura do processo de trabalho de planejamento, omitindo a descrição das etapas, responsabilidades e a definição dos fluxos. A suficiência é nula para o propósito de demonstrar um processo de trabalho estruturado, pois exibe apenas registros de documentos individuais em uma contratação única.;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afirmação de que toda contratação de TI é obrigatoriamente submetida à análise prévia e aprovação técnica da área de gestão de TI. O Estudo Técnico Preliminar demonstra a participação de diretorias técnicas do PRODERJ apenas na estruturação de um processo de contratação específico para adequação à LGPD. O documento não apresenta norma administrativa, portaria ou regulamento de caráter geral que estabeleça essa prática como regra mandatória para o conjunto das contratações de soluções de tecnologia da informação da organização. Faz-se necessária a apresentação de instrumento formal que institucionalize a obrigatoriedade da submissão técnica para o fluxo de contratações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CODERTE</w:t>
      </w:r>
      <w:r w:rsidR="000E190E">
        <w:t xml:space="preserve"> – Companhia de Desenvolvimento Rodoviário e de Terminais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Não foi apresentada evidência de aprovação formal do documento pela autoridade competente. A Ordem de Serviço n° 438, mencionada no plano, refere-se apenas à criação do Comitê Permanente e ao encaminhamento do documento, não suprindo a necessidade de um ato de aprovação final pelo dirigente máximo ou colegiado superior.;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O documento declara expressamente que o Plano Estratégico Institucional está em fase de elaboração e que as ações de Tecnologia da Informação não possuem aderência ao Plano Plurianual (PPA). A ausência desse alinhamento impede a validação do critério de conformidade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plano admite que não houve ações de Tecnologia da Informação vinculadas ao PPA no exercício de 2024, resultando em tabelas de execução orçamentária sem preenchimento. Embora existam estimativas de custo para capacitação, não há elementos que demonstrem a vinculação efetiva do plano com a proposta orçamentária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Embora o documento estabeleça diretrizes para controle, não foram apresentadas evidências de execução prática, como atas, relatórios de acompanhamento ou registros de indicadores de desempenho. As tabelas voltadas ao monitoramento permanecem sem dados preenchidos.;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evidência apresentada refere-se exclusivamente à gestão de um incidente de segurança pontual. Não foram fornecidos documentos ou registros que comprovem um processo estruturado de inventário e controle de softwares instalados nos ativos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CODIN</w:t>
      </w:r>
      <w:r w:rsidR="000E190E">
        <w:t xml:space="preserve"> – Companhia de Desenvolvimento Industrial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O documento apresentado comprova apenas a designação de um servidor para projeto de conformidade à LGPD, não constituindo a formalização da função de TI. Não constam elementos que indiquem a existência de organograma, regimento interno ou ato normativo que atribua responsabilidades específicas à área de tecnologia da informação. A evidência falha em demonstrar a institucionalização da função de TI na estrutura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designação de encarregado para adequação à LGPD, conforme demonstrado, não comprova a existência de uma estrutura ou função dedicada à segurança da informação. A evidência é insuficiente por não apresentar ato formal ou norma estruturante que defina responsabilidades, cargos ou departamentos de segurança da informação. Está ausente qualquer comprovação da existência de área ou função formal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foi apresentado inventário de dispositivos conectados à rede. A captura de tela do Active Directory exibe apenas a estrutura de diretório de usuários, sem listar ativos de hardware ou equipamentos gerenciados. É necessária a apresentação de relatório de inventário de ativos ou de ferramentas de controle de hardware.;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houve comprovação de inventário ou controle de softwares instalados. O documento apresentado limita-se a exibir propriedades de um usuário no Active Directory, sem detalhar licenciamento ou relação de aplicações. É necessária a apresentação de lista ou relatório de controle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Embora o painel apresente um inventário consolidado de ativos de hardware, não há demonstração da configuração dos serviços de TI ou dos relacionamentos entre os itens. A evidência é insuficiente pois não contempla a estrutura de mapeamento de dependências e serviços necessária para atender ao critério de gestão de configurações. O registro visual restringe-se a agrupamentos de ativos por tipo e fabricante.;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o item está não conforme. A evidência apresentada consiste em registro de caso concreto no sistema SEI, o qual não é suficiente para comprovar a existência de norma ou política institucional que obrigue a análise prévia e a aprovação técnica da área de TI em todas as contratações da área. A mera listagem de documentos em um processo específico não demonstra a vigência de um controle de governança efetivo. Identifica-se a ausência de normativo regulamentador que estabeleça a obrigatoriedade da atuação da TI como instância técnica decisória nas contratações.;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DEGASE</w:t>
      </w:r>
      <w:r w:rsidR="000E190E">
        <w:t xml:space="preserve"> – Departamento Geral de Ações Socioeducativas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evidência apresentada foca exclusivamente em monitoramento de ameaças e riscos, sem apresentar elementos que comprovem a existência de um inventário ou controle de dispositivos conectados à rede. A análise dos arquivos fornecidos não identifica registros de ativos, como lista de equipamentos, endereços físicos ou lógicos, ou controles de acesso a dispositivos. Conclui-se pela insuficiência de elementos para sustentar a afirmação.;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DERRJ</w:t>
      </w:r>
      <w:r w:rsidR="000E190E">
        <w:t xml:space="preserve"> – Departamento de Estradas de Rodagem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DETRAN</w:t>
      </w:r>
      <w:r w:rsidR="000E190E">
        <w:t xml:space="preserve"> – Departamento de Trânsito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Não constam no documento apresentado objetivos, indicadores ou metas para a gestão de TI. A POSIC trata apenas de diretrizes de segurança, sendo insuficiente para atender a este quesito.;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documentação apresentada não faz qualquer menção à existência ou composição de um comitê de tecnologia da informação. Não foi possível verificar a conformidade deste ponto.;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Dada a inexistência de comprovação documental sobre a constituição ou existência de um comitê de tecnologia da informação, não é possível validar o exercício de suas atividades.;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que não há comprovação da participação de áreas demandantes no planejamento de TI. Não foram apresentados registros, atas ou normativos que evidenciassem tal envolvimento nas ações de tecnologia da informação. A evidência é insuficiente, dada a ausência total de documentação que relacione demandas de áreas internas com o planejamento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que o processo de planejamento de TI não está formalizado. Não foi apresentado normativo interno, guia ou portaria que discipline a execução do planejamento, a definição de responsabilidades e as orientações para o processo de TI no âmbito da organização. A evidência é insuficiente pela total ausência de instrumento formal que regulamente a governança e o planejamento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Não foram apresentados Acordos de Nível de Serviço (ANS) firmados entre a TI e as áreas de negócio do DETRAN/RJ, nem evidências de catálogo atualizado que possua compatibilidade verificável com tais acordos.;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evidências de publicação ou disponibilização do catálogo para usuários e equipes de suporte, uma vez que o documento base é apenas uma instrução licitatória interna.;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documento não apresenta um catálogo estruturado com metas de serviço acessível a usuários, contendo apenas disposições contratuais sobre prazos de execução para a futura empresa contratada.;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Os indicadores de desempenho presentes no documento são metas contratuais entre o DETRAN/RJ e a contratada, não configurando ANS formalizados com as áreas de negócio internas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O documento prevê apenas a obrigatoriedade da futura contratada de emitir relatórios de desempenho, sem que haja demonstração ou evidência de que a TI monitore continuamente tais níveis ou ANS com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há comprovação da manutenção de uma base de dados consolidada de configurações. Embora o relatório mencione ativos técnicos, não apresenta qualquer evidência de uma CMDB ou registro de relacionamentos entre serviços e ativos, conforme exposto nas páginas 1 e 2 do documento encaminhado. Falta a apresentação do instrumento ou base que consolide essas informações de forma estruturada.;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O documento encaminhado, um relatório de atividades operacionais, não supre o requisito de formalização do processo. Não foram enviados normativos, políticas ou guias que estabeleçam diretrizes e responsabilidades para a gestão de configuração e ativos. Existe a lacuna quanto à ausência de qualquer documento institucional ou ato normativo que fundamente o referido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O documento apresentado registra apenas resultados operacionais, não contendo as regras, matrizes ou diretrizes formais que fundamentem a priorização e o escalonamento. A inexistência de norma ou documento descritivo sobre o fluxo de tratamento impede a verificação deste item. O relatório enviado não supre a necessidade de apresentação da regra institucional de priorização.;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evidência limita-se a um relatório de desempenho contratual, sem valor normativo ou descritivo da formalização do processo de gestão. O item exige norma interna ou instrumento equivalente de formalização e responsabilidades, que não foi disponibilizado. A ausência de documento normativo instituidor do processo constitui a lacuna principal.;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Não há qualquer evidência que aborde incidentes de segurança da informação no documento apresentado. O relatório restringe-se a atividades operacionais de suporte de TI, sem tratar de protocolos de segurança ou ações emergenciais específicas. A ausência total de procedimentos relacionados à segurança da informação torna o item não conforme.;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DETRO</w:t>
      </w:r>
      <w:r w:rsidR="000E190E">
        <w:t xml:space="preserve"> – Departamento de Transportes Rodoviários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A Equipe de Auditoria avalia que o item não se encontra conforme, uma vez que não foi demonstrada a existência de definição documentada do quantitativo necessário de pessoal para a área de tecnologia da informação e segurança da informação. O Regimento Interno apresentado descreve a estrutura de cargos em comissão no Anexo II (página 9), o que difere de um planejamento ou dimensionamento técnico da força de trabalho da referida área. A evidência é insuficiente por tratar de estruturação administrativa geral e não apresentar critérios técnicos de dimensionamento. Persiste a lacuna quanto à ausência de documento que registre o quantitativo necessário baseado em análise de necessidades, serviços ou riscos para TI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documentação apresentada foca exclusivamente no inventário de hardware. Não foram fornecidos registros, inventário ou controle centralizado dos softwares instalados nos dispositivos da rede. Torna-se necessária a apresentação de evidência que comprove o inventário e controle dos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DPGE</w:t>
      </w:r>
      <w:r w:rsidR="000E190E">
        <w:t xml:space="preserve"> – Defensoria Pública Geral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O Plano Anual de Contratações não supre a necessidade de formalização normativa do processo de planejamento de TI. Não foram apresentadas normas internas, manuais ou procedimentos operacionais que definam o ciclo de planejamento de TI, suas etapas ou a responsabilidade dos atores envolvidos.;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conformidade não pode ser atestada, uma vez que a inexistência de um Plano de TI vigente impede a verificação de sua aprovação pela alta administração. Não foram apresentados documentos, como atas, portarias ou resoluções, que formalizem a aprovação de um plano estratégico de tecnologia. A lacuna principal é a ausência do plano de TI e do respectivo ato formal de aprovação.;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O requisito não foi atendido, pois o documento enviado não demonstra o alinhamento das iniciativas de tecnologia com o planejamento institucional ou diretrizes de instâncias superiores de governança. O Plano Anual de Contratações lista itens operacionais sem estabelecer vínculos explícitos ou matrizes de alinhamento com instrumentos como o PPA, plano estratégico ou diretrizes superiores. Há lacuna relativa à demonstração de conexão entre as iniciativas de TI e os objetivos estratégicos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Equipe de Auditoria avalia que o critério não foi atendido. Não foram disponibilizados o catálogo de serviços nem os instrumentos formais de Acordo de Nível de Serviço (ANS) para conferência. Sem estes documentos, é inviável verificar a atualização do catálogo ou a compatibilidade com acordos estabelecidos com as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Equipe de Auditoria avalia que o critério não foi atendido. Embora os documentos citem canais de atendimento para registro de incidentes, não há comprovação da existência ou da disponibilidade de um catálogo de serviços para consulta por parte dos usuários e das equipes de suporte. A evidência fornecida é insuficiente para demonstrar o acesso.;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Equipe de Auditoria avalia que o critério não foi atendido. A documentação enviada descreve apenas o fluxo de atendimento de incidentes, sem apresentar um catálogo de serviços contendo metas de entrega, horários ou pontos de contato por serviço. A evidência analisada limita-se a procedimentos operacionais internos.;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Equipe de Auditoria avalia que o critério não foi atendido. O documento menciona um edital como referência geral, porém não foram apresentados os termos de ANS formalizados e pactuados com as áreas de negócio. A evidência limita-se a procedimentos internos, carecendo de formalização com os clientes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que o critério não foi atendido. Os indicadores de desempenho (KPIs) apresentados referem-se exclusivamente ao processo de incidentes, não ao monitoramento dos níveis de serviço contratados (ANS). Não foram apresentados relatórios de acompanhamento ou registros de aferição contínua dos níveis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As evidências apresentadas concentram-se em atualizações de sistema operacional e não demonstram o inventário ou o controle da totalidade dos softwares instalados nos dispositivos. Falta uma lista ou catálogo de softwares geridos pela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documentação apresentada não contempla procedimentos específicos para a gestão de incidentes de segurança da informação. Embora exista um 'Processo de Crise' que menciona responsabilidades genéricas para a área de segurança na matriz RACI, não foram apresentadas diretrizes, fluxos ou procedimentos dedicados à notificação, tratamento e resposta a incidentes de segurança da informação. A evidência é insuficiente por não abordar os requisitos específicos de segurança da informação exigidos pelo critério.;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Embora a evidência demonstre a participação da área de TI na elaboração do Estudo Técnico Preliminar e do Termo de Referência para a contratação analisada, não há prova da existência de norma interna que obrigue a submissão de todas as contratações de TI à análise técnica prévia da unidade gestora de TI. A documentação apresentada refere-se exclusivamente a este caso concreto, sem estabelecer o caráter universal e mandatório da prática alegada. Faltam elementos comprobatórios, como o texto integral de normativos internos, que sustentem a obrigatoriedade da atuação técnica da área de TI em âmbito institucional para todas as contratações do gênero.;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DRM</w:t>
      </w:r>
      <w:r w:rsidR="000E190E">
        <w:t xml:space="preserve"> – Departamento de Recursos Minerais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Embora o documento descreva o conceito de ANS, não foram apresentadas evidências documentais adicionais, como termos de adesão, atas de reunião ou documentos assinados, que comprovem a pactuação e formalização dessas metas junto às áreas de negócio. A evidência atual limita-se à autodeclaração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O material submetido descreve a definição dos níveis de serviço, porém não traz registros de monitoramento, relatórios de desempenho, indicadores de atendimento ou evidências que comprovem que a organização acompanha o cumprimento das metas estabelecidas. Falta demonstração da prática contínua de monitoramento.;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Embora a evidência fornecida comprove o inventário de hardware, a base de dados apresentada não contempla os serviços de TI nem os relacionamentos entre eles. A evidência é insuficiente para atestar o pleno atendimento ao requisito de configuração dos serviços e suas dependências.;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EMATER</w:t>
      </w:r>
      <w:r w:rsidR="000E190E">
        <w:t xml:space="preserve"> – Empresa de Assistência Técnica e Extensão Rural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EMOP</w:t>
      </w:r>
      <w:r w:rsidR="000E190E">
        <w:t xml:space="preserve"> – Empresa de Obras Públicas do Estado do Rio de Janeiro</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FAETEC</w:t>
      </w:r>
      <w:r w:rsidR="000E190E">
        <w:t xml:space="preserve"> – Fundação de Apoio à Escola Técnica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evidência enviada não contém ato formal de aprovação, assinatura, portaria ou resolução que demonstre a deliberação da alta administração sobre o plano. O documento apresenta apenas o conteúdo do planejamento, sem os elementos necessários para atestar a aprovação institucional requerida.;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plano liste metas e ações que envolvem contratações e infraestrutura, não há demonstração de vínculo direto entre o PEDTIC e a proposta orçamentária oficial ou o plano de contratações anual. Não foram apresentados documentos orçamentários ou tabelas financeiras que confirmem o plano como base do orçamento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Não foram apresentados documentos que comprovem a existência de um catálogo ou de Acordos de Níveis de Serviço (ANS). A evidência limita-se a um portal de acesso, sendo insuficiente para demonstrar a existência, atualização ou compatibilidade de acordos de nível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evidência apresentada não permite verificar a existência ou a disponibilidade de um catálogo de serviços para os usuários. A tela de acesso não contém elementos que comprovem o acesso a um catálogo ou a base de serviços de TI. A prova documental fornecida é insuficiente para o propósito da questão.;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evidência enviada não apresenta o catálogo de serviços nem a definição das metas exigidas. Não há informações sobre prazos, horários, pontos de contato ou fluxos de atendimento na captura de tela. A evidência é insuficiente por se limitar a uma interface de autenticação.;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Não foram apresentados registros, relatórios, painéis de controle ou qualquer elemento que evidencie o monitoramento de níveis de serviço. A evidência restringe-se a uma página de login, sendo insuficiente para demonstrar as atividades de gestão e monitoramento contínuo.;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FAPERJ</w:t>
      </w:r>
      <w:r w:rsidR="000E190E">
        <w:t xml:space="preserve"> – Fundação Carlos Chagas Filho de Amparo à Pesquisa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Embora o documento mencione a participação de representantes da alta administração e de um Comitê na elaboração do plano, não foi apresentado o ato formal de aprovação (portaria, resolução, despacho ou ata assinada) que confira validade institucional ao PEDTIC.;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As evidências apresentadas descrevem apenas os sistemas operacionais instalados nos ativos, sem inventariar as aplicações ou softwares de terceiros. O relatório GLPI registra explicitamente 'Ativos &gt; Licenças 0', o que indica a ausência de um sistema de controle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evidência fornecida restringe-se a uma listagem agregada de ativos por categoria e sistema operacional, não constituindo uma base de dados de configuração (CMDB) efetiva. O documento não apresenta o relacionamento entre os ativos listados e os serviços de TI aos quais eles dão suporte. Falta comprovação de que o inventário seja uma base consolidada de itens de configuração com dependências mapeadas.;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evidência demonstra a resposta a um incidente pontual, mas não comprova a existência de normas, procedimentos ou diretrizes institucionais formalmente definidos para o tratamento, escalonamento e comunicação de incidentes. As responsabilidades apresentadas restringem-se à execução do caso específico, sem evidenciar a padronização institucional.;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evidência não descreve o processo de trabalho do planejamento, omitindo etapas, responsabilidades ou artefatos. Não foram identificados elementos que permitam verificar a estruturação da fase de planejamento das contratações de TI. É necessária a apresentação de documentação detalhando o referido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Equipe de Auditoria indica que a evidência apresentada é insuficiente para demonstrar o cumprimento do requisito. O documento resume-se a uma listagem de números de processos administrativos, sem conter o normativo que estabeleça a obrigatoriedade de análise técnica prévia pela área de TI, nem registros de casos concretos que comprovem a efetividade desse fluxo de aprovação. A evidência falha em demonstrar a governança das contratações de TI, permanecendo a ausência de normas regulamentadoras e de comprovação documental da prática exigida.;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FIA</w:t>
      </w:r>
      <w:r w:rsidR="000E190E">
        <w:t xml:space="preserve"> – Fundação para a Infância e Adolescência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consiste apenas no Plano Anual de Atividades (PLANAT) da unidade de controle interno para 2026, documento que não estabelece normas ou fluxos internos de contratação de soluções de tecnologia da informação. Não foi disponibilizado qualquer ato normativo, regimento ou instrução que determine a obrigatoriedade de análise prévia e aprovação técnica por parte de uma área de gestão de tecnologia da informação. A evidência limita-se a listar atividades genéricas de auditoria em aquisições e contratos, sem comprovar a existência de governança específica para contratações da área de tecnologia. Inexiste, portanto, demonstração da obrigatoriedade do fluxo de análise técnica solicitado.;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FIPERJ</w:t>
      </w:r>
      <w:r w:rsidR="000E190E">
        <w:t xml:space="preserve"> – Fundação Instituto de Pesca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evidência apresentada é insuficiente para confirmar a existência de cargo ou função especificamente atribuída à área de segurança da informação. O "Plano de Gestão de Pessoas e Cargos" descreve funções de tecnologia da informação, mas omite qualquer menção ou desdobramento voltado à segurança da informação. O elemento faltante é um documento oficial que especifique atribuições, cargos ou funções formais dedicados à segurança da informação na estrutura organizacional.;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FLXIII</w:t>
      </w:r>
      <w:r w:rsidR="000E190E">
        <w:t xml:space="preserve"> – Fundação Leão XIII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evidência apresentada não demonstra a participação das áreas demandantes no processo de planejamento de TI. Os registros de DFD exibidos na captura de tela estão alocados exclusivamente ao setor 'Assessoria de Informática', sem identificação de outras unidades organizacionais ou evidências de sua contribuição no planejamento. Não foram apresentados registros de reuniões, atas ou fluxos colaborativos que atestem o envolvimento de áreas de negócio, restando ausente comprovação de interação ou definição conjunta de demandas.;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organização não comprova o gerenciamento de dispositivos conectados à rede. A evidência apresentada consiste exclusivamente na listagem de rotinas de backup no arquivo '00002_08_backup.pdf', não abordando a gestão de ativos. A avaliação realizada indica que a evidência é insuficiente para o item. A lacuna é a ausência de inventário de dispositivos e relatórios de controle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organização não comprova o gerenciamento de softwares instalados. A evidência apresentada consiste exclusivamente na listagem de rotinas de backup no arquivo '00002_08_backup.pdf', não contendo listas ou registros de softwares. A avaliação realizada indica que a evidência é insuficiente para o item. A lacuna é a ausência de inventário de softwares ou relatórios de gestão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Embora os fluxogramas detalhem as etapas e responsáveis para contratações em geral, não há demonstração de que o processo de planejamento esteja estruturado ou aplicado às contratações de tecnologia da informação. A evidência é insuficiente por tratar apenas de fluxos genéricos de contratação pública. Falta evidenciar a aplicabilidade destas etapas às demandas específicas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a não conformidade com o item, pois a evidência apresentada é insuficiente para comprovar a existência de uma estrutura de governança que exija aprovação técnica da área de TI para todas as aquisições de soluções de tecnologia da organização. O documento consiste apenas em uma captura de tela do sistema interno, listando demandas originadas pela própria área de informática, sem demonstrar a existência de um fluxo de análise obrigatório para demandas de outros setores. A análise crítica revela que o material enviado não contém ato normativo ou registro que ateste o processo de governança de aprovação técnica transversal. Faltam, portanto, elementos que comprovem a obrigatoriedade da submissão à área técnica e o efetivo fluxo de aprovação para contratações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FMIS</w:t>
      </w:r>
      <w:r w:rsidR="000E190E">
        <w:t xml:space="preserve"> – Fundação Museu da Imagem e do Som</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composta pelo Plano Estratégico e Diretor de Tecnologia da Informação e Comunicação (PEDTIC), constitui um instrumento de planejamento, diagnóstico e gestão, não sendo suficiente para comprovar o controle normativo exigido. Embora o documento defina atribuições setoriais de fiscalização e suporte técnico (p. 13), não estabelece norma interna ou fluxo obrigatório que garanta a análise prévia e aprovação técnica pela área de TI para todas as contratações de TI. A ausência de norma formal e de registros de casos concretos com pareceres técnicos da área impossibilita a verificação do controle efetivo sobre a contratação de soluções tecnológicas.;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FS</w:t>
      </w:r>
      <w:r w:rsidR="000E190E">
        <w:t xml:space="preserve"> – Fundação Saúde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há evidência de uma base de dados de gerenciamento de configuração (CMDB) consolidada. Os elementos apresentados em sistemas distintos não possuem correlação ou mapeamento que vincule ativos de infraestrutura aos serviços de TI suportados. A evidência é insuficiente para comprovar a existência de uma base centralizada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Não foram apresentados fluxos ou descrições formais que delimitem as etapas, responsabilidades e os artefatos resultantes do processo de planejamento das contratações de TI. Os e-mails anexados demonstram apenas interações operacionais entre contratante e fornecedores para coleta de preços, sem evidenciar a existência de um processo de planejamento estruturado.;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FSC</w:t>
      </w:r>
      <w:r w:rsidR="000E190E">
        <w:t xml:space="preserve"> – Fundação Santa Cabrini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o item está não conforme, pois o documento apresentado não atende aos requisitos de comprovação do fluxo de controle. O plano estratégico 'PEDTIC/FSC 2024-2027' descreve objetivos e diretrizes gerais de tecnologia, mas não estabelece norma ou regulamento interno que obrigue a análise e aprovação técnica prévia pela área de TI em todas as contratações de soluções de tecnologia. A menção ao fortalecimento da governança de TIC (OETIC 3) possui caráter estratégico e não substitui a necessidade de um ato normativo que defina os procedimentos operacionais de controle. Não foram apresentados registros ou casos concretos que comprovem a execução prática desse fluxo em processos de contratação.;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FTM</w:t>
      </w:r>
      <w:r w:rsidR="000E190E">
        <w:t xml:space="preserve"> – Fundação Teatro Municipal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FUNARJ</w:t>
      </w:r>
      <w:r w:rsidR="000E190E">
        <w:t xml:space="preserve"> – Fundação de Artes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GSI</w:t>
      </w:r>
      <w:r w:rsidR="000E190E">
        <w:t xml:space="preserve"> – Gabinete de Segurança Institucional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Embora o documento mencione uma 'equipe de elaboração' ou 'comitê', a composição evidenciada é restrita aos integrantes da divisão de TI. Não foram apresentados os atos constitutivos ou registros que comprovem a participação de representantes das demais áreas relevantes da organização no referido comitê. A evidência é insuficiente para demonstrar a representatividade multisetorial necessária.;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foi apresentado inventário consolidado ou relatório de controle de dispositivos conectados à rede. O documento fornecido lista projetos de aquisição de equipamentos, o que não equivale a uma ferramenta de inventário operacional e atualizado. Falta a apresentação do inventário de hardware com os respectivos controles de identificação.;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houve apresentação de evidência de inventário de softwares instalados. O relatório de projetos não contém informações sobre o controle de licenças ou relação de softwares em uso nos dispositivos. Falta documento que comprove o inventário e controle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foi comprovada a manutenção de base de dados consolidada com ativos e relacionamentos técnicos. O relatório '00086_09_glpi-3.pdf' contém apenas registros de projetos que não exibem atributos de configuração, criticidade ou topologia. A evidência é insuficiente por não demonstrar a existência de CMDB ou estrutura de dados vinculada aos ativos. A lacuna principal é a inexistência de inventário técnico de ativos e serviços com seus devidos relacionamentos.;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IEEA</w:t>
      </w:r>
      <w:r w:rsidR="000E190E">
        <w:t xml:space="preserve"> – Instituto Estadual de Engenharia e Arquitetura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Embora a alta administração esteja listada na página 2, não foi apresentado ato formal (resolução, portaria ou despacho assinado) de aprovação do plano vigente. A menção à Portaria IEEA nº 170/2023 (página 7) refere-se apenas à instituição do grupo de trabalho de elaboração, não suprindo a ausência de autorização formal do instrumento.;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indica que a evidência apresentada é insuficiente para sustentar a afirmação, visto que não há previsão formal de cargos, funções ou unidades administrativas voltadas à tecnologia da informação no Decreto nº 16.108/1990. O normativo define a estrutura básica e os cargos em comissão da autarquia, mas não contempla atribuições relacionadas à área de tecnologia. A análise dos dispositivos, incluindo o Art. 8º e o Anexo Único, confirma que as unidades descritas possuem finalidades distintas, como a técnica e de apoio operacional. A lacuna reside na ausência de dispositivo legal que institua cargo ou função formal de tecnologia da informação na estrutura organizacional da autarquia.;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avaliação realizada indica que a evidência apresentada não atende ao critério, pois não constam no Decreto nº 16.108/1990 cargos, funções ou unidades administrativas com competências voltadas à segurança da informação. O referido normativo estabelece a estrutura organizacional e o quadro de cargos em comissão, sem qualquer menção à segurança da informação em suas atribuições. A análise da estrutura básica e do anexo do documento confirma a inexistência de elementos que comprovem a afirmação. A lacuna consiste na ausência de norma, organograma ou ato de designação que contemple a função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O inventário de dispositivos conectados não foi apresentado. As capturas de tela do Active Directory exibem apenas a listagem de usuários, sem detalhar o inventário de estações ou dispositivos de rede. Falta a apresentação de uma listagem ou relatório consolidado dos dispositivos sob controle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há evidência da gestão de softwares instalados. As imagens anexadas referem-se apenas a usuários e infraestrutura física, sem qualquer registro, relatório ou ferramenta que demonstre o controle sobre as aplicações nos dispositivos. Falta a apresentação de inventário de softwares ou políticas de controle de aplicações.;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da Equipe de Auditoria indica que a evidência apresentada é insuficiente, pois limita-se a uma listagem de ativos físicos de hardware. Não constam no documento informações que estabeleçam o relacionamento entre os ativos listados e os serviços de TI, nem a demonstração de uma base que mapeie essas dependências lógicas. A insuficiência da evidência é caracterizada pela ausência de identificação de serviços de TI e de relacionamentos técnicos entre componentes e serviços. A principal lacuna é a falta de elementos que permitam identificar a base de dados como um repositório configurado de serviços 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Equipe de Auditoria conclui que o item não está conforme. A documentação fornecida restringe-se a uma relação de contratos, sem descrever o processo de trabalho da etapa de planejamento. A evidência é insuficiente por não apresentar o detalhamento das etapas, responsabilidades ou fluxos necessários. Ausência de descrição formal das etapas, papéis e artefatos resultantes do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é insuficiente para atestar o cumprimento do item, classificando-o como não conforme. O arquivo apresentado consiste apenas em uma tabela de contratos, conforme página 1, que lista objetos, processos, modalidades e empresas contratadas, sem comprovar fluxos de governança. A ausência de normas, regulamentos ou registros de casos concretos impossibilita verificar a obrigatoriedade e a efetiva execução de análise prévia e aprovação técnica pela área de gestão de TI. Dessa forma, a documentação enviada não sustenta a existência do controle afirmado.;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INEA</w:t>
      </w:r>
      <w:r w:rsidR="000E190E">
        <w:t xml:space="preserve"> – Instituto Estadual do Ambiente</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a organização não mantém uma base de dados que integre ativos com serviços de TI, conforme exigido. O documento analisado restringe-se a uma tabela de inventário de equipamentos físicos, sem qualquer registro de serviços de TI ou de suas dependências tecnológicas. Não há elementos na evidência que demonstrem a relação entre os itens de configuração (CIs) e os serviços ou infraestrutura associados.;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O plano apresentado não é suficiente para comprovar a existência de norma interna que obrigue a submissão de todas as contratações de soluções de TI à análise prévia e aprovação técnica da área de gestão de TI do Instituto. Embora o documento identifique a GERTEC como Nível Setorial de TIC e mencione atos normativos institucionais, não apresenta norma interna ou procedimento formal que estabeleça o fluxo obrigatório de anuência técnica para demandas originadas em quaisquer áreas do órgão. A evidência demonstra o planejamento e a governança das ações de TI, mas não supre a lacuna quanto à norma procedimental solicitada. Portanto, faz-se necessária a apresentação da norma regulamentadora explícita ou evidência de fluxo documental que determine essa obrigação.;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IOERJ</w:t>
      </w:r>
      <w:r w:rsidR="000E190E">
        <w:t xml:space="preserve"> – Imprensa Oficial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comprovação da existência de um catálogo de serviços de TI, o que inviabiliza a demonstração de sua acessibilidade ou disponibilidade aos usuários e equipes de suporte. O documento apresentado é de planejamento interno e não contém links, portais ou mecanismos de consulta que demonstrem a publicidade e a acessibilidade de serviços de TI para o público-alvo. A evidência é insuficiente por não contemplar sequer a existência do próprio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evidência apresentada não permite verificar a gestão ou o inventário de dispositivos conectados à rede. O documento limita-se a comprovar o protocolo de um contrato, sem listar ativos ou demonstrar processos de controle de hardware. A evidência é insuficiente para sustentar a afirmação. A lacuna consiste na inexistência de inventário de dispositivos de rede ou relatórios de controle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evidência apresentada não comprova a gestão de softwares instalados nos dispositivos da rede. O recibo de protocolo de contrato é incapaz de demonstrar inventário de softwares, controle de licenças ou registros de instalação. A evidência é insuficiente por não apresentar dados operacionais. A lacuna consiste na ausência de listagem de softwares instalados ou controles de licenciamento.;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o item não está conforme, pois a evidência apresentada é insuficiente para comprovar a prática afirmada. O Regulamento Interno de Licitações e Contratos (RILC) da IOERJ estabelece em seu Art. 10, página 5, a obrigatoriedade de pareceres das áreas de Compras Públicas e da Assessoria Jurídica para todos os procedimentos de contratação, contudo, não institui dispositivo específico que obrigue a análise prévia e a aprovação técnica por parte da área de gestão de TI para aquisições de soluções tecnológicas. A evidência carece de norma interna que contemple esse fluxo específico de governança de TI e não apresenta um caso concreto que demonstre a aplicação da prática relatada.;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IPEM</w:t>
      </w:r>
      <w:r w:rsidR="000E190E">
        <w:t xml:space="preserve"> – Instituto de Pesos e Medidas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indica que, embora o ETP fornecido descreva etapas de um caso concreto, não há evidências da existência de um processo de trabalho institucionalizado para o planejamento. O material não demonstra a definição das responsabilidades dos atores envolvidos nem o mapeamento dos artefatos gerados em cada fase do processo. A evidência é insuficiente por se tratar de um documento único e não de um normativo ou guia de processo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Equipe de Auditoria indica que a evidência apresentada é insuficiente para atestar a conformidade com o item. O Plano Estratégico e Diretor de TIC (PEDTIC 2026) descreve diretrizes de planejamento e responsabilidades da área de TI, contudo, não constitui uma norma regulamentadora que formalize a obrigatoriedade da análise e aprovação técnica prévia pela área de TI para todas as contratações de tecnologia da organização. A documentação carece de regulamentação interna específica sobre o rito processual desse controle e não apresenta evidência de caso concreto que demonstre a efetiva aplicação dessa prática nas contratações da autarquia.;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IRM</w:t>
      </w:r>
      <w:r w:rsidR="000E190E">
        <w:t xml:space="preserve"> – Instituto Rio Metrópole</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evidência apresentada é insuficiente para comprovar a aprovação formal do plano pela alta administração. Embora o documento liste os membros do Comitê Permanente (pág. 32), não consta ato formal de aprovação, como assinatura, despacho, ata de deliberação ou portaria específica emitida pelo Dirigente Máximo ou instância equivalente. É necessária a apresentação de documento que ateste a homologação formal do PEDTIC 2025.;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ISP</w:t>
      </w:r>
      <w:r w:rsidR="000E190E">
        <w:t xml:space="preserve"> – Instituto de Segurança Pública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Não consta evidência da aprovação formal do plano pelo dirigente máximo ou colegiado da alta administração. Embora o documento apresente um histórico de controle de versões na página 1, não há documento anexo, assinatura ou ato administrativo que comprove a autorização formal. A evidência é insuficiente por omitir a validação pela autoridade competente.;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Equipe de Auditoria avalia que, na ausência de apresentação de catálogo de serviços de TI, não é possível verificar a disponibilização ou a facilidade de acesso aos usuários e equipes de suporte. A evidência anexada não contém informações ou link para catálogo de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que os registros de monitoramento apresentados referem-se estritamente à infraestrutura técnica, como consumo de CPU e memória, não sendo equivalentes ao monitoramento de níveis de serviço estabelecidos em ANS. Não foram apresentadas evidências de indicadores de desempenho de serviços de TI acordados com as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avaliação realizada conclui pela não conformidade, pois não foi apresentado instrumento normativo, guia ou procedimento que estabeleça orientações detalhadas para a execução do processo de gestão de incidentes. O documento fornecido, referente à Política de Segurança da Informação, limita-se a indicar a existência de um responsável, sem formalizar as etapas do rito. A evidência é insuficiente pela ausência de norma interna que descreva o processo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avaliação realizada conclui pela não conformidade, dado que não foram disponibilizados procedimentos que detalhem a notificação, o tratamento, as ações emergenciais ou as diretrizes de escalonamento para incidentes. A seção 4.1.ii da Política de Segurança da Informação menciona um responsável, mas não apresenta os protocolos necessários para a atuação prática. A evidência é insuficiente por não conter procedimentos que definam o fluxo de notificação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trabalho para o planejamento das contratações de TI não está formalmente definido. Embora o auditado tenha apresentado o Documento de Oficialização da Demanda (pág. 1) e o Estudo Técnico Preliminar (pág. 2), estes são artefatos resultantes e não descrevem as etapas, responsabilidades ou fluxos do planejamento. Verifica-se a ausência de documentação procedimental que estruture adequadamente a fase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apresentada é insuficiente para atestar a conformidade com o requisito. Embora os documentos de Estudo Técnico Preliminar e Documento de Oficialização da Demanda demonstrem a prática pontual de análise técnica, o auditado não apresentou o instrumento normativo ou política institucional que estabeleça a obrigatoriedade dessa revisão para a totalidade das contratações de soluções de tecnologia. A documentação apresentada comprova a execução de procedimentos em casos específicos, mas carece de previsão normativa mandatória.;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ITERJ</w:t>
      </w:r>
      <w:r w:rsidR="000E190E">
        <w:t xml:space="preserve"> – Instituto de Terras e Cartografia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não há área de TI formalmente instituída ou não há posicionamento hierárquico formal definido para a área de TI"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Equipe de Auditoria conclui que o item não está conforme. O documento fornecido não contém ato administrativo, portaria de aprovação ou assinatura do dirigente máximo, conforme se verifica nas páginas 2 a 5. A evidência é insuficiente para atestar a aprovação formal pela alta administração. A lacuna consiste na ausência de ato formal de aprovação pelo dirigente máximo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organização não mantém a base de dados consolidada exigida. Embora o inventário contido nas páginas 19 a 21 do PEDTIC 2024-2027 catalogue ativos, o formato de documento estático não cumpre os requisitos de uma Base de Dados de Gerenciamento de Configuração (CMDB). Não há evidência de sistema ou repositório que vincule, de forma dinâmica e atualizada, os ativos aos serviços de TI. A inexistência de uma ferramenta automatizada para gestão de dependências e relacionamentos é a lacuna verificada.;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apresentadas evidências documentais ou configurações do sistema que comprovem a definição de regras formais para a priorização e o escalonamento de incidentes. Embora a ferramenta registre chamados, não há comprovação da existência de matrizes de criticidade ou fluxos de escalonamento definidos. A evidência é insuficiente por não conter os critérios objetivos de tratamento dos incidentes. É necessário apresentar norma, procedimento ou evidência de configuração sistêmica que estabeleça tais parâmetros.;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institucionalização de um processo de governança para contratações de Tecnologia da Informação. Os documentos encaminhados, compreendendo comunicações internas e despachos, comprovam apenas um caso isolado de interação entre setores para uma contratação específica. Não foi apresentado ato normativo, regulamento ou política interna que estabeleça a obrigatoriedade de análise técnica prévia pela área de TI para todos os processos de contratação de soluções tecnológicas. A ausência de tal normatização impede a validação da conformidade do item auditado.;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IVB</w:t>
      </w:r>
      <w:r w:rsidR="000E190E">
        <w:t xml:space="preserve"> – Instituto Vital Brazil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da Equipe de Auditoria indica que não há evidência de aprovação formal do referido plano pela alta administração. O Regimento Interno apenas atribui a competência de elaborar e disseminar o plano, não constituindo aprovação documental do conteúdo do PEDTIC. A evidência é insuficiente pela ausência de ato, portaria ou resolução de aprovação.;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avaliação da Equipe de Auditoria indica que não há evidência que demonstre o alinhamento das iniciativas de TI com o planejamento estratégico ou PPA da organização. O material apresentado não vincula os projetos de TI aos objetivos institucionais superiores. A evidência é insuficiente pela falta de matriz, relatório ou documento que explicite este alinhamento.;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A avaliação da Equipe de Auditoria indica que inexistem provas de acompanhamento efetivo da execução do plano. Embora o Regimento Interno preveja a competência para monitorar a elaboração, não foram apresentados relatórios, atas, indicadores ou registros de ajustes realizados durante a execução do plano. A evidência é insuficiente devido à ausência de registros de monitoramento concomitante.;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internos da organização que atuam regularmente em tecnologia da informação,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a evidência apresentada é insuficiente. Embora o painel de monitoramento identifique ativos, não foi apresentado um inventário formal e detalhado dos dispositivos conectados à rede. Falta o registro cadastral que comprove o controle efetivo dos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não há comprovação do gerenciamento de softwares instalados. O painel de monitoramento apenas indica a categoria de aplicações, sem demonstrar a existência de um inventário detalhado e controlado dos softwares em uso. Falta lista ou relatório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JUCERJA</w:t>
      </w:r>
      <w:r w:rsidR="000E190E">
        <w:t xml:space="preserve"> – Junta Comercial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avaliação realizada indica a não conformidade. Não foram disponibilizados Acordos de Nível de Serviço (ANS) ou documentos de pactuação entre a TI e as áreas de negócio. A falta desses instrumentos inviabiliza a verificação de compatibilidade entre o catálogo e o que foi acordado. Ausência de evidência formal de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a não conformidade. Embora a wiki liste o inventário de softwares e sistemas, não foram encontrados os parâmetros de metas, prazos de entrega ou horários de suporte para cada item catalogado. A documentação apresentada é insuficiente para demonstrar o detalhamento dos serviços. Ausência de definição de metas de nível de serviço para cada item do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avaliação realizada indica a não conformidade. Apesar da existência de processos de atendimento ao usuário, não foram apresentados registros, dashboards ou relatórios de monitoramento que demonstrem o acompanhamento contínuo dos níveis de serviço estabelecidos. A evidência é insuficiente para atestar a prática de monitoramento. Falta a apresentação de indicadores de nível de serviço e relatórios periódicos.;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A Equipe de Auditoria avalia que o critério não está conforme devido à ausência de evidências da formalização do processo. Apenas a menção ao link de um processo BPMN, sem a disponibilização do seu conteúdo efetivo, impede a verificação da existência de diretrizes e de definição de responsabilidades. A evidência é insuficiente por não demonstrar o conteúdo do instrumento formal, configurando uma lacuna crítica.;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LOTERJ</w:t>
      </w:r>
      <w:r w:rsidR="000E190E">
        <w:t xml:space="preserve"> – Loteria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MPERJ</w:t>
      </w:r>
      <w:r w:rsidR="000E190E">
        <w:t xml:space="preserve"> – Ministério Público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existência de uma base de dados consolidada e atualizada com configurações e relacionamentos entre ativos e serviços não foi demonstrada pela evidência enviada. Embora a Resolução GPGJ nº 2.785 mencione a responsabilidade de controle, o documento não constitui o registro ou a base de dados em si. A evidência é insuficiente para atestar a conformidade, pois não apresenta o inventário, extratos ou relatórios estruturados. A lacuna identificada é a inexistência de documentação técnica ou acesso ao sistema que comprove a manutenção efetiva da base de configurações.;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PESAGRO</w:t>
      </w:r>
      <w:r w:rsidR="000E190E">
        <w:t xml:space="preserve"> – Empresa de Pesquisa Agropecuária do Estado do Rio de Janeiro</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PGE</w:t>
      </w:r>
      <w:r w:rsidR="000E190E">
        <w:t xml:space="preserve"> – Procuradoria Geral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evidência apresentada é insuficiente para demonstrar a compatibilidade do catálogo com os Acordos de Nível de Serviço. Embora existam SLAs listados, não foram apresentados os acordos formais estabelecidos entre a área de tecnologia e as áreas de negócio. Identifica-se a ausência de evidências documentais que comprovem o alinhamento do catálogo com acordos vigentes.;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elementos que comprovem a disponibilização ampla do catálogo aos usuários e equipes de suporte. Os arquivos enviados são documentos estáticos que não indicam estar publicados em portais ou meios de acesso acessíveis ao público-alvo. Verifica-se a lacuna referente à prova de publicação ou disponibilização em portal de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Não foram apresentados Acordos de Nível de Serviço formalizados. A existência de SLAs nos arquivos não supre a necessidade de evidenciar a formalização acordada com representantes das áreas de negócio clientes. Identifica-se a total ausência de instrumentos contratuais ou termos de adesão a níveis de serviço assinados.;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Não há registros de monitoramento contínuo dos níveis de serviço estabelecidos. A organização não disponibilizou relatórios de desempenho, painéis de controle ou registros que comprovem o acompanhamento das metas de SLA. A evidência é insuficiente por tratar apenas da definição dos níveis, sem apresentar a execução ou monitoramento.;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não está conforme, pois a evidência apresentada é insuficiente para comprovar a sistemática de análise técnica das contratações de TI. A documentação enviada limita-se a uma declaração descritiva da organização, que menciona o Processo SEI-140001/035011/2025 sem anexar os respectivos registros ou pareceres técnicos. A mera citação de um número de processo administrativo, sem a apresentação da documentação comprobatória contida nos autos, não permite verificar a efetiva realização da análise técnica pela área de TI. É necessária a apresentação de normativo interno que obrigue a análise prévia e, adicionalmente, a exibição dos registros ou pareceres técnicos referentes ao caso citado para confirmar a efetiva aplicação do processo descrito.;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PROCON</w:t>
      </w:r>
      <w:r w:rsidR="000E190E">
        <w:t xml:space="preserve"> – Autarquia de Proteção e Defesa do Consumidor do Estado do Rio de Janeiro - PROCON-RJ</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indica que a estrutura organizacional definida na Lei nº 5738/2010 não contempla a criação de unidade, setor ou departamento específico para a Tecnologia da Informação. O estatuto dispõe sobre a criação de órgãos superiores, como o Conselho de Administração e a Diretoria-Executiva, sem atribuir formalmente competências de TI a essas ou outras unidades. A evidência apresentada é insuficiente por não conter dispositivo legal ou organograma que formalize a existência de estrutura de TI no PROCON-RJ.;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obrigatoriedade da prática em âmbito institucional. O Estudo Técnico Preliminar (documento 00096_07_2803.pdf, páginas 7 e 10) comprova apenas a participação da Assessoria de Informática no planejamento e fiscalização de um caso específico de contratação. Não foi apresentado ato normativo ou regulamento que institua a análise prévia e aprovação técnica da área de TI como regra obrigatória para todas as contratações de soluções de tecnologia da informação do órgão.;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PRODERJ</w:t>
      </w:r>
      <w:r w:rsidR="000E190E">
        <w:t xml:space="preserve"> – Centro de Tecnologia de Informação e Comunicação do Estado do Rio de Janeiro - PRODERJ</w:t>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avaliação realizada indica a não conformidade, visto que a publicação de uma tabela de preços no Diário Oficial não supre a exigência de disponibilização de um catálogo de serviços para usuários e equipes de suporte. Não foi apresentado portal, sistema ou canal de acesso que viabilize a consulta às características dos serviços ou aos procedimentos de suporte. A evidência é insuficiente por não demonstrar a acessibilidade operacional do catálogo. A lacuna é a inexistência de uma plataforma ou canal de acesso estruturado ao catálogo de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avaliação realizada indica a não conformidade, pois a tabela de preços enviada não estabelece Acordos de Nível de Serviço (ANS) com as áreas clientes. O documento é restrito a questões tarifárias, sem conter metas de desempenho, prazos ou indicadores de qualidade formalizados. A evidência é insuficiente por omitir qualquer instrumento contratual ou normativo que formalize os acordos. A lacuna identificada é a inexistência de metas de nível de serviço acordadas e formalizadas com os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que a totalidade das contratações de soluções de TI são obrigatoriamente submetidas à análise técnica da área de gestão de TI. O PEDTIC 2026 cita a Portaria PRODERJ/PRE nº 825/2021 e demonstra práticas de monitoramento e análise de riscos para projetos específicos, como no caso do produto 6884 (pág. 34). Contudo, tais exemplos pontuais não comprovam a existência de norma ou procedimento institucional que estabeleça essa aprovação como uma regra geral e mandatória para todos os processos de contratação da Autarquia. Falta um instrumento normativo que institua a obrigatoriedade sistêmica de análise técnica prévia pela área de gestão de TI para todas as aquisições.;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RIOPREVIDENCIA</w:t>
      </w:r>
      <w:r w:rsidR="000E190E">
        <w:t xml:space="preserve"> – Fundo Único de Previdência Social do Estado do Rio de Janeiro - RIOPREVIDENCIA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avaliação da Equipe de Auditoria indica que não foram apresentados objetivos, indicadores ou metas formalmente estabelecidos para a gestão de TI. A evidência consiste apenas em um painel de monitoramento operacional, sem registro documental que formalize metas quantitativas, indicadores estratégicos ou objetivos de gestão aprovados pela organização. É necessária a apresentação de instrumento formal contendo o planejamento e a aprovação desses elementos.;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evidência apresentada é insuficiente para demonstrar o atendimento ao critério. Embora o plano cite a criação do Comitê PEDTIC por meio da Portaria nº 505/2023, não foi apresentado ato formal, despacho ou documento assinado que comprove a aprovação final do plano pelo dirigente máximo ou por colegiado da alta administração. Ausência de evidência documental da aprovação oficial do PEDTIC 2024.;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evidência não demonstra a existência de funções específicas em segurança da informação na estrutura organizacional. A 'Coordenadoria DPO' presente no organograma está associada à conformidade e proteção de dados pessoais, não constituindo função atribuída à segurança da informação em sentido técnico ou operacional. Não há unidade ou função que remeta explicitamente à segurança da informação ou segurança cibernética. Falta a indicação de unidade ou função formalmente designada para tal finalidade.;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avaliação realizada indica que o item não foi atendido. Não foram fornecidos o catálogo de serviços, os Acordos de Níveis de Serviço (ANS) formalizados, nem evidências que comprovem a atualização ou a compatibilidade entre ambos. A captura de tela disponibilizada limita-se a métricas operacionais de chamados, sem elementos que permitam verificar a gestão ou a atualização do catálogo frente aos acordos. A evidência é insuficiente pela falta dos documentos estruturantes 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indica que o processo de planejamento para contratações de TI não está definido. A portaria apresentada restringe-se à designação de atribuições de fiscalização, não abordando etapas, papéis ou artefatos da fase de planejamento de contratações. A evidência é insuficiente pois não demonstra os procedimentos de planejamento requeridos. A lacuna reside na ausência de descrição de fluxos, responsabilidades e etapas do planejamento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RIOTRILHOS</w:t>
      </w:r>
      <w:r w:rsidR="000E190E">
        <w:t xml:space="preserve"> – Companhia de Transportes Sobre Trilhos do Estado do Rio de Janeiro - RIOTRILHOS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avaliação realizada indica que não é possível verificar o alinhamento das iniciativas de TI ao planejamento institucional, uma vez que não foi apresentado o Plano de TI da organização. O documento SEI-100002/000406/2024, que trata apenas de contratação de serviços, não demonstra vinculação com objetivos estratégicos, PPA, planos setoriais ou diretrizes de governança. A evidência é insuficiente para a comprovação do requisito. A lacuna identificada é a inexistência de Plano de TI que apresente o alinhamento estratégico exigido.;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A avaliação da Equipe de Auditoria indica a não conformidade com o item. A única evidência disponibilizada é uma captura de tela de acesso a sistema, a qual não constitui norma interna, guia ou instrumento similar de formalização. A evidência é insuficiente por não apresentar diretrizes, orientações de execução ou definição de responsabilidades para a gestão de configuração e ativos. A lacuna relevante é a ausência de qualquer documento normativo formal que estabeleça e descreva o processo mencionado.;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existência de um rito obrigatório de submissão de todas as contratações de TI à análise técnica prévia da área responsável. Embora o Regimento Interno, na página 49, atribua à Divisão de Informática e Organização (DINFO) a competência para elaborar especificações e emitir pareceres técnicos, o documento não estabelece um fluxo mandatório que vincule todas as unidades da Companhia a submeterem suas demandas de TI a essa unidade. A ausência de norma regulamentando esse rito processual interdepartamental e a falta de registros de casos concretos impedem a comprovação da existência e eficácia de tal controle interno. Dessa forma, a documentação limita-se a definir competências técnicas da DINFO, sem instituir a obrigatoriedade procedimental requerida pela afirmação.;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RJPREV</w:t>
      </w:r>
      <w:r w:rsidR="000E190E">
        <w:t xml:space="preserve"> – Fundação de Previdência Complementar do Estado do Rio de Janeiro - RJPREV</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Equipe de Auditoria avalia que o item não está conforme. Embora o documento mencione diretrizes de serviço, não foram apresentados os Acordos de Nível de Serviço (ANS) formalizados entre a área de TI e as áreas de negócio. A ausência desses acordos impossibilita a verificação de compatibilidade, além da fragilidade documental decorrente do documento não estar aprovado ou assinado. Falta a comprovação de conformidade entre o catálogo e os acordos vigentes.;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Equipe de Auditoria avalia que o item não está conforme. O documento foi disponibilizado apenas como arquivo interno de minuta, sem evidências de sua publicação ou ampla divulgação aos usuários e equipes de suporte. Inexistem registros de comunicado, acesso via intranet ou portal que comprovem a acessibilidade do catálogo aos destinatários. Falta a evidência de disponibilização efetiva do documento aos usuários.;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que o item não está conforme. Embora o catálogo descreva indicadores de desempenho a serem acompanhados, não foram apresentados registros, relatórios, painéis de controle ou histórico que demonstrem a execução contínua do monitoramento. A evidência apresentada é prospectiva e não comprova a prática efetiva de monitoramento dos níveis de serviço. Falta a apresentação de evidências documentais da execução do monitoramento.;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planejamento não está definido conforme exigido. O fluxograma apresenta apenas uma etapa genérica de planejamento, sem detalhar os sub-processos, as responsabilidades dos envolvidos ou os artefatos produzidos. A evidência não oferece informações sobre a condução operacional do planejamento de TI. Há uma lacuna de detalhamento técnico e procedimental sobre a fase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auditoria conclui que a evidência apresentada é insuficiente para demonstrar o cumprimento do requisito de governança de TI. O Termo de Referência enviado constitui peça específica para uma contratação pontual de serviços de hospedagem e correio eletrônico, não possuindo natureza de ato normativo que estabeleça fluxo obrigatório de aprovação técnica pela área de TI. A análise crítica do documento confirma que não há previsão, em seu conteúdo, de regra institucional que imponha a submissão de todas as demandas de tecnologia à área de gestão de TI. Como lacuna, verifica-se a ausência de normativo interno ou regulamento administrativo que formalize a obrigatoriedade de análise e aprovação técnica prévia pela unidade de gestão de TI para todas as aquisições de soluções tecnológicas.;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SEAP</w:t>
      </w:r>
      <w:r w:rsidR="000E190E">
        <w:t xml:space="preserve"> – Secretaria de Estado de Administração Penitenciária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não está conforme, pois o documento apresentado consiste unicamente em um relatório de atividades operacionais referente à execução do contrato de serviços de TI. O relatório descreve manutenções, monitoramentos e suporte técnico realizados, não contendo elementos que comprovem o processo de governança para contratações de soluções de TI. A evidência é, portanto, insuficiente para demonstrar o cumprimento do critério, uma vez que não apresenta qualquer norma, regulamento ou caso concreto demonstrando a análise técnica prévia exigida. Há ausência de norma interna de governança para contratações de TI e de documentação comprovando a aplicação do referido fluxo de aprovação técnica.;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SEAPPA</w:t>
      </w:r>
      <w:r w:rsidR="000E190E">
        <w:t xml:space="preserve"> – Secretaria de Estado de Agricultura, Pecuária, Pesca e Abastecimento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Não foi comprovada a aprovação formal do plano pelo dirigente máximo ou por colegiado da alta administração. Embora o documento cite a composição do Comitê Permanente, não há ato administrativo, portaria, ata deliberativa ou assinatura que confirme a aprovação final do PEDTIC. A evidência é insuficiente por ausência de documento que ateste a validação institucional do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indica que o item está em não conformidade, visto que a evidência apresentada, composta pelo Ofício nº 44 (página 1), limita-se a uma solicitação pontual de anuência para contratação de software, não configurando comprovação de fluxo institucional estabelecido. A documentação enviada é insuficiente, pois não apresenta o ato normativo que impõe a obrigatoriedade da análise prévia pela área de TI, tampouco o registro de aprovação técnica definitiva. Permanecem como lacunas a ausência de norma regulamentadora que formalize o processo e a inexistência de evidência da conclusão da análise pela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SECC</w:t>
      </w:r>
      <w:r w:rsidR="000E190E">
        <w:t xml:space="preserve"> – Secretaria de Estado da Casa Civil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prática de governança declarada. Os documentos fornecidos consistem em uma portaria de designação de equipe para uma contratação específica e um despacho de encaminhamento sobre sanção administrativa contratual. Esses atos administrativos possuem natureza pontual e não estabelecem, de forma sistêmica, a obrigatoriedade de análise prévia e aprovação técnica por parte da área de gestão de TI para todas as contratações de soluções de tecnologia da informação. É necessária a apresentação de norma, regulamento ou procedimento formal que institucionalize essa prática de controle em todo o fluxo de contratações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SECEC</w:t>
      </w:r>
      <w:r w:rsidR="000E190E">
        <w:t xml:space="preserve"> – Secretaria de Estado de Cultura e Economia Criativa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SECID</w:t>
      </w:r>
      <w:r w:rsidR="000E190E">
        <w:t xml:space="preserve"> – Secretaria de Estado das Cidades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O documento apresenta apenas a estrutura organizacional e a existência da 'Coordenadoria de Informática', sem detalhar suas competências funcionais. Não há definição formal de atribuições relativas à governança, planejamento ou gestão estratégica de tecnologia da informação na norma apresentada. Falta documento normativo que estabeleça essas atribuições.;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que não há evidências da participação das áreas demandantes no planejamento de tecnologia da informação. O decreto apresentado define apenas a estrutura organizacional e não contém registros, atas ou fluxos de trabalho que demonstrem o envolvimento de outras unidades administrativas no referido processo. Não foram apresentados elementos que comprovem a colaboração entre áreas usuárias e a unidade de TI. A lacuna é a ausência total de evidências documentais ou registros de reuniões que atestem essa participação.;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SECTI</w:t>
      </w:r>
      <w:r w:rsidR="000E190E">
        <w:t xml:space="preserve"> – Secretaria de Estado de Ciência, Tecnologia e Inovação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O documento identifica a composição de um Comitê Permanente que inclui um representante da alta administração, evidenciando o envolvimento institucional. No entanto, não foi apresentado o ato formal de aprovação específica desta versão 2.2 do plano pelo dirigente máximo ou colegiado competente. A ausência de um documento de aprovação, como portaria ou resolução, impede a verificação formal do requisito.;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A avaliação realizada indica não conformidade. Não foi apresentada evidência documental que formalize um quantitativo necessário de pessoal para a área de tecnologia e segurança da informação. O documento normativo não contém quadros, tabelas ou registros que expressem a quantidade de profissionais necessários ao funcionamento do setor.;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SEDCON</w:t>
      </w:r>
      <w:r w:rsidR="000E190E">
        <w:t xml:space="preserve"> – Secretaria de Estado de Defesa do Consumidor</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SEDEC</w:t>
      </w:r>
      <w:r w:rsidR="000E190E">
        <w:t xml:space="preserve"> – Secretaria de Estado de Defesa Civil</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A Equipe de Auditoria avalia que o processo de gestão de ativos carece de formalização documental. Não foi anexada ao pacote de evidências qualquer norma, política, guia ou procedimento interno que defina as diretrizes, responsabilidades e fluxos para a execução do processo. Portanto, a evidência apresentada é insuficiente para demonstrar o requisito de formalização. A lacuna relevante consiste na ausência de instrumentos normativos que formalizem a gestão da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SEDEICS</w:t>
      </w:r>
      <w:r w:rsidR="000E190E">
        <w:t xml:space="preserve"> – Secretaria de Estado de Desenvolvimento Econômico, Indústria, Comércio e Serviços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organização não demonstrou a existência de norma ou procedimento operacional que exija, de forma mandatória, a análise prévia e a aprovação técnica pela área de gestão de TI para todas as contratações de soluções de tecnologia. O PEDTIC apresentado foca no planejamento estratégico e diretrizes de alinhamento ao Plano de Contratações Anual, sem detalhar o fluxo operacional de aprovação técnica exigido pelo item. A evidência é, portanto, insuficiente para comprovar a adoção da prática de controle afirmada. Identifica-se como lacuna a ausência de normativo interno ou fluxo processual documentado que formalize a obrigatoriedade desse controle.;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SEDSDH</w:t>
      </w:r>
      <w:r w:rsidR="000E190E">
        <w:t xml:space="preserve"> – Secretaria de Estado de Desenvolvimento Social e Direitos Humanos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considerada insuficiente, resultando na conclusão de não conformidade. O documento '00111_19_lgpd.doc' aborda exclusivamente cláusulas de sanitização de dados e sanções contratuais, sem apresentar normas ou fluxos que regulem a contratação de soluções de tecnologia da informação. A avaliação realizada indica que o conteúdo enviado não guarda relação com a governança ou o controle de contratações de TI, não sendo possível verificar a existência de processo de análise prévia e aprovação técnica. Verifica-se a ausência de normativo interno ou registro que comprove a obrigatoriedade dessa etapa nos procedimentos de contratação da unidade.;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SEEDUC</w:t>
      </w:r>
      <w:r w:rsidR="000E190E">
        <w:t xml:space="preserve"> – Secretaria de Estado de Educação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organização não estabeleceu objetivos, indicadores e metas formais para a gestão de tecnologia da informação. A minuta de resolução apresentada não contém definição de indicadores mensuráveis ou metas quantitativas, limitando-se a prever competências de alinhamento em documento ainda sem aprovação. A evidência é insuficiente para sustentar o cumprimento desta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existência de um comitê de tecnologia da informação não foi comprovada, uma vez que a evidência apresentada é uma minuta de resolução que propõe sua criação. Não há ato normativo assinado e publicado pela alta administração que institua formalmente o comitê ou designe seus membros. A prática permanece sem efetividade jurídica.;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O alinhamento das iniciativas de TI ao planejamento institucional não pode ser verificado na ausência de um plano de TI. O processo contém apenas trâmites administrativos para nomeação de comitês (pág. 1-19). A evidência é insuficiente devido à falta do documento do plano, o que impede a análise de sua aderência aos objetivos estratégicos. Não foram apresentadas iniciativas, projetos ou ações de TI estruturados.;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Não é possível validar a fundamentação orçamentária ou de contratações, visto que o plano de TI inexiste. Os documentos do processo tratam apenas da estrutura de governança e da indicação de representantes (pág. 1-19). A evidência é insuficiente pela ausência do conteúdo do plano de TI que deveria conter as previsões de orçamento e contratações. Não há registro que vincule o planejamento estratégico de TI aos instrumentos orçamentários.;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Inexiste acompanhamento concomitante de plano de TI, pois o instrumento de planejamento sequer foi aprovado. As evidências limitam-se à fase de formalização da governança e convocação de reuniões de deliberação (pág. 18). A evidência é insuficiente por não demonstrar a existência de monitoramento, relatórios de execução ou indicadores de desempenho. Não há fase de execução de plano de TI vigente para ser monitorada.;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é considerada não conforme devido à inexistência de regulamentação interna e à ausência de evidências comprobatórias. O auditado declarou expressamente a ausência de normas estaduais que instituam a obrigatoriedade da análise prévia e aprovação técnica pela área de gestão de TI, baseando-se apenas na aplicação analógica de legislação federal. A apresentação de números de processos, sem o anexo de documentos como pareceres ou despachos técnicos, impossibilita a verificação da efetividade do controle alegado. Identifica-se a necessidade de ato normativo interno que formalize o rito e de registros documentais que comprovem a análise técnica obrigatória em casos concretos.;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SEEL</w:t>
      </w:r>
      <w:r w:rsidR="000E190E">
        <w:t xml:space="preserve"> – Secretaria de Estado de Esporte e Lazer</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SEENEMAR</w:t>
      </w:r>
      <w:r w:rsidR="000E190E">
        <w:t xml:space="preserve"> – Secretaria de Estado de Energia e Economia do Mar</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página 2 lista os integrantes do Comitê Permanente e representantes da alta administração, mas não há nos autos o ato, portaria ou documento de aprovação do plano pelo dirigente máximo. A ausência de elementos que formalizem essa aprovação impede a validação do item. É necessário apresentar o documento de aprovação formal para suprir a lacuna.;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documento mencione nas páginas 7 e 32 alinhamento com instrumentos como LDO, LOA e Plano Anual de Contratações, não foi evidenciado como o PEDTIC fundamenta, de fato, a proposta orçamentária ou o plano de contratações da área de TI. As referências tratam de alinhamento estratégico, não servindo como comprovação de que o plano serve de base para essas peças orçamentárias e de contratação. Falta documento ou registro que demonstre a fundamentação direta destas despesas no PEDTIC.;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a evidência apresentada é insuficiente para comprovar o inventário e o controle efetivo dos dispositivos. O dashboard exibe apenas uma estimativa numérica e níveis de risco associados, o que não equivale a um inventário formal ou a evidências de controle sobre os ativos conectados. Não há registros de gestão que demonstrem a capacidade de bloquear, classificar ou gerenciar o ciclo de vida desses dispositivos. A lacuna relevante é a ausência de inventário de hardware e de controles de gestão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a evidência não sustenta a afirmação de gestão e inventário de softwares. O painel disponibilizado aponta a categoria de aplicações apenas como um fator de risco, sem apresentar uma relação, inventário ou evidência de mecanismos de controle sobre os softwares instalados. Não é possível verificar quais aplicações estão presentes ou se sua instalação está sob controle. A lacuna principal é a falta de inventário detalhado de softwares e de procedimentos de controle de instalações.;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a existência de norma interna que obrigue a submissão de todas as contratações de soluções de tecnologia da informação à análise prévia e aprovação técnica da unidade de gestão de TI. Embora o art. 26 do Regimento Interno (Decreto nº 48.537/2023) atribua à Superintendência de Tecnologia da Informação e Comunicação (SUPTIC) competências como planejar e aprovar projetos de TI, o texto normativo não estabelece a obrigatoriedade de submissão dessas demandas por todas as unidades da Secretaria. A evidência analisada limita-se a definir atribuições da área de TI, sem comando explícito que vincule a gestão de TI a todos os processos de contratação de soluções tecnológicas da instituição. Identifica-se a necessidade de complementação da evidência com norma que determine o fluxo obrigatório de análise técnica para todas as contratações de TI, ou a demonstração de casos concretos que comprovem a prática do fluxo de aprovação.;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SEFAZ</w:t>
      </w:r>
      <w:r w:rsidR="000E190E">
        <w:t xml:space="preserve"> – Secretaria de Estado de Fazenda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avaliação realizada indica que a evidência apresentada é insuficiente para comprovar a atribuição formal da área. O documento fornecido restringe-se ao sumário do caderno de evidências, não contendo o conteúdo substantivo necessário para verificar as competências específicas. Ausente o documento ou trecho comprobatório que detalhe a formalização das atribuições relativas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avaliação realizada indica que a existência de objetivos, indicadores e metas para a gestão de TI não foi comprovada. O documento apresentado é apenas um sumário e não contém os elementos de desempenho da gestão de TI. A lacuna consiste na ausência de painel, documento ou relatório com objetivos, indicadores e metas formais.;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avaliação realizada indica que a existência de um comitê de TI não foi comprovada. Embora o sumário faça referência a comitês, o conteúdo apresentado não demonstra a instituição de um comitê de TI com representantes de áreas relevantes. A lacuna consiste na ausência de ato constitutivo ou regimento do referido comitê.;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que a evidência apresentada não demonstra a participação de áreas demandantes no processo de planejamento de TI. O material consiste apenas no sumário do caderno de evidências, estando ausentes registros, atas, listas de presença ou outros documentos que comprovem o envolvimento dessas áreas. A evidência é insuficiente, pois não há conteúdo comprobatório extraído do documento apresentado. Devem ser enviados documentos que evidenciem a participação das áreas demandantes.;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que o processo de planejamento de TI não está formalizado, pois o documento apresentado limita-se ao sumário do caderno de evidências. Não foram encontrados normas internas, guias ou instrumentos similares que estabeleçam diretrizes e responsabilidades para o planejamento de TI. A evidência é insuficiente por não conter o instrumento formal de planejamento, sendo necessária a apresentação do documento ou norma que institucionalize 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realizada indica que o critério não está atendido. Não foram fornecidos atos formais, portarias, atas ou despachos que comprovem a aprovação do Plano de TI pela alta administração da organização. A ausência de elemento probatório impede a validação da aprovação formal exigida. É necessária a apresentação do ato de aprovação do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avaliação realizada indica que o critério não está atendido. Não foi possível verificar o alinhamento das iniciativas de TI ao planejamento institucional, dada a inexistência do Plano de TI no material enviado. A ausência de elementos comparativos ou descritivos de alinhamento impede a validação desta conformidade. É necessária a apresentação de evidências que demonstrem a aderência das iniciativas de TI às diretrizes estratégicas.;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A avaliação realizada indica que o critério não está atendido. Não foram apresentados documentos que demonstrem a correlação ou fundamentação da proposta orçamentária e do plano de contratações com o Plano de TI. A falta de evidência documental sobre a vinculação orçamentária impede a verificação da conformidade. É necessária a apresentação de documentos que evidenciem essa vinculação.;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A avaliação realizada indica que o critério não está atendido. Não foram apresentados relatórios, atas de reunião, painéis de monitoramento ou registros de revisões que evidenciem o acompanhamento da execução do Plano de TI. A ausência de mecanismos de controle impede a verificação da observância do plano. É necessária a apresentação de evidências de acompanhamento periódico da execução.;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Equipe de Auditoria avalia que a evidência apresentada é insuficiente para sustentar a afirmação. O documento enviado constitui apenas o sumário do caderno de evidências, sem conter o conteúdo substantivo que comprove a existência de cargo ou função formalmente atribuída à área de tecnologia da informação. A falta de acesso a atos normativos, organogramas ou documentos de descrição de atribuições impede a verificação da conformidade. É necessário que o auditado apresente os documentos comprobatórios listados no sumário, contendo a formalização da estrutura e das atribuições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Equipe de Auditoria avalia que a evidência apresentada é insuficiente para sustentar a afirmação. O arquivo encaminhado é restrito ao sumário do caderno de evidências, omitindo o conteúdo substantivo necessário para comprovar o posicionamento formal da segurança da informação ou a designação de responsáveis pela área. A ausência de atos de designação, normas, organogramas ou descrições de atribuições impossibilita a constatação da existência de cargos ou funções atribuídos à segurança da informação. A lacuna deve ser sanada com a apresentação da documentação formal que sustente as atribuições da área.;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avaliação realizada indica que o critério não foi atendido. Não foram apresentadas evidências de que o catálogo esteja disponível ou seja de fácil acesso aos usuários e equipes de suporte. O material fornecido limita-se ao sumário do documento, carecendo de informações sobre a publicação do catálogo. É necessária a apresentação de evidências da disponibilização e acessibilidade do catálogo aos usuários.;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que o critério não foi atendido. A documentação fornecida restringe-se ao sumário do caderno, não contendo o catálogo de serviços ou informações sobre metas, prazos e pontos de contato. A ausência desses elementos impede a comprovação dos requisitos. É necessária a apresentação do catálogo de serviços contendo metas e informações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avaliação realizada indica que o critério não foi atendido. Não foram apresentados Acordos de Níveis de Serviço (ANS) ou documentos de formalização de metas com as áreas de negócio clientes. A evidência enviada restringe-se ao sumário, sem conter registros de acordos ou formalizações. É necessária a apresentação dos ANS formalizados e devidamente assinados pelas partes interessadas.;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avaliação realizada indica que a evidência apresentada é insuficiente para sustentar a afirmação. O documento enviado contém apenas o sumário do caderno de evidências, sem fornecer qualquer registro, relatório ou ferramenta de inventário que comprove o controle de dispositivos. A análise crítica demonstra a impossibilidade de verificar a gestão e o controle dos ativos de rede sem a documentação pertinente. A lacuna principal é a ausência de evidências de inventário e controle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avaliação realizada indica que a evidência apresentada é insuficiente para sustentar a afirmação. O documento enviado consiste apenas no sumário do caderno de evidências, não contendo registros, relatórios de software ou evidências de controle de licenciamento e instalação. A análise crítica aponta a ausência de elementos que demonstrem a gestão de softwares nos dispositivos da rede. A lacuna relevante é a falta de documentos que comprovem o inventário e controle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A evidência apresentada é insuficiente para sustentar a afirmação. O documento enviado limita-se ao sumário, não constando o conteúdo ou as normas que definam os critérios de priorização e os fluxos de escalonamento de incidentes. A ausência de elementos verificáveis impede a validação da regra estabelecida. Falta a apresentação de matriz de prioridade ou documento normativo sobre o escalonamento.;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Não há evidência da formalização do processo de gestão de incidentes, como normas internas ou guias institucionais. O documento fornecido é apenas o sumário, impossibilitando a verificação da existência de orientações ou definições de responsabilidades. A evidência é insuficiente para atestar a formalização requerida. Falta a apresentação do documento normativo de gestão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evidência apresentada é insuficiente para sustentar a existência de procedimentos de gestão de incidentes de segurança. O sumário enviado não traz normas, diretrizes de comunicação ou protocolos de ações emergenciais relativos à segurança da informação. A falta de conteúdo substantivo impede a validação da resposta. Falta a apresentação dos procedimentos de tratamento de incidentes de segurança.;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SEGOV</w:t>
      </w:r>
      <w:r w:rsidR="000E190E">
        <w:t xml:space="preserve"> – Secretaria de Estado de Governo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SEHAB</w:t>
      </w:r>
      <w:r w:rsidR="000E190E">
        <w:t xml:space="preserve"> – Secretaria de Estado de Habitação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avaliação realizada indica que o item não está conforme. O documento, embora mencione a manutenção de equipamentos (página 3), limita-se a atribuir competências administrativas sem demonstrar a prática de inventário ou controle de segurança dos dispositivos. A evidência é insuficiente para atestar a gestão de dispositivos conectados à rede. Falta a apresentação de inventário atualizado ou ferramenta de controle de ativos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avaliação realizada indica que o item não está conforme. O documento apresentado não contém registros ou políticas que comprovem o inventário e o controle dos softwares instalados. A atribuição genérica de orientar usuários sobre programas (página 3) não constitui gestão de inventário de software. Falta a apresentação de lista de softwares autorizados ou registro de licenciamento e versões.;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corroborar a afirmação de que a organização adota práticas de governança e controle, especificamente a análise prévia obrigatória pela área de TI, em todas as contratações de TI. O Regimento Interno apresentado define as competências da Coordenadoria de Informática, atribuindo-lhe a elaboração de Termos de Referência e fiscalização apenas dos contratos sob sua responsabilidade direta. O normativo não institui um fluxo formal de análise e aprovação técnica obrigatória pela área de TI para demandas originadas por outras unidades organizacionais. Permanece a lacuna referente à ausência de norma interna que estabeleça a obrigatoriedade de crivo técnico pela área de TI em contratações de soluções de tecnologia da informação realizadas por todo o órgão.;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SEIJES</w:t>
      </w:r>
      <w:r w:rsidR="000E190E">
        <w:t xml:space="preserve"> – Secretaria de Estado Intergeracional de Juventude e Envelhecimento Saudável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SEINFRA</w:t>
      </w:r>
      <w:r w:rsidR="000E190E">
        <w:t xml:space="preserve"> – Secretaria de Estado de Infraestrutura e Obras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atestar a obrigatoriedade da análise prévia da área de gestão de TI em contratações de soluções tecnológicas. O documento juntado consiste apenas em despacho administrativo de aprovação pontual em um processo de contratação específico, não sendo suficiente para caracterizar a existência de um procedimento institucionalizado e mandatório. A avaliação realizada indica que, para o atendimento do critério, seria necessária a demonstração de norma ou diretriz interna que estabeleça esse fluxo de governança de forma universal. Observa-se a ausência de ato normativo, como decreto, portaria ou política interna, que regulamente tal obrigatoriedade independentemente da unidade demandante.;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SEPLAG</w:t>
      </w:r>
      <w:r w:rsidR="000E190E">
        <w:t xml:space="preserve"> – Secretaria de Estado de Planejamento e Gestão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evidência apresentada não demonstra a compatibilidade entre o conteúdo do catálogo e os Acordos de Níveis de Serviço (ANS) formalizados. Os relatórios de chamados comprovam apenas a execução operacional, sem atestar a atualização ou a conformidade documental do catálogo frente aos acordos. Faltam evidências que liguem o catálogo aos ANS estabelecidos com as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catálogo apresentado na página 1 exibe apenas as categorias de serviços, sem conter informações sobre metas, prazos, horários de suporte ou pontos de contato. A evidência é insuficiente pois apresenta apenas descrições funcionais genéricas dos serviços. É necessário apresentar documento ou registro que detalhe os parâmetros de níveis de serviço estabelecidos para cada item do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SEPM</w:t>
      </w:r>
      <w:r w:rsidR="000E190E">
        <w:t xml:space="preserve"> – Secretaria de Estado de Polícia Militar</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realizada indica que não foram apresentados elementos que comprovem a aprovação formal do referido plano. Embora conste a composição de um comitê de tecnologia na página 8, o documento carece de ato administrativo, despacho, ata ou assinatura da autoridade máxima que valide explicitamente o PEDTIC 2024-2027. A evidência é insuficiente por ausência de prova de validação superior.;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O normativo apresentado não estrutura uma unidade ou função independente voltada especificamente para a Segurança da Informação. As menções à segurança da informação aparecem apenas como competências operacionais acessórias atreladas aos cargos de desenvolvimento de sistemas e bancos de dados. A evidência é insuficiente pois não demonstra a existência de uma área, cargo ou função formalmente designada com exclusividade para a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realizada indica que a evidência é insuficiente. Não foram apresentadas as etapas, responsabilidades ou o fluxo do processo de planejamento de contratações de TI no âmbito do SEPM. O material genérico fornecido não detalha o rito interno de planejamento. É necessária a apresentação de fluxo ou manual de planejamento de TI específico do órgão.;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SEPOL</w:t>
      </w:r>
      <w:r w:rsidR="000E190E">
        <w:t xml:space="preserve"> – Secretaria de Estado de Polícia Civil</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SERGB</w:t>
      </w:r>
      <w:r w:rsidR="000E190E">
        <w:t xml:space="preserve"> – Secretaria Extraordinária de Representação do Governo do Estado do Rio de Janeiro em Brasília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Centralizada Externa: Os serviços de TI são prestados predominantemente por um órgão, entidade ou estrutura central externa à organização (ex: empresa pública de processamento de dados estadual ou municipal)."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SES</w:t>
      </w:r>
      <w:r w:rsidR="000E190E">
        <w:t xml:space="preserve"> – Secretaria de Estado de Saúde</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Embora a Seção 2 da norma (páginas 1 e 2) apresente objetivos específicos, não foram estabelecidos indicadores de desempenho nem metas quantitativas ou qualitativas para a gestão de TI. A evidência é insuficiente por não conter mecanismos de mensuração.;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norma institui o Comitê de Segurança da Informação e Privacidade (Seção 15.2, página 8), com escopo restrito à segurança, sem abranger a gestão de TI como um todo. Não há comprovação da existência de um comitê de TI com composição representativa de áreas relevantes. A lacuna é a ausência de ato constitutivo de comitê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O documento apresentado não contém elementos que comprovem sua aprovação formal pela alta administração, tais como assinatura do dirigente máximo, portaria ou ata de colegiado. A existência de referência a um processo administrativo não supre a necessidade de evidência da aprovação do conteúdo do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documento descreva diretrizes de governança, ele não apresenta ou vincula a proposta orçamentária ou o plano de contratações de TI. O plano é de natureza estratégica e carece de integração com os instrumentos operacionais financeiros e de aquisição.;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O documento prevê estrutura de monitoramento, incluindo indicadores e governança, porém não apresenta evidências de que esse monitoramento é efetivamente realizado. Faltam registros práticos da execução, tais como relatórios de monitoramento, atas de reunião ou histórico de ajustes.;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Equipe de Auditoria avalia como não conforme pela ausência de documentos de Acordos de Níveis de Serviço (ANS). Sem esses documentos, é impossível aferir a compatibilidade entre o catálogo e os acordos firmados. A evidência é insuficiente por não apresentar qualquer vínculo ou referência documental aos referidos acordos.;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Equipe de Auditoria avalia como não conforme, pois o catálogo disponibilizado não apresenta metas definidas para a maior parte dos serviços listados. A evidência é insuficiente visto que apenas um serviço possui prazo explícito, não havendo padronização para os demais itens ou menção a horários e pontos de contato. A lacuna consiste na falta de metas e informações de suporte formalizadas por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como não conforme, pois não foram apresentados relatórios, indicadores ou dashboards que demonstrem o monitoramento contínuo dos níveis de serviço. A evidência limita-se à interface de solicitação, não comprovando o acompanhamento de metas ou resultados. A lacuna consiste na inexistência de registros de monitoramento de performance.;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avaliação realizada indica que a evidência é insuficiente para comprovar a gestão e controle de dispositivos. O documento enviado restringe-se a exibir a interface de uma ferramenta de monitoramento de logs, sem fornecer dados de inventário de ativos. Não há elementos que permitam verificar a existência de controle de dispositivos na rede. Falta a apresentação de inventário de hardware ou relatório de ferramentas de gestão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avaliação realizada indica que a evidência é insuficiente para comprovar a gestão e controle de softwares. O documento apresentado demonstra apenas a coleta de logs de auditoria, não contendo listas de aplicações ou relatórios de gestão de software. A suficiência da evidência é nula para este item. Falta a apresentação de inventário de softwares ou política de controle de instalação.;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A norma interna estabelece a obrigatoriedade da classificação de gravidade e impacto, mas não apresenta as regras, matrizes ou critérios objetivos de priorização e escalonamento. A ausência de definição de fluxo de escalonamento e níveis de severidade torna a evidência insuficiente. Falta documentação procedimental que detalhe o rito operacional para priorização e escalonamento.;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Embora a norma defina a responsabilidade pela comunicação e ações emergenciais, faltam as diretrizes detalhadas de escalamento. Não há definição de níveis, gatilhos, prazos ou fluxos formais de escalamento exigidos para o tratamento de incidentes. A evidência é insuficiente por omitir procedimentos operacionais padronizados de escalonamento.;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existência de um processo de análise prévia e aprovação técnica obrigatória pela área de TI para todas as contratações. O item 6.1 da norma interna condiciona a participação da área de TI à sua aplicabilidade ('Sempre que aplicável'), não estabelecendo um requisito mandatório universal. Adicionalmente, as competências descritas no item 14.1 conferem à área de TI um papel de apoio ao planejamento e especificação, sem instituir um fluxo de aprovação técnica obrigatória. Conclui-se que a norma não impõe o controle centralizado de conformidade técnica exigido.;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SESP</w:t>
      </w:r>
      <w:r w:rsidR="000E190E">
        <w:t xml:space="preserve"> – Secretaria de Estado de Segurança Pública</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SETD</w:t>
      </w:r>
      <w:r w:rsidR="000E190E">
        <w:t xml:space="preserve"> – Secretaria de Estado de Transformação Digital</w:t>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avaliação realizada indica que não é possível constatar a acessibilidade de um catálogo de serviços, visto que tal instrumento não foi apresentado. A ausência de um catálogo de serviços estruturado inviabiliza a verificação da sua disponibilidade aos usuários. Inexiste evidência de portal, sistema ou documento de acesso amplo aos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que não há catálogo de serviços de TI com as metas operacionais exigidas, como prazos, horários de suporte ou pontos de contato. O documento limita-se a um cronograma de execução de ações de cooperação, sem definição de níveis de serviço voltados aos usuários. Falta a formalização de um catálogo que especifique as metas e condições de entrega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avaliação realizada indica que não há monitoramento contínuo de níveis de serviço (ANS) conforme exigido. As cláusulas do acordo referem-se ao acompanhamento administrativo das ações da parceria, sem contemplar indicadores de desempenho ou metas de disponibilidade de serviços de TI. Falta a comprovação de monitoramento sistemático voltado aos serviços prestados aos usuários.;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realizada indica não conformidade, uma vez que a norma apresentada foca majoritariamente na fase de gestão contratual. O PEDTIC aborda o planejamento estratégico, mas não detalha as etapas, responsabilidades ou artefatos específicos do rito de planejamento de contratações de TI. A evidência é insuficiente para sustentar a afirmação. A lacuna relevante é a ausência de um fluxo de planejamento de contratação detalhado com papéis e entregáveis por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apresentada é insuficiente para atender ao requisito solicitado. O 'Acordo de Cooperação Técnica 1/2024' (páginas 1 a 10) formaliza uma parceria operacional entre a Secretaria de Estado de Transformação Digital e o Centro de Tecnologia de Informação e Comunicação do Estado do Rio de Janeiro, não instituindo, contudo, norma ou regulamento que obrigue a análise prévia e a aprovação técnica da área de gestão de TI para todas as contratações de soluções de tecnologia. Constata-se a ausência de norma interna que estabeleça esse fluxo de governança, bem como a inexistência de caso concreto que demonstre a aplicação efetiva de tal controle.;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SETRAB</w:t>
      </w:r>
      <w:r w:rsidR="000E190E">
        <w:t xml:space="preserve"> – Secretaria de Estado de Trabalho e Renda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avaliação realizada conclui que o item não está conforme, dado que não há comprovação da existência de um comitê de tecnologia da informação na organização. Não foram apresentados atos constitutivos, regimentos internos ou registros de atividades que atestem o funcionamento de uma instância de governança com esta finalidade. A evidência é insuficiente pela completa ausência de documentos comprobatórios sobre a existência e a composição de tal comitê.;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O documento não apresenta evidência de ato formal de aprovação pelo dirigente máximo ou por colegiado da alta administração, como uma portaria, decreto ou despacho assinado. Embora nomes de autoridades estejam listados na capa, não há comprovação da validação institucional do plano. A evidência é insuficiente para atestar o atendimento ao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análise da estrutura organizacional não identifica a existência de unidade, cargo ou função formalmente atribuída à área de segurança da informação. Embora o organograma contemple a área de tecnologia da informação, inexiste menção expressa a setor ou atribuição específica para segurança da informação. A evidência é insuficiente para sustentar a afirmação do auditado. A lacuna consiste na ausência de previsão documental de função ou unidade de segurança da informação na estrutura apresentada.;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a não conformidade com o item. Os documentos fornecidos, como o 'Inventário de recursos de TIC' e o diagrama da 'Estrutura Física da Rede' (págs. 23-24), apresentam apenas listas e diagramas estáticos de hardware e sistemas. Não há demonstração de uma base de dados consolidada (CMDB) que registre o relacionamento, as dependências e o histórico de configurações dos itens de TI de forma dinâmica e atualizada.;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equipe de auditoria avalia que a evidência apresentada não é suficiente para comprovar o atendimento ao critério auditado. O documento denominado "REFERÊNCIA" (página 7) lista apenas dispositivos legais e normativos genéricos, sem apresentar norma interna específica da SETRAB que estabeleça a obrigatoriedade de análise e aprovação técnica prévia para contratações de soluções de TI. Adicionalmente, a evidência carece de demonstração prática, por meio de caso concreto ou registro de processo, que comprove a aplicação efetiva de fluxo de governança ou análise técnica pela área de TI. A ausência de norma interna e de evidência operacional impede a verificação da conformidade com o item avaliado.;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SETRANS</w:t>
      </w:r>
      <w:r w:rsidR="000E190E">
        <w:t xml:space="preserve"> – Secretaria de Estado de Transportes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avaliação realizada indica que o item não foi atendido. A evidência analisada, composta pelo organograma, não apresenta qualquer registro, menção ou estrutura referente a um comitê de tecnologia da informação. A suficiência da evidência é nula quanto ao requisito, uma vez que o documento limita-se à representação hierárquica da secretaria. Existe a lacuna de atos constitutivos, portarias de designação ou regimentos que comprovem a existência e o funcionamento de uma instância colegiada de governança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apresentada é insuficiente para comprovar a adoção das práticas de governança e controle no fluxo de contratação de soluções de TI. Embora o documento "PEDTIC 2024-2027" (páginas 1-40) demonstre planejamento estratégico e integração ao plano de contratações, o referido plano não institui norma interna ou regulamento que obrigue a submissão de todas as contratações à análise e aprovação técnica prévia pela área de gestão de TI. A ausência de uma norma específica e de registros de casos concretos que demonstrem a efetiva execução desse fluxo de aprovação técnica compromete a verificação da prática declarada.;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SETUR</w:t>
      </w:r>
      <w:r w:rsidR="000E190E">
        <w:t xml:space="preserve"> – Secretaria de Estado de Turismo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o cumprimento do item. Embora os documentos (ETP, TR e Mapa de Riscos) comprovem que a Assessoria de Tecnologia da Informação (ASSTI) planejou sua própria demanda, não foi apresentada norma ou procedimento formal que estabeleça a obrigatoriedade de análise e aprovação técnica prévia por parte da área de gestão de TI para todas as contratações da entidade, independentemente do demandante. A ausência de tal ato regulamentar e de evidências de um fluxo institucionalizado de governança de TI para demandas externas à ASSTI configura a lacuna no atendimento ao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SUDERJ</w:t>
      </w:r>
      <w:r w:rsidR="000E190E">
        <w:t xml:space="preserve"> – Superintendência de Desportos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TCE-RJ</w:t>
      </w:r>
      <w:r w:rsidR="000E190E">
        <w:t xml:space="preserve"> – Tribunal de Contas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TJRJ</w:t>
      </w:r>
      <w:r w:rsidR="000E190E">
        <w:t xml:space="preserve"> – Tribunal de Justiça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Não foram apresentadas evidências da formalização de Acordos de Nível de Serviço (ANS) bilateralmente pactuados com representantes das áreas de negócio. Embora exista uma tabela de tempos de atendimento, esta configura um padrão interno unilateral da área de tecnologia, sem registros de negociação, atas de reunião ou termos de acordo com os clientes internos. A evidência é insuficiente por omitir a comprovação da pactuação formal requerida pelo critério.;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TURISRIO</w:t>
      </w:r>
      <w:r w:rsidR="000E190E">
        <w:t xml:space="preserve"> – Companhia de Turismo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UENF</w:t>
      </w:r>
      <w:r w:rsidR="000E190E">
        <w:t xml:space="preserve"> – Universidade Estadual do Norte Fluminense Darcy Ribeiro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existência de fluxo de análise prévia e aprovação técnica da área de gestão de TI nas contratações de soluções de tecnologia. O documento enviado restringe-se a uma listagem de três números de processos administrativos, especificamente o SEI-260009/001124/2023, o SEI-260002/001381/2025 e o SEI-260009/006459/2022. A simples menção a processos não demonstra a observância de ritos de governança, nem a atuação efetiva da área de TI na validação técnica de tais contratações. Persiste a ausência de norma interna que regulamente o fluxo de análise e aprovação técnica, bem como de evidências documentais que comprovem a tramitação e a manifestação técnica da área de TI nos casos citados.;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UERJ</w:t>
      </w:r>
      <w:r w:rsidR="000E190E">
        <w:t xml:space="preserve"> – Universidade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o requisito não foi atendido. A evidência apresentada é de natureza patrimonial e não comprova a manutenção de uma base de dados consolidada que registre as configurações dos serviços de TI e os relacionamentos entre eles. A evidência é insuficiente por não apresentar evidências de um sistema de gestão de configurações (CMDB) ou equivalente que permita o rastreamento dos ativos de TI e suas interdependências. Falta comprovação de existência, atualização e uso de uma base de dados de configuração voltada especificamente para serviços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Equipe de Auditoria avalia que o processo não está devidamente mapeado. Conforme declarado pelo próprio auditado na página 3, inexiste instrumento formal que defina os fluxos de trabalho, impedindo a comprovação das etapas, responsabilidades e artefatos de planejamento. A evidência é insuficiente por omitir a descrição do processo de trabalho específico para TI. A lacuna consiste na ausência de definição formal do planejamento das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Equipe de Auditoria indica a não conformidade com o requisito. Embora a organização afirme que as contratações são submetidas à análise da área de TI, o respondente reconhece explicitamente, conforme consta no documento de justificativas (página 3), a inexistência de documento formal que determine esse fluxo. A evidência apresentada consiste apenas em declaração da área técnica, desprovida de ato normativo, regimento ou instrumento formal que assegure a obrigatoriedade e a padronização do procedimento. Portanto, resta a lacuna de um normativo interno que formalize a competência e a obrigatoriedade da análise técnica prévia pela área de TI em contratações de tecnologia.;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ANGRA DOS REIS</w:t>
      </w:r>
      <w:r w:rsidR="000E190E">
        <w:t xml:space="preserve"> – Prefeitura Municipal de Angra dos Reis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ARARUAMA</w:t>
      </w:r>
      <w:r w:rsidR="000E190E">
        <w:t xml:space="preserve"> – Prefeitura Municipal de Araruama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ARMAÇÃO DOS BÚZIOS</w:t>
      </w:r>
      <w:r w:rsidR="000E190E">
        <w:t xml:space="preserve"> – Prefeitura Municipal de Armação dos Búzios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ARRAIAL DO CABO</w:t>
      </w:r>
      <w:r w:rsidR="000E190E">
        <w:t xml:space="preserve"> – Prefeitura Municipal de Arraial do Cabo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BARRA DO PIRAÍ</w:t>
      </w:r>
      <w:r w:rsidR="000E190E">
        <w:t xml:space="preserve"> – Prefeitura Municipal de Barra do Piraí</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BELFORD ROXO</w:t>
      </w:r>
      <w:r w:rsidR="000E190E">
        <w:t xml:space="preserve"> – Prefeitura Municipal de Belford Roxo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Embora a tabela de cargos oficial indique a quantidade de pessoal alocada na estrutura, o elemento não constitui a definição documentada do dimensionamento técnico exigido. A evidência carece de comprovação do processo de definição que justifique o quantitativo como necessário para atender às demandas de tecnologia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estabelecidas regras para a priorização e escalonamento de incidentes. A documentação enviada limita-se a propostas administrativas que não detalham critérios de severidade, matrizes de prioridade ou fluxos de escalonamento. Carece de procedimentos operacionais e registros que comprovem a existência de tais regras de tratamento.;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O processo de gestão de incidentes não se encontra formalizado. Os documentos consistem em minutas anexas a um pedido de abertura de processo administrativo para publicação, o que não constitui uma norma interna instituída ou guia em vigor com definições de responsabilidades e orientações operacionais. Ausente ato administrativo ou documento normativo com validade e eficácia comprovadas.;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CABO FRIO</w:t>
      </w:r>
      <w:r w:rsidR="000E190E">
        <w:t xml:space="preserve"> – Prefeitura Municipal de Cabo Frio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CAMPOS DOS GOYTACAZES</w:t>
      </w:r>
      <w:r w:rsidR="000E190E">
        <w:t xml:space="preserve"> – Prefeitura Municipal de Campos dos Goytacazes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não há evidência de inventário dos dispositivos. Embora o documento mencione a existência de computadores corporativos, não foi apresentado registro, lista ou relatório de controle de ativos conectados à rede. Falta a comprovação formal do inventário de dispositivos.;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não há evidência de inventário ou gestão de softwares. O documento foca exclusivamente na estrutura do Active Directory, sem detalhar o controle sobre os softwares instalados nos dispositivos da rede. Falta a apresentação de inventário ou política de gestão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CASIMIRO DE ABREU</w:t>
      </w:r>
      <w:r w:rsidR="000E190E">
        <w:t xml:space="preserve"> – Prefeitura Municipal de Casimiro de Abreu</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DUQUE DE CAXIAS</w:t>
      </w:r>
      <w:r w:rsidR="000E190E">
        <w:t xml:space="preserve"> – Prefeitura Municipal de Duque de Caxias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Embora exista o PDTIC, o material não constitui uma norma ou guia que formalize o fluxo do processo de planejamento de TI, omitindo diretrizes sobre execução e papéis institucionais. A evidência é insuficiente, pois descreve o conteúdo do plano, mas não a estrutura normativa e de governança necessária. Faltam instrumentos internos que definam responsabilidades e procedimentos para a execução do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documento fornecido não apresenta vinculação com o planejamento orçamentário ou com o plano de contratações de TI. Não há menção a valores, estimativas de custos ou correlação com peças de planejamento anual. É necessária a apresentação de elementos que demonstrem como o plano orienta as decisões de investimento 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Não foram apresentados registros de acompanhamento da execução do plano, tais como atas de reunião, relatórios de monitoramento ou indicadores de desempenho. O documento submetido representa apenas uma estruturação inicial, sem evidências de um processo contínuo de gestão, monitoramento ou revisão de metas. Faltam elementos comprobatórios da governança sobre a execução das atividades.;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avaliação realizada indica que o item está não conforme. A análise da documentação apresentada não identificou cargo, função, norma ou ato de designação que mencione explicitamente atribuições relativas à segurança da informação. A evidência é insuficiente para comprovar a existência da estrutura requisitada. Torna-se necessária a apresentação de documento oficial que atribua formalmente tal responsabilidade.;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Apesar da previsão normativa no Decreto nº 8.835/2024 de que apenas dispositivos autorizados podem ser conectados à rede, a organização não apresentou inventário consolidado ou registro que demonstre o controle atual dos ativos conectados. O plano de ação confirma que a manutenção de inventários é uma tarefa a ser implementada, carecendo a auditoria de prova material de que o inventário esteja em operação.;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há comprovação da existência de uma base de dados de configuração (CMDB) ou registro consolidado de ativos. O documento apresentado é um formulário de controle de acesso de usuários e não contém dados de configuração ou relacionamentos entre itens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Não foi apresentada norma interna, política ou guia que formalize o processo de gestão de configuração e ativos. O documento fornecido é um formulário operacional, desprovido de orientações normativas ou definição de papéis e responsabilidades para a gestão da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apresentadas regras para priorização ou fluxo de escalonamento de incidentes. Embora a documentação apresente uma tabela de riscos com classificações, esta não se aplica à priorização operacional ou ao escalonamento hierárquico de incidentes de TI. A evidência é insuficiente por não conter os critérios necessários para o atendimento a este item.;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documentação limita-se a atribuir responsabilidades genéricas e a exigir a comunicação à TI, sem detalhar procedimentos técnicos para tratamento, ações emergenciais ou fluxos de comunicação e escalonamento. A evidência é insuficiente por omitir a descrição operacional de como as notificações de incidentes de segurança são tratadas e escalonadas.;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consiste unicamente no Plano de Contratações Anual (PCA) do exercício de 2026, o qual apenas relaciona objetos e estimativas de despesas. O documento é insuficiente para demonstrar o controle de governança afirmado, pois não apresenta normas, portarias, fluxogramas ou regimentos que estabeleçam a obrigatoriedade da análise técnica prévia pela gestão de tecnologia da informação. Adicionalmente, não foram fornecidos registros de casos concretos que comprovem a efetiva submissão de contratações dessa natureza à chancela técnica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GUAPIMIRIM</w:t>
      </w:r>
      <w:r w:rsidR="000E190E">
        <w:t xml:space="preserve"> – Prefeitura Municipal de Guapimirim</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evidência apresentada, Portaria nº 144, institui uma Comissão de Segurança da Informação e Proteção de Dados, cuja finalidade e escopo não abrangem a governança e gestão de tecnologia da informação. Não foi comprovada a existência de comitê de TI com atribuições transversais à organização. A ausência de comitê com escopo de governança de TI constitui a lacuna principal.;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Não foram apresentados registros, atas, relatórios ou outros documentos que demonstrem a execução de atividades pela comissão de segurança constituída. A evidência restringe-se ao ato normativo, não comprovando a atuação prática ou o exercício das funções previstas. A falta de elementos comprobatórios de execução é a lacuna observada.;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a adoção das práticas de governança e controle solicitadas no fluxo de contratação e gestão de soluções de TI. Foi disponibilizado apenas um memorando referente a uma análise técnica pontual realizada no âmbito da Secretaria Municipal de Saúde. Tal documento não comprova a existência de norma, regulamento ou ato institucional que estabeleça a obrigatoriedade de análise técnica prévia e aprovação da área de gestão de TI para todas as contratações de tecnologia da informação. Constata-se a ausência de normatização que institua o fluxo padronizado de governança de TI solicitado.;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ITAGUAÍ</w:t>
      </w:r>
      <w:r w:rsidR="000E190E">
        <w:t xml:space="preserve"> – Prefeitura Municipal de Itaguaí</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evidências no conteúdo do documento que demonstrem a existência ou a disponibilidade de um catálogo de serviços acessível aos usuários ou equipes de suporte. O arquivo refere-se exclusivamente ao planejamento estratégico (PDTIC), sem prover mecanismos ou portais de consulta operacional de serviços. A lacuna relevante é a inexistência de um catálogo de serviços implementado e disponibilizado para consulta.;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documento apresentado não contém definições de metas de níveis de serviço, como prazos de entrega, horários de suporte ou pontos de contato inerentes a um catálogo de serviços. O Inventário de Necessidades (págs. 21-30) refere-se apenas a projetos estratégicos de aquisição e implantação, não suprindo o requisito avaliado. A lacuna consiste na total ausência de definição de parâmetros de nível de serviço para os usuários.;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evidência apresentada indica que o controle afirmado não está adequadamente instituído. O documento PDTIC 2023-2024 funciona como um instrumento de planejamento estratégico, porém não estabelece norma ou regulamento interno que formalize a obrigatoriedade de análise técnica prévia pela área de TI (STI) em todos os processos de contratação de soluções de tecnologia. A evidência analisada é insuficiente por não demonstrar a existência de fluxo normativo, tampouco apresentar casos concretos de contratações que evidenciem a aplicação de tal rito de governança. Persiste a lacuna quanto à ausência de ato normativo municipal específico que regulamente esse processo e a falta de registros administrativos que comprovem a prática.;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JAPERI</w:t>
      </w:r>
      <w:r w:rsidR="000E190E">
        <w:t xml:space="preserve"> – Prefeitura Municipal de Japeri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avaliação realizada indica a não conformidade do item em questão. A evidência enviada consiste exclusivamente em um documento de glossário contendo definições conceituais genéricas, o qual não comprova a formalização institucional das competências da área de Tecnologia da Informação do auditado. O documento apresentado não possui natureza de ato normativo — como regimento interno, portaria ou decreto — necessário para estabelecer formalmente as atribuições e responsabilidades específicas da unidade de TI. Portanto, há ausência de evidência que demonstre a definição formal da área de TI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A avaliação realizada conclui que não foi apresentada a definição documentada do quantitativo necessário de pessoal. O memorando e os anexos enviados tratam de propostas de governança e inventário de ativos, não abordando o dimensionamento da força de trabalho da área de TI e Segurança da Informação. A evidência é insuficiente por não conter o elemento requisitado. A lacuna principal é a ausência de um documento que registre, de forma explícita e fundamentada, o quadro de pessoal necessário para as referidas áreas.;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MACAÉ</w:t>
      </w:r>
      <w:r w:rsidR="000E190E">
        <w:t xml:space="preserve"> – Prefeitura Municipal de Macaé</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Embora o CMSI tenha sido instituído pela Portaria n.º 0344/2026, não foram apresentadas evidências documentais de sua efetiva atuação. Estão ausentes atas de reunião, relatórios ou registros de deliberações que comprovem a execução das atividades previstas no ato constitutivo. A evidência é, portanto, insuficiente para demonstrar o funcionamento do colegiado.;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O item é considerado não conforme. A evidência enviada é insuficiente, uma vez que não restou comprovada a existência do catálogo de serviços de TI. A norma de reestruturação administrativa não fornece elementos que atestem a disponibilidade ou a facilidade de acesso do catálogo aos usuários e equipes de suporte. Ausente evidência que comprove a disponibilização do catálogo e a existência de canais de acesso.;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foi apresentada evidência da existência de uma base de dados consolidada (CMDB ou equivalente) que relacione serviços e ativos de TI. A Lei Complementar nº 346/2025 confere competências estruturais à Secretaria de Ciência, Tecnologia e Inovação, mas não constitui prova da manutenção ou atualização de uma base técnica de configuração. A evidência é insuficiente por não conter elementos verificáveis, tais como relatórios de sistema, esquemas de dados ou extratos de registros de configuração. A ausência de uma base de dados estruturada impede a comprovação do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O processo de gestão de configuração e ativos não está formalizado por meio de norma interna ou procedimento específico. Embora a Lei Complementar nº 346/2025 organize a estrutura administrativa municipal, ela não institui as orientações, fluxos ou responsabilidades necessárias para o referido processo. A própria lei prevê que regulamentações operacionais seriam expedidas por meio de atos posteriores, os quais não foram apresentados como evidência. Faltam normas ou guias que estabeleçam as diretrizes para a identificação, controle e auditoria de itens de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conformidade do item. Embora o Art. 10 do Decreto nº 014/2013 estabeleça a obrigatoriedade de consulta à Secretaria Municipal de Desenvolvimento Econômico e Tecnológico para aquisições de tecnologia da informação, o dispositivo não prevê explicitamente a submissão obrigatória à aprovação técnica da área de gestão de TI. A norma utiliza o termo "consulta", que difere de uma etapa mandatória de validação técnica prévia. Adicionalmente, inexiste a demonstração de casos concretos que comprovem a aplicação prática e o fluxo de aprovação técnica do regramento.;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MAGÉ</w:t>
      </w:r>
      <w:r w:rsidR="000E190E">
        <w:t xml:space="preserve"> – Prefeitura Municipal de Magé</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evidência apresentada no arquivo 00015_03_manifestacao-q0103-atribuicoes-e-competencias-formais-da-ti.pdf é insuficiente para comprovar a formalização das atribuições de governança e planejamento. A peça fornecida é uma manifestação da unidade técnica que carece de amparo em ato normativo oficial, como regimento interno, decreto ou portaria, para conferir validade institucional às responsabilidades descritas. A avaliação realizada indica que a ausência de suporte legal inviabiliza a verificação da vigência e da oficialidade das competências de governança e planejamento. Identifica-se a lacuna de um ato administrativo normativo que institua formalmente tais atribuições.;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Equipe de Auditoria avalia que o item não foi atendido, dado que a evidência apresentada é uma manifestação interna que não substitui a necessidade de prova documental formal. O documento admite que o cenário relatado depende de atos formais ainda não consolidados, não servindo como evidência da existência de funções atribuídas formalmente à TI e SI. Não foram juntados atos de designação, portarias, normativos internos ou descrições de atribuições que vinculem formalmente servidores ou cargos à área de tecnologia da informação. A lacuna reside na falta de ato administrativo formal que comprove a atribuição de funções específicas de SI na estrutura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MARICÁ</w:t>
      </w:r>
      <w:r w:rsidR="000E190E">
        <w:t xml:space="preserve"> – Prefeitura Municipal de Maricá</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Embora existam metas de nível de serviço definidas, a evidência é insuficiente para demonstrar a formalização e o acordo com as áreas de negócio. O catálogo apresenta apenas a aprovação interna da Coordenadoria Geral de Tecnologia da Informação. Não foram apresentados registros de pactuação, atas de reunião ou termos de compromisso que comprovem a validação das metas pelos representantes dos setores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MESQUITA</w:t>
      </w:r>
      <w:r w:rsidR="000E190E">
        <w:t xml:space="preserve"> – Prefeitura Municipal de Mesquita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a ausência de elementos que comprovem a participação das áreas demandantes no planejamento de TI. O documento limita-se a listar iniciativas, sem evidenciar o processo de construção ou colaboração com outras secretarias. A evidência é insuficiente pois não apresenta registros de interação, reuniões ou consultas formais com as áreas de negócio. A lacuna consiste na falta de atas ou registros que demonstrem tal participação.;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que, embora o normativo seja citado, o seu conteúdo não foi disponibilizado para análise. O documento apresentado faz menção ao decreto, porém, sem a cópia integral do ato, não é possível verificar se ele institui diretrizes, responsabilidades e fluxos de planejamento. A evidência é insuficiente para confirmar a formalização do processo. A lacuna principal é a ausência do texto do Decreto nº 3.653/2024.;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Equipe de Auditoria avalia que não foi comprovada a aprovação de um Plano de TI pela alta administração. O Decreto nº 3.653/2024, assinado pelo Prefeito, institui a Estratégia de Governo Digital, o que não equivale à aprovação de um plano de tecnologia da informação. A evidência é insuficiente pois o documento aprovado não atende aos requisitos de conteúdo de um plano de TI. Não há registro de aprovação de um PDTIC no pacote probatório.;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Equipe de Auditoria avalia que o alinhamento de iniciativas de TI com o planejamento institucional não pode ser verificado. Como não existe um plano de TI que apresente iniciativas, projetos ou ações, torna-se impossível avaliar a sua vinculação ao planejamento estratégico ou a instâncias superiores. A evidência é insuficiente em decorrência da inexistência do próprio plano de TI. Ausente a demonstração de alinhamento de iniciativas de tecnologia por inexistência de plano.;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Embora a organização apresente a estrutura das categorias de serviços, o documento não detalha metas específicas para cada item, como prazos de atendimento ou horários de suporte. A evidência é insuficiente para atestar o atendimento ao critério, uma vez que não foram apresentados Acordos de Nível de Serviço (ANS) ou parâmetros temporais vinculados aos serviços catalogados.;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o item não foi atendido. Embora a evidência comprove a existência de base de dados atualizada, não foram demonstrados os relacionamentos entre os ativos, como dependências entre serviços e infraestrutura. A análise aponta que as listas apresentadas são visões isoladas de componentes, sem vínculos explícitos entre CIs. A lacuna consiste na ausência de elementos que evidenciem o mapeamento de interdependência entre os itens de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há demonstração de critérios formais de priorização ou regras de escalonamento. Embora o portal de suporte apresente regras de negócio para atribuição de equipes, estas não detalham níveis de impacto, urgência ou fluxos hierárquicos de escalada. A evidência é insuficiente para verificar a conformidade com o item. Faltam registros documentais que definam critérios de prioridade e matrizes de escalonamento.;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NITERÓI</w:t>
      </w:r>
      <w:r w:rsidR="000E190E">
        <w:t xml:space="preserve"> – Prefeitura Municipal de Niterói</w:t>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avaliação realizada indica que não foram apresentados documentos ou registros que comprovem a formalização de Acordos de Níveis de Serviço (ANS) ou a compatibilidade destes com o catálogo de serviços. A evidência apresentada é meramente estrutural e não demonstra atualização, revisão ou alinhamento com acordos de nível de serviço com as áreas de negócio. A lacuna consiste na ausência de ANS formalizados e documentos que demonstrem a atualização e compatibilidade das informações do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que o catálogo apresentado não detalha as metas específicas para cada serviço. A evidência exibe apenas parâmetros genéricos de tempo de resposta em uma tela de configuração, sem vínculo direto com os serviços ofertados, horários de atendimento ou pontos de contato. A evidência é insuficiente, pois não detalha os elementos requeridos por serviço. A lacuna reside na ausência de metas, prazos, horários e contatos definidos e vinculados aos serviços no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NOVA FRIBURGO</w:t>
      </w:r>
      <w:r w:rsidR="000E190E">
        <w:t xml:space="preserve"> – Prefeitura Municipal de Nova Friburgo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NOVA IGUAÇU</w:t>
      </w:r>
      <w:r w:rsidR="000E190E">
        <w:t xml:space="preserve"> – Prefeitura Municipal de Nova Iguaçu</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PARATY</w:t>
      </w:r>
      <w:r w:rsidR="000E190E">
        <w:t xml:space="preserve"> – Prefeitura Municipal de Paraty</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PETRÓPOLIS</w:t>
      </w:r>
      <w:r w:rsidR="000E190E">
        <w:t xml:space="preserve"> – Prefeitura Municipal de Petrópolis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PORTO REAL</w:t>
      </w:r>
      <w:r w:rsidR="000E190E">
        <w:t xml:space="preserve"> – Prefeitura Municipal de Porto Real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QUATIS</w:t>
      </w:r>
      <w:r w:rsidR="000E190E">
        <w:t xml:space="preserve"> – Prefeitura Municipal de Quatis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evidência apresentada é insuficiente para comprovar a formalização das atribuições permanentes da área de tecnologia da informação. O Decreto nº 3.141/2022 limita-se a instituir uma comissão temporária e um plano de trabalho específico para a elaboração do Plano Diretor de Tecnologia da Informação e Comunicação (PDTIC), não configurando o ato normativo de estrutura permanente do órgão. A análise crítica indica que, embora o documento formalize atividades de planejamento da tecnologia, ele não estabelece as competências e responsabilidades permanentes da área de TI relativas à governança e gestão. Permanece a necessidade de apresentação de ato normativo, como regimento interno ou decreto de estrutura administrativa, que formalize as competências da área de TI de forma permanente.;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organização ainda não estabeleceu objetivos, indicadores e metas de gestão. O Decreto nº 3.141/2022 apresenta apenas um cronograma de atividades para a elaboração do plano diretor, sem definir métricas ou metas de desempenho para a gestão de TI. A evidência é insuficiente pela ausência dos indicadores e metas propriamente ditos.;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a não conformidade com o item. O documento enviado restringe-se a um convite à sociedade, sem demonstrar a participação efetiva das unidades administrativas demandantes de soluções de tecnologia. A evidência é insuficiente por não apresentar atas, listas de presença ou registros de consultas formais às áreas demandantes no planejamento. Ausente o registro de envolvimento dos setores internos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a não conformidade com o item. A evidência consiste em um aviso de evento, não possuindo o caráter de ato normativo, guia, decreto ou instrumento formal que institua o processo de planejamento. A evidência é insuficiente por não comprovar a formalização das etapas do processo e a definição de responsabilidades. Ausente qualquer norma interna que discipline a matéria.;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documentação encaminhada não apresenta ato normativo, organograma ou documento oficial que estabeleça a estrutura ou atribua competências específicas à área de tecnologia da informação. A avaliação realizada indica que a simples indicação de responsáveis técnicos pelo portal, vinculada à Controladoria Geral do Município, não supre a necessidade de formalização da estrutura de TI. A evidência é insuficiente por ausência de documento comprobatório da formalização da área ou de funções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da Equipe de Auditoria conclui pela inexistência de base de dados consolidada e atualizada com configurações dos serviços e ativos de TI. A captura de tela anexada exibe exclusivamente links para serviços externos ao cidadão, sem qualquer menção a repositórios de ativos ou relacionamentos técnicos. A evidência não supre o requisito, pois não demonstra a existência ou atualização de uma base de configuração. Falta a apresentação de uma base de dados de configuração (CMDB) ou documento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QUEIMADOS</w:t>
      </w:r>
      <w:r w:rsidR="000E190E">
        <w:t xml:space="preserve"> – Prefeitura Municipal de Queimados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o critério não é atendido, pois não há evidências do inventário de softwares aplicacionais instalados. O inventário apresentado limita-se a identificar o sistema operacional de cada dispositivo, sem listar ou gerenciar as aplicações ou licenças de software. Falta a comprovação de um processo de controle de software instalado.;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apresentadas normas, políticas ou manuais que definam regras de priorização e escalonamento de incidentes. O relatório enviado detalha apenas a execução pontual em um caso, sem estabelecer critérios de criticidade ou fluxos de subordinação técnica. A ausência de documento formal impossibilita a verificação de um processo institucionalizado.;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Não foram apresentados procedimentos ou normativos definindo responsabilidades, fluxos de notificação ou diretrizes de comunicação para incidentes de segurança. Embora a organização tenha atuado em um incidente específico, não há evidência de que tais ações sigam um rito institucional definido. Falta a formalização de papéis e canais de resposta a incidentes.;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QUISSAMÃ</w:t>
      </w:r>
      <w:r w:rsidR="000E190E">
        <w:t xml:space="preserve"> – Prefeitura Municipal de Quissamã</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prática de governança relacionada à submissão obrigatória de contratações de soluções de TI à análise técnica da área de gestão de TI não está plenamente comprovada. Embora o Termo de Referência e o Estudo Técnico Preliminar do processo nº 11348/2025 (páginas 52 e 72) demonstrem a atuação da Coordenadoria de Tecnologia da Informação na equipe técnica de avaliação e fiscalização do contrato em questão, o material refere-se exclusivamente a este caso concreto. Não foi apresentada norma regulamentadora, tal como decreto, portaria ou instrução normativa, que estabeleça tal obrigatoriedade de forma sistêmica e independente da área demandante para todas as contratações de TI. A lacuna consiste na inexistência de ato normativo municipal que institucionalize o fluxo de governança de TI exigido.;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RIO DAS OSTRAS</w:t>
      </w:r>
      <w:r w:rsidR="000E190E">
        <w:t xml:space="preserve"> – Prefeitura Municipal de Rio das Ostras</w:t>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estrutura organizacional instituída pela Lei Complementar nº 0097/2026 não contempla a criação formal de uma área, gerência ou departamento específico dedicado exclusivamente à segurança da informação. A alocação de profissionais em cargos de segurança à secretaria de tecnologia não substitui a necessidade de criação de uma unidade organizacional de segurança da informação estruturada legalmente. Falta a denominação ou criação expressa dessa unidade na estrutura do Poder Executivo.;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não há uma base de dados de configurações consolidada e atualizada que relacione serviços e ativos de TI. O uso de ferramentas de inventário e monitoramento de rede, conforme exibido nos dashboards do GLPI, LibreNMS e Cacti, não supre a necessidade de uma base estruturada que mapeie os relacionamentos entre os itens de configuração. A evidência é insuficiente por tratar-se apenas de registros operacionais e inventário físico, sem demonstrar a estrutura de configuração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avaliação da Equipe de Auditoria indica que o processo de gestão de incidentes não se encontra devidamente formalizado, visto que o documento apresentado é um dashboard operacional, não constituindo ato normativo ou guia de procedimentos. Não foi apresentada evidência de instituição de norma interna ou instrumento similar que descreva o processo e atribua responsabilidades aos envolvidos. A limitação reside na ausência total de documentação formal que sustente a gestão de incidentes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GONÇALO</w:t>
      </w:r>
      <w:r w:rsidR="000E190E">
        <w:t xml:space="preserve"> – Prefeitura Municipal de São Gonçalo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JOÃO DA BARRA</w:t>
      </w:r>
      <w:r w:rsidR="000E190E">
        <w:t xml:space="preserve"> – Prefeitura Municipal de São João da Barra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JOÃO DE MERITI</w:t>
      </w:r>
      <w:r w:rsidR="000E190E">
        <w:t xml:space="preserve"> – Prefeitura Municipal de São João de Meriti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há evidência de inventário e controle de dispositivos conectados à rede. O documento apresentado foca estritamente na avaliação de vulnerabilidades de aplicações web e domínios. É necessária a apresentação de documentação específica sobre o inventário de ativos e os controles de acesso à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foi demonstrada a manutenção de base de dados consolidada e atualizada com as configurações dos serviços e ativos e seus relacionamentos. O inventário apresentado restringe-se a bens móveis (monitores) de uma unidade específica, sem abrangência sobre serviços de TI, sistemas ou a infraestrutura de apoio. O memorando incluso na evidência apenas inicia um processo de coleta, evidenciando a inexistência de um repositório centralizado e atualizado de configuração. A documentação é insuficiente por não apresentar o mapeamento de dependências entre ativos 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planejamento de contratações de TI não está claramente definido na documentação fornecida. O fluxograma do Anexo I do Decreto nº 7.134/2024 apresenta etapas administrativas genéricas aplicáveis a qualquer aquisição, sem detalhar as responsabilidades dos atores de TI, critérios técnicos de aferição de viabilidade ou fases específicas do planejamento desta natureza. A evidência é insuficiente por tratar apenas de ritos processuais administrativos comuns. Falta a demonstração de etapas, responsabilidades e artefatos específicos para o planejamento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PEDRO DA ALDEIA</w:t>
      </w:r>
      <w:r w:rsidR="000E190E">
        <w:t xml:space="preserve"> – Prefeitura Municipal de São Pedro da Aldeia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O Decreto nº 057/2025 não estabelece objetivos, indicadores e metas mensuráveis para a gestão de tecnologia da informação. O documento possui caráter normativo focado em segurança da informação, sem contemplar o planejamento estratégico com KPIs ou metas quantificáveis. A evidência é insuficiente por omitir tais elementos essenciais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Não foram apresentadas evidências documentais que comprovem a efetiva atuação do Comitê Estratégico de Tecnologia da Informação. O ato constitutivo (Decreto nº 057/2025) foi apresentado, contudo, inexistem registros, atas de reuniões ou relatórios que atestem o funcionamento do fórum. A evidência é insuficiente para demonstrar a execução prática das atribuições previstas.;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foi apresentada evidência da existência de um catálogo de serviços de TI que pudesse ser disponibilizado aos usuários. Embora a Instrução Normativa tenha sido publicada no Informativo oficial, ela não veicula um catálogo de serviços acessível para consulta por usuários ou equipes de suporte. A análise da evidência restringe-se a normas técnicas, não comprovando o item solicitado. A lacuna identificada é a inexistência de catálogo de serviços disponível ou publicado para consulta.;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documento apresentado define prazos máximos para abertura e atendimento de chamados técnicos, mas não estabelece metas de nível de serviço para cada item de um catálogo. A evidência confunde fluxo de atendimento operacional com a definição de metas de serviço estruturadas. Não há demonstração de que os serviços possuem metas de entrega, horários de disponibilidade ou pontos de contato específicos catalogados conforme o item. A principal lacuna consiste na ausência de catálogo de serviços com metas e parâmetros de desempenho definidos por serviço ofertado.;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Instrução Normativa enviada estabelece diretrizes internas pela administração, sem configurar um Acordo de Nível de Serviço (ANS) bilateral. Não foram apresentados documentos, termos ou instrumentos formalizados que contenham metas acordadas com representantes das áreas de negócio clientes, como exige o item. A análise da evidência demonstra a ausência de pactuação formal do nível de serviço. A lacuna identificada é a ausência de ANS formalizados e assinados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não foram apresentadas evidências documentais que comprovem a execução do controle. O documento apresentado restringe-se a registros de backup, não contendo inventário ou controle de dispositivos. Lacuna: inexistência de inventário de hardware ou de dispositivos de controle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não foram apresentadas evidências documentais que comprovem a gestão de softwares. O relatório fornecido não lista softwares instalados nos dispositivos. Lacuna: inexistência de relação ou inventário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Não há evidência da definição interna do processo de planejamento das contratações de TI. O documento anexado consiste em orientação externa, sem demonstração de que o município formalizou etapas, responsabilidades e artefatos em seu próprio fluxo de trabalho. Constata-se a inexistência de procedimento interno que regulamente essa etapa de forma vinculante no âmbito local.;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adoção da prática de governança declarada pelo auditado. O documento enviado consiste em Notas Técnicas do Tribunal de Contas do Estado do Rio de Janeiro de caráter orientativo geral para os jurisdicionados, não constituindo norma interna da entidade. A Equipe de Auditoria conclui que não foi apresentada norma municipal que institua o fluxo obrigatório de análise técnica, nem caso concreto que demonstre a efetiva aplicação desse controle em contratações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SAQUAREMA</w:t>
      </w:r>
      <w:r w:rsidR="000E190E">
        <w:t xml:space="preserve"> – Prefeitura Municipal de Saquarema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avaliação indica a não conformidade com o requisito. A documentação apresentada (Contrato nº 200/2022, fls. 1-20) descreve apenas o vínculo administrativo para prestação de serviços, sem apresentar os Acordos de Nível de Serviço (ANS) nem os resultados do monitoramento contínuo desses níveis. A evidência é insuficiente por não conter registros, relatórios de desempenho ou painéis que comprovem o acompanhamento dos serviços pactuados. Persiste a lacuna relativa à ausência de evidência da execução do monitoramento de níveis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SEROPÉDICA</w:t>
      </w:r>
      <w:r w:rsidR="000E190E">
        <w:t xml:space="preserve"> – Prefeitura Municipal de Seropédica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TERESÓPOLIS</w:t>
      </w:r>
      <w:r w:rsidR="000E190E">
        <w:t xml:space="preserve"> – Prefeitura Municipal de Teresópolis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Não há evidências da participação das áreas demandantes no processo de planejamento de TI. Embora o inventário relacione ativos por setor, esse registro apenas comprova o levantamento físico de equipamentos, não indicando envolvimento das áreas no ciclo de planejamento ou na tomada de decisão sobre soluções de TI. Não foram apresentados documentos como atas de reuniões, registros de consulta ou formulários de levantamento de demandas que comprovem a colaboração dessas unidades. A lacuna consiste na inexistência de artefatos que formalizem a integração das áreas demandantes no processo decisório e de planejamento tecnológico.;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Equipe de Auditoria avalia que o requisito não foi atendido, uma vez que a documentação apresentada não se trata de um Plano de TI. A Instrução Normativa CGPD nº 001/2024 refere-se à política de proteção de dados, não havendo, portanto, ato de aprovação de planejamento de TI pela alta administração. A evidência é insuficiente por tratar de objeto distinto do requerido.;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Equipe de Auditoria avalia que não há demonstração de alinhamento estratégico, uma vez que o documento enviado trata de políticas de proteção de dados e não de iniciativas de TI. A evidência não apresenta projetos, ações ou o alinhamento com instrumentos de planejamento institucional ou diretrizes de governança superiores. A evidência é insuficiente pela ausência de um documento de planejamento de TI estruturado.;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A Equipe de Auditoria avalia que o item não está conforme, pois o documento apresentado não possui natureza de Plano de TI. Não há elementos que vinculem a Instrução Normativa CGPD nº 001/2024 à fundamentação da proposta orçamentária ou ao plano de contratações de TI. A evidência é insuficiente, sendo necessária a apresentação do instrumento de planejamento de TI que fundamenta as ações orçamentárias e contratuais da área.;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A Equipe de Auditoria avalia que o acompanhamento da execução do Plano de TI não foi demonstrado. A Instrução Normativa CGPD nº 001/2024 não estabelece mecanismos de monitoramento de projetos ou execução de um Plano de TI, tratando apenas de normas de procedimentos internos de dados pessoais. A evidência é insuficiente, persistindo a lacuna de comprovação de acompanhamento de um planejamento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indica que o item não foi atendido. O documento enviado restringe-se a um inventário de hardware distribuído por setores, sem apresentar organogramas, normas internas ou regimentos que definam as funções ou atribuições formais da área de tecnologia da informação. A mera identificação de setores com nomenclatura de TI no inventário não substitui a necessidade de instrumento formal de instituição de funções. A evidência carece de atos de designação ou regimentos estruturais.;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evidência apresentada não permite atestar a atualização do catálogo de serviços nem sua compatibilidade com Acordos de Nível de Serviço (ANS). O arquivo encaminhado trata-se exclusivamente de um levantamento de equipamentos de informática, sem menção a serviços prestados, metas ou níveis de suporte acordados. A ausência de um catálogo de serviços e de ANS firmados com as áreas de negócio impede a verificação da compatibilidade e da atualização requeridas. Constata-se a inexistência do catálogo de serviços e dos respectivos instrumentos de formalização de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o item não está conforme. O documento encaminhado disciplina apenas o acesso de usuários ao sistema 1Doc, não tratando da infraestrutura de rede ou dispositivos. A suficiência da evidência é nula quanto ao controle de hardware. Observa-se a ausência de inventário de ativos ou de ferramentas de gestão que permitam o controle dos dispositivos conectados à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o item não está conforme. A norma apresentada foca estritamente na governança de acessos de usuários ao sistema 1Doc. Não há, no documento, informações sobre a gestão de softwares ou aplicações nos dispositivos corporativos. Constata-se a lacuna de inventário de softwares instalados ou de mecanismos de controle de aplicações.;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evidência não comprova a existência de uma base de dados de configuração (CMDB) ou sistema de gestão de ativos de TI. O conceito de "catálogo de dados" mencionado no Art. 3º, inciso VIII, do Decreto nº 5.921/2023, refere-se estritamente ao inventário de conjuntos de dados abertos para fins de transparência pública, não abrangendo o controle de infraestrutura ou relacionamentos entre serviços e ativos de TI. Inexiste, nos autos, qualquer registro ou documentação que demonstre a manutenção e atualização de base de dados de ativos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localizadas regras ou procedimentos definidos para a priorização e o escalonamento de incidentes de tecnologia da informação ou de segurança da informação. O documento apresentado foca exclusivamente na proteção de dados pessoais e comunicação de violações ao Departamento de Governança e Dados, não contendo matrizes de severidade, critérios de urgência ou fluxos de escalonamento hierárquico. A evidência apresentada é insuficiente por não abordar os requisitos operacionais de priorização e escalonamento solicitados. A lacuna consiste na ausência de normas ou manuais procedimentais de TI que estabeleçam tais regras.;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trabalho relativo ao planejamento das contratações de TI não foi documentado. O documento apresentado foca em diretrizes estratégicas e não contém a descrição das etapas, responsabilidades dos atores ou artefatos necessários à fase de planejamento. A evidência é insuficiente por ausência de um fluxo de processo específico de planejamento de contratações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o Plano Setorial de Transformação Digital 2025/2026, possui caráter estratégico e orientador, não constituindo norma ou regulamento institucional de governança. O documento apresenta diretrizes de fortalecimento da governança de TIC, contudo, não estabelece a obrigatoriedade de submissão das contratações de soluções de tecnologia à análise prévia e aprovação técnica pela área responsável. Constata-se a inexistência de previsão normativa e de registros de casos concretos que comprovem a efetiva aplicação de ritos de controle em contratações. Portanto, a evidência é insuficiente por não apresentar regulamentação específica e comprovação prática da execução de controles sobre o fluxo de contratação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VOLTA REDONDA</w:t>
      </w:r>
      <w:r w:rsidR="000E190E">
        <w:t xml:space="preserve"> – Prefeitura Municipal de Volta Redonda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insuficientemente formalizada, definida ou posicionada para gerir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Centralizada Externa: Os serviços de TI são prestados predominantemente por um órgão, entidade ou estrutura central externa à organização (ex: empresa pública de processamento de dados estadual ou municipal)."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ao item 2102 que não caracteriza a existência de plano de TIC vigente, ainda que parcialmente adotado;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de pessoal de TIC e segurança da informação insuficientemente estruturada ou dimensionada</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2801 do Questionário, para verificar se são disponibilizados artefatos padronizados para a fase de planejamento das contratações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não está conforme. O documento apresentado, Ordem de Serviço nº 003/98, restringe-se à aquisição de equipamentos de informática, não abrangendo o escopo abrangente de soluções de tecnologia da informação. A avaliação realizada indica que o normativo é insuficiente para comprovar a existência de governança sobre a totalidade das contratações de TI, como softwares e serviços. Verifica-se a ausência de norma vigente ou fluxo processual atualizado que garanta a obrigatoriedade de análise técnica prévia para a diversidade de soluções tecnológicas demandadas pela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bookmarkStart w:id="0" w:name="_GoBack"/>
      <w:bookmarkEnd w:id="0"/>
    </w:p>
    <w:sectPr w:rsidR="00870179">
      <w:headerReference w:type="default" r:id="rId9"/>
      <w:pgSz w:w="11906" w:h="16838"/>
      <w:pgMar w:top="1418"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D13376" w14:textId="77777777" w:rsidR="00C249D7" w:rsidRDefault="00C249D7">
      <w:pPr>
        <w:spacing w:after="0" w:line="240" w:lineRule="auto"/>
      </w:pPr>
      <w:r>
        <w:separator/>
      </w:r>
    </w:p>
  </w:endnote>
  <w:endnote w:type="continuationSeparator" w:id="0">
    <w:p w14:paraId="0292E83D" w14:textId="77777777" w:rsidR="00C249D7" w:rsidRDefault="00C24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C340F" w14:textId="77777777" w:rsidR="00C249D7" w:rsidRDefault="00C249D7">
      <w:pPr>
        <w:spacing w:after="0" w:line="240" w:lineRule="auto"/>
      </w:pPr>
      <w:r>
        <w:separator/>
      </w:r>
    </w:p>
  </w:footnote>
  <w:footnote w:type="continuationSeparator" w:id="0">
    <w:p w14:paraId="05B72CB8" w14:textId="77777777" w:rsidR="00C249D7" w:rsidRDefault="00C24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26604"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r>
      <w:rPr>
        <w:rFonts w:eastAsia="Calibri"/>
        <w:noProof/>
        <w:color w:val="000000"/>
      </w:rPr>
      <w:drawing>
        <wp:inline distT="0" distB="0" distL="0" distR="0" wp14:anchorId="5F1F5CA3" wp14:editId="5131C14A">
          <wp:extent cx="714375" cy="361950"/>
          <wp:effectExtent l="0" t="0" r="0" b="0"/>
          <wp:docPr id="17798754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4375" cy="361950"/>
                  </a:xfrm>
                  <a:prstGeom prst="rect">
                    <a:avLst/>
                  </a:prstGeom>
                  <a:ln/>
                </pic:spPr>
              </pic:pic>
            </a:graphicData>
          </a:graphic>
        </wp:inline>
      </w:drawing>
    </w:r>
    <w:r>
      <w:rPr>
        <w:noProof/>
      </w:rPr>
      <mc:AlternateContent>
        <mc:Choice Requires="wps">
          <w:drawing>
            <wp:anchor distT="0" distB="0" distL="36195" distR="114300" simplePos="0" relativeHeight="251658240" behindDoc="0" locked="0" layoutInCell="1" hidden="0" allowOverlap="1" wp14:anchorId="7CD1192F" wp14:editId="7CC01017">
              <wp:simplePos x="0" y="0"/>
              <wp:positionH relativeFrom="column">
                <wp:posOffset>709295</wp:posOffset>
              </wp:positionH>
              <wp:positionV relativeFrom="paragraph">
                <wp:posOffset>0</wp:posOffset>
              </wp:positionV>
              <wp:extent cx="4943032" cy="558165"/>
              <wp:effectExtent l="0" t="0" r="0" b="0"/>
              <wp:wrapNone/>
              <wp:docPr id="1779875477" name="Retângulo 1779875477"/>
              <wp:cNvGraphicFramePr/>
              <a:graphic xmlns:a="http://schemas.openxmlformats.org/drawingml/2006/main">
                <a:graphicData uri="http://schemas.microsoft.com/office/word/2010/wordprocessingShape">
                  <wps:wsp>
                    <wps:cNvSpPr/>
                    <wps:spPr>
                      <a:xfrm>
                        <a:off x="2879247" y="3505680"/>
                        <a:ext cx="4933507" cy="54864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C1B188E" w14:textId="77777777" w:rsidR="00C249D7" w:rsidRDefault="00C249D7">
                          <w:pPr>
                            <w:spacing w:after="0" w:line="240" w:lineRule="auto"/>
                            <w:jc w:val="left"/>
                            <w:textDirection w:val="btLr"/>
                          </w:pPr>
                          <w:r>
                            <w:rPr>
                              <w:rFonts w:ascii="Arial" w:eastAsia="Arial" w:hAnsi="Arial" w:cs="Arial"/>
                              <w:b/>
                              <w:color w:val="000000"/>
                              <w:sz w:val="16"/>
                            </w:rPr>
                            <w:t>TRIBUNAL DE CONTAS DO ESTADO DO RIO DE JANEIRO</w:t>
                          </w:r>
                        </w:p>
                        <w:p w14:paraId="4689E81C" w14:textId="77777777" w:rsidR="00C249D7" w:rsidRDefault="00C249D7">
                          <w:pPr>
                            <w:spacing w:after="0" w:line="240" w:lineRule="auto"/>
                            <w:jc w:val="left"/>
                            <w:textDirection w:val="btLr"/>
                          </w:pPr>
                          <w:r>
                            <w:rPr>
                              <w:rFonts w:ascii="Arial" w:eastAsia="Arial" w:hAnsi="Arial" w:cs="Arial"/>
                              <w:color w:val="000000"/>
                              <w:sz w:val="16"/>
                            </w:rPr>
                            <w:t>SECRETARIA-GERAL DE CONTROLE EXTERNO – SGE</w:t>
                          </w:r>
                        </w:p>
                        <w:p w14:paraId="339A62EC" w14:textId="77777777" w:rsidR="00C249D7" w:rsidRDefault="00C249D7">
                          <w:pPr>
                            <w:spacing w:after="0" w:line="240" w:lineRule="auto"/>
                            <w:jc w:val="left"/>
                            <w:textDirection w:val="btLr"/>
                          </w:pPr>
                          <w:r>
                            <w:rPr>
                              <w:rFonts w:ascii="Arial" w:eastAsia="Arial" w:hAnsi="Arial" w:cs="Arial"/>
                              <w:color w:val="000000"/>
                              <w:sz w:val="16"/>
                            </w:rPr>
                            <w:t xml:space="preserve">SUBSECRETARIA DE CONTROLE DE POLÍTICAS DE CIDADANIA </w:t>
                          </w:r>
                        </w:p>
                        <w:p w14:paraId="44D1CF07" w14:textId="77777777" w:rsidR="00C249D7" w:rsidRDefault="00C249D7">
                          <w:pPr>
                            <w:spacing w:after="0" w:line="240" w:lineRule="auto"/>
                            <w:jc w:val="left"/>
                            <w:textDirection w:val="btLr"/>
                          </w:pPr>
                          <w:r>
                            <w:rPr>
                              <w:rFonts w:ascii="Arial" w:eastAsia="Arial" w:hAnsi="Arial" w:cs="Arial"/>
                              <w:color w:val="000000"/>
                              <w:sz w:val="16"/>
                            </w:rPr>
                            <w:t>COORDENADORIA DE AUDITORIA EM POLÍTICAS DE TECNOLOGIA DA INFORMAÇÃO</w:t>
                          </w:r>
                        </w:p>
                      </w:txbxContent>
                    </wps:txbx>
                    <wps:bodyPr spcFirstLastPara="1" wrap="square" lIns="46800" tIns="7200" rIns="91425" bIns="45700" anchor="t" anchorCtr="0">
                      <a:noAutofit/>
                    </wps:bodyPr>
                  </wps:wsp>
                </a:graphicData>
              </a:graphic>
            </wp:anchor>
          </w:drawing>
        </mc:Choice>
        <mc:Fallback>
          <w:pict>
            <v:rect w14:anchorId="7CD1192F" id="Retângulo 1779875477" o:spid="_x0000_s1026" style="position:absolute;left:0;text-align:left;margin-left:55.85pt;margin-top:0;width:389.2pt;height:43.95pt;z-index:251658240;visibility:visible;mso-wrap-style:square;mso-wrap-distance-left:2.85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" strokecolor="white">
              <v:stroke startarrowwidth="narrow" startarrowlength="short" endarrowwidth="narrow" endarrowlength="short"/>
              <v:textbox inset="1.3mm,.2mm,2.53958mm,1.2694mm">
                <w:txbxContent>
                  <w:p w14:paraId="4C1B188E" w14:textId="77777777" w:rsidR="00C249D7" w:rsidRDefault="00C249D7">
                    <w:pPr>
                      <w:spacing w:after="0" w:line="240" w:lineRule="auto"/>
                      <w:jc w:val="left"/>
                      <w:textDirection w:val="btLr"/>
                    </w:pPr>
                    <w:r>
                      <w:rPr>
                        <w:rFonts w:ascii="Arial" w:eastAsia="Arial" w:hAnsi="Arial" w:cs="Arial"/>
                        <w:b/>
                        <w:color w:val="000000"/>
                        <w:sz w:val="16"/>
                      </w:rPr>
                      <w:t>TRIBUNAL DE CONTAS DO ESTADO DO RIO DE JANEIRO</w:t>
                    </w:r>
                  </w:p>
                  <w:p w14:paraId="4689E81C" w14:textId="77777777" w:rsidR="00C249D7" w:rsidRDefault="00C249D7">
                    <w:pPr>
                      <w:spacing w:after="0" w:line="240" w:lineRule="auto"/>
                      <w:jc w:val="left"/>
                      <w:textDirection w:val="btLr"/>
                    </w:pPr>
                    <w:r>
                      <w:rPr>
                        <w:rFonts w:ascii="Arial" w:eastAsia="Arial" w:hAnsi="Arial" w:cs="Arial"/>
                        <w:color w:val="000000"/>
                        <w:sz w:val="16"/>
                      </w:rPr>
                      <w:t>SECRETARIA-GERAL DE CONTROLE EXTERNO – SGE</w:t>
                    </w:r>
                  </w:p>
                  <w:p w14:paraId="339A62EC" w14:textId="77777777" w:rsidR="00C249D7" w:rsidRDefault="00C249D7">
                    <w:pPr>
                      <w:spacing w:after="0" w:line="240" w:lineRule="auto"/>
                      <w:jc w:val="left"/>
                      <w:textDirection w:val="btLr"/>
                    </w:pPr>
                    <w:r>
                      <w:rPr>
                        <w:rFonts w:ascii="Arial" w:eastAsia="Arial" w:hAnsi="Arial" w:cs="Arial"/>
                        <w:color w:val="000000"/>
                        <w:sz w:val="16"/>
                      </w:rPr>
                      <w:t xml:space="preserve">SUBSECRETARIA DE CONTROLE DE POLÍTICAS DE CIDADANIA </w:t>
                    </w:r>
                  </w:p>
                  <w:p w14:paraId="44D1CF07" w14:textId="77777777" w:rsidR="00C249D7" w:rsidRDefault="00C249D7">
                    <w:pPr>
                      <w:spacing w:after="0" w:line="240" w:lineRule="auto"/>
                      <w:jc w:val="left"/>
                      <w:textDirection w:val="btLr"/>
                    </w:pPr>
                    <w:r>
                      <w:rPr>
                        <w:rFonts w:ascii="Arial" w:eastAsia="Arial" w:hAnsi="Arial" w:cs="Arial"/>
                        <w:color w:val="000000"/>
                        <w:sz w:val="16"/>
                      </w:rPr>
                      <w:t>COORDENADORIA DE AUDITORIA EM POLÍTICAS DE TECNOLOGIA DA INFORMAÇÃO</w:t>
                    </w:r>
                  </w:p>
                </w:txbxContent>
              </v:textbox>
            </v:rect>
          </w:pict>
        </mc:Fallback>
      </mc:AlternateContent>
    </w:r>
  </w:p>
  <w:p w14:paraId="655073CE"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p>
  <w:p w14:paraId="5A778332"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p>
  <w:p w14:paraId="35F0FB71"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r>
      <w:rPr>
        <w:noProof/>
      </w:rPr>
      <mc:AlternateContent>
        <mc:Choice Requires="wps">
          <w:drawing>
            <wp:anchor distT="4294967295" distB="4294967295" distL="114300" distR="114300" simplePos="0" relativeHeight="251659264" behindDoc="0" locked="0" layoutInCell="1" hidden="0" allowOverlap="1" wp14:anchorId="6F363179" wp14:editId="0D14D730">
              <wp:simplePos x="0" y="0"/>
              <wp:positionH relativeFrom="column">
                <wp:posOffset>1</wp:posOffset>
              </wp:positionH>
              <wp:positionV relativeFrom="paragraph">
                <wp:posOffset>55896</wp:posOffset>
              </wp:positionV>
              <wp:extent cx="0" cy="12700"/>
              <wp:effectExtent l="0" t="0" r="0" b="0"/>
              <wp:wrapNone/>
              <wp:docPr id="1779875476" name="Conector de Seta Reta 1779875476"/>
              <wp:cNvGraphicFramePr/>
              <a:graphic xmlns:a="http://schemas.openxmlformats.org/drawingml/2006/main">
                <a:graphicData uri="http://schemas.microsoft.com/office/word/2010/wordprocessingShape">
                  <wps:wsp>
                    <wps:cNvCnPr/>
                    <wps:spPr>
                      <a:xfrm>
                        <a:off x="2552000" y="3780000"/>
                        <a:ext cx="5588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55896</wp:posOffset>
              </wp:positionV>
              <wp:extent cx="0" cy="12700"/>
              <wp:effectExtent b="0" l="0" r="0" t="0"/>
              <wp:wrapNone/>
              <wp:docPr id="1779875476"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p w14:paraId="78EAF590"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90DEB"/>
    <w:multiLevelType w:val="hybridMultilevel"/>
    <w:tmpl w:val="51B2A234"/>
    <w:lvl w:ilvl="0" w:tplc="04160001">
      <w:start w:val="1"/>
      <w:numFmt w:val="bullet"/>
      <w:lvlText w:val=""/>
      <w:lvlJc w:val="left"/>
      <w:pPr>
        <w:ind w:left="1490" w:hanging="360"/>
      </w:pPr>
      <w:rPr>
        <w:rFonts w:ascii="Symbol" w:hAnsi="Symbol" w:hint="default"/>
      </w:rPr>
    </w:lvl>
    <w:lvl w:ilvl="1" w:tplc="04160003" w:tentative="1">
      <w:start w:val="1"/>
      <w:numFmt w:val="bullet"/>
      <w:lvlText w:val="o"/>
      <w:lvlJc w:val="left"/>
      <w:pPr>
        <w:ind w:left="2210" w:hanging="360"/>
      </w:pPr>
      <w:rPr>
        <w:rFonts w:ascii="Courier New" w:hAnsi="Courier New" w:cs="Courier New" w:hint="default"/>
      </w:rPr>
    </w:lvl>
    <w:lvl w:ilvl="2" w:tplc="04160005" w:tentative="1">
      <w:start w:val="1"/>
      <w:numFmt w:val="bullet"/>
      <w:lvlText w:val=""/>
      <w:lvlJc w:val="left"/>
      <w:pPr>
        <w:ind w:left="2930" w:hanging="360"/>
      </w:pPr>
      <w:rPr>
        <w:rFonts w:ascii="Wingdings" w:hAnsi="Wingdings" w:hint="default"/>
      </w:rPr>
    </w:lvl>
    <w:lvl w:ilvl="3" w:tplc="04160001" w:tentative="1">
      <w:start w:val="1"/>
      <w:numFmt w:val="bullet"/>
      <w:lvlText w:val=""/>
      <w:lvlJc w:val="left"/>
      <w:pPr>
        <w:ind w:left="3650" w:hanging="360"/>
      </w:pPr>
      <w:rPr>
        <w:rFonts w:ascii="Symbol" w:hAnsi="Symbol" w:hint="default"/>
      </w:rPr>
    </w:lvl>
    <w:lvl w:ilvl="4" w:tplc="04160003" w:tentative="1">
      <w:start w:val="1"/>
      <w:numFmt w:val="bullet"/>
      <w:lvlText w:val="o"/>
      <w:lvlJc w:val="left"/>
      <w:pPr>
        <w:ind w:left="4370" w:hanging="360"/>
      </w:pPr>
      <w:rPr>
        <w:rFonts w:ascii="Courier New" w:hAnsi="Courier New" w:cs="Courier New" w:hint="default"/>
      </w:rPr>
    </w:lvl>
    <w:lvl w:ilvl="5" w:tplc="04160005" w:tentative="1">
      <w:start w:val="1"/>
      <w:numFmt w:val="bullet"/>
      <w:lvlText w:val=""/>
      <w:lvlJc w:val="left"/>
      <w:pPr>
        <w:ind w:left="5090" w:hanging="360"/>
      </w:pPr>
      <w:rPr>
        <w:rFonts w:ascii="Wingdings" w:hAnsi="Wingdings" w:hint="default"/>
      </w:rPr>
    </w:lvl>
    <w:lvl w:ilvl="6" w:tplc="04160001" w:tentative="1">
      <w:start w:val="1"/>
      <w:numFmt w:val="bullet"/>
      <w:lvlText w:val=""/>
      <w:lvlJc w:val="left"/>
      <w:pPr>
        <w:ind w:left="5810" w:hanging="360"/>
      </w:pPr>
      <w:rPr>
        <w:rFonts w:ascii="Symbol" w:hAnsi="Symbol" w:hint="default"/>
      </w:rPr>
    </w:lvl>
    <w:lvl w:ilvl="7" w:tplc="04160003" w:tentative="1">
      <w:start w:val="1"/>
      <w:numFmt w:val="bullet"/>
      <w:lvlText w:val="o"/>
      <w:lvlJc w:val="left"/>
      <w:pPr>
        <w:ind w:left="6530" w:hanging="360"/>
      </w:pPr>
      <w:rPr>
        <w:rFonts w:ascii="Courier New" w:hAnsi="Courier New" w:cs="Courier New" w:hint="default"/>
      </w:rPr>
    </w:lvl>
    <w:lvl w:ilvl="8" w:tplc="04160005" w:tentative="1">
      <w:start w:val="1"/>
      <w:numFmt w:val="bullet"/>
      <w:lvlText w:val=""/>
      <w:lvlJc w:val="left"/>
      <w:pPr>
        <w:ind w:left="7250" w:hanging="360"/>
      </w:pPr>
      <w:rPr>
        <w:rFonts w:ascii="Wingdings" w:hAnsi="Wingdings" w:hint="default"/>
      </w:rPr>
    </w:lvl>
  </w:abstractNum>
  <w:abstractNum w:abstractNumId="1" w15:restartNumberingAfterBreak="0">
    <w:nsid w:val="11A75C37"/>
    <w:multiLevelType w:val="hybridMultilevel"/>
    <w:tmpl w:val="ED08DD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357840"/>
    <w:multiLevelType w:val="hybridMultilevel"/>
    <w:tmpl w:val="FA22B326"/>
    <w:lvl w:ilvl="0" w:tplc="6F72C19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2277A20"/>
    <w:multiLevelType w:val="hybridMultilevel"/>
    <w:tmpl w:val="D7D6CD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3163070"/>
    <w:multiLevelType w:val="multilevel"/>
    <w:tmpl w:val="F1A84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5214AF9"/>
    <w:multiLevelType w:val="hybridMultilevel"/>
    <w:tmpl w:val="E6528D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7F5C8C"/>
    <w:multiLevelType w:val="hybridMultilevel"/>
    <w:tmpl w:val="47F6286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6B04576"/>
    <w:multiLevelType w:val="hybridMultilevel"/>
    <w:tmpl w:val="EDDE2134"/>
    <w:lvl w:ilvl="0" w:tplc="0416000F">
      <w:start w:val="1"/>
      <w:numFmt w:val="decimal"/>
      <w:lvlText w:val="%1."/>
      <w:lvlJc w:val="left"/>
      <w:pPr>
        <w:ind w:left="1490" w:hanging="360"/>
      </w:pPr>
    </w:lvl>
    <w:lvl w:ilvl="1" w:tplc="04160019" w:tentative="1">
      <w:start w:val="1"/>
      <w:numFmt w:val="lowerLetter"/>
      <w:lvlText w:val="%2."/>
      <w:lvlJc w:val="left"/>
      <w:pPr>
        <w:ind w:left="2210" w:hanging="360"/>
      </w:pPr>
    </w:lvl>
    <w:lvl w:ilvl="2" w:tplc="0416001B" w:tentative="1">
      <w:start w:val="1"/>
      <w:numFmt w:val="lowerRoman"/>
      <w:lvlText w:val="%3."/>
      <w:lvlJc w:val="right"/>
      <w:pPr>
        <w:ind w:left="2930" w:hanging="180"/>
      </w:pPr>
    </w:lvl>
    <w:lvl w:ilvl="3" w:tplc="0416000F" w:tentative="1">
      <w:start w:val="1"/>
      <w:numFmt w:val="decimal"/>
      <w:lvlText w:val="%4."/>
      <w:lvlJc w:val="left"/>
      <w:pPr>
        <w:ind w:left="3650" w:hanging="360"/>
      </w:pPr>
    </w:lvl>
    <w:lvl w:ilvl="4" w:tplc="04160019" w:tentative="1">
      <w:start w:val="1"/>
      <w:numFmt w:val="lowerLetter"/>
      <w:lvlText w:val="%5."/>
      <w:lvlJc w:val="left"/>
      <w:pPr>
        <w:ind w:left="4370" w:hanging="360"/>
      </w:pPr>
    </w:lvl>
    <w:lvl w:ilvl="5" w:tplc="0416001B" w:tentative="1">
      <w:start w:val="1"/>
      <w:numFmt w:val="lowerRoman"/>
      <w:lvlText w:val="%6."/>
      <w:lvlJc w:val="right"/>
      <w:pPr>
        <w:ind w:left="5090" w:hanging="180"/>
      </w:pPr>
    </w:lvl>
    <w:lvl w:ilvl="6" w:tplc="0416000F" w:tentative="1">
      <w:start w:val="1"/>
      <w:numFmt w:val="decimal"/>
      <w:lvlText w:val="%7."/>
      <w:lvlJc w:val="left"/>
      <w:pPr>
        <w:ind w:left="5810" w:hanging="360"/>
      </w:pPr>
    </w:lvl>
    <w:lvl w:ilvl="7" w:tplc="04160019" w:tentative="1">
      <w:start w:val="1"/>
      <w:numFmt w:val="lowerLetter"/>
      <w:lvlText w:val="%8."/>
      <w:lvlJc w:val="left"/>
      <w:pPr>
        <w:ind w:left="6530" w:hanging="360"/>
      </w:pPr>
    </w:lvl>
    <w:lvl w:ilvl="8" w:tplc="0416001B" w:tentative="1">
      <w:start w:val="1"/>
      <w:numFmt w:val="lowerRoman"/>
      <w:lvlText w:val="%9."/>
      <w:lvlJc w:val="right"/>
      <w:pPr>
        <w:ind w:left="7250" w:hanging="180"/>
      </w:pPr>
    </w:lvl>
  </w:abstractNum>
  <w:abstractNum w:abstractNumId="8" w15:restartNumberingAfterBreak="0">
    <w:nsid w:val="7AB660CB"/>
    <w:multiLevelType w:val="multilevel"/>
    <w:tmpl w:val="31A61256"/>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8"/>
  </w:num>
  <w:num w:numId="3">
    <w:abstractNumId w:val="6"/>
  </w:num>
  <w:num w:numId="4">
    <w:abstractNumId w:val="5"/>
  </w:num>
  <w:num w:numId="5">
    <w:abstractNumId w:val="2"/>
  </w:num>
  <w:num w:numId="6">
    <w:abstractNumId w:val="7"/>
  </w:num>
  <w:num w:numId="7">
    <w:abstractNumId w:val="0"/>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BD0"/>
    <w:rsid w:val="000209F6"/>
    <w:rsid w:val="00024BF5"/>
    <w:rsid w:val="0003450D"/>
    <w:rsid w:val="00034B6B"/>
    <w:rsid w:val="000364A9"/>
    <w:rsid w:val="000434EB"/>
    <w:rsid w:val="0005101F"/>
    <w:rsid w:val="000558C6"/>
    <w:rsid w:val="00060AEE"/>
    <w:rsid w:val="00060C58"/>
    <w:rsid w:val="000638A6"/>
    <w:rsid w:val="00082BFE"/>
    <w:rsid w:val="00090BDD"/>
    <w:rsid w:val="0009484D"/>
    <w:rsid w:val="0009650A"/>
    <w:rsid w:val="000B381F"/>
    <w:rsid w:val="000E190E"/>
    <w:rsid w:val="000E4783"/>
    <w:rsid w:val="000E5438"/>
    <w:rsid w:val="000F473C"/>
    <w:rsid w:val="000F64AB"/>
    <w:rsid w:val="0010404A"/>
    <w:rsid w:val="001059B8"/>
    <w:rsid w:val="001073AF"/>
    <w:rsid w:val="001301B8"/>
    <w:rsid w:val="00130FB8"/>
    <w:rsid w:val="00132FAE"/>
    <w:rsid w:val="00136DAB"/>
    <w:rsid w:val="00137773"/>
    <w:rsid w:val="001422F2"/>
    <w:rsid w:val="0015343D"/>
    <w:rsid w:val="00167B40"/>
    <w:rsid w:val="00167D4D"/>
    <w:rsid w:val="001735DD"/>
    <w:rsid w:val="00180855"/>
    <w:rsid w:val="00193F30"/>
    <w:rsid w:val="001A158F"/>
    <w:rsid w:val="001A6DDA"/>
    <w:rsid w:val="001C0F65"/>
    <w:rsid w:val="001C3184"/>
    <w:rsid w:val="001C41AA"/>
    <w:rsid w:val="001D0CC2"/>
    <w:rsid w:val="001D2994"/>
    <w:rsid w:val="001D611A"/>
    <w:rsid w:val="001E6FC2"/>
    <w:rsid w:val="00217DC6"/>
    <w:rsid w:val="0023096A"/>
    <w:rsid w:val="0023166A"/>
    <w:rsid w:val="00231A52"/>
    <w:rsid w:val="00234C28"/>
    <w:rsid w:val="00243890"/>
    <w:rsid w:val="002446F4"/>
    <w:rsid w:val="00246698"/>
    <w:rsid w:val="00263D7F"/>
    <w:rsid w:val="002760BB"/>
    <w:rsid w:val="00276169"/>
    <w:rsid w:val="00284750"/>
    <w:rsid w:val="0029401F"/>
    <w:rsid w:val="002B620A"/>
    <w:rsid w:val="002D5856"/>
    <w:rsid w:val="002D5AE6"/>
    <w:rsid w:val="002E7570"/>
    <w:rsid w:val="002F3EA5"/>
    <w:rsid w:val="0030383C"/>
    <w:rsid w:val="00305D75"/>
    <w:rsid w:val="00316ABB"/>
    <w:rsid w:val="00317EF3"/>
    <w:rsid w:val="00332CB9"/>
    <w:rsid w:val="00334858"/>
    <w:rsid w:val="0034553F"/>
    <w:rsid w:val="00352BB5"/>
    <w:rsid w:val="003624F1"/>
    <w:rsid w:val="00384922"/>
    <w:rsid w:val="0038590B"/>
    <w:rsid w:val="00386AD7"/>
    <w:rsid w:val="00387CC1"/>
    <w:rsid w:val="003A64F9"/>
    <w:rsid w:val="003A71F4"/>
    <w:rsid w:val="003B0854"/>
    <w:rsid w:val="003B2925"/>
    <w:rsid w:val="003B4519"/>
    <w:rsid w:val="003B5FD8"/>
    <w:rsid w:val="003B7916"/>
    <w:rsid w:val="003C149E"/>
    <w:rsid w:val="003D0D69"/>
    <w:rsid w:val="003D170B"/>
    <w:rsid w:val="003D63AC"/>
    <w:rsid w:val="00403715"/>
    <w:rsid w:val="00405B9A"/>
    <w:rsid w:val="004114BE"/>
    <w:rsid w:val="00426D3A"/>
    <w:rsid w:val="00437540"/>
    <w:rsid w:val="00442056"/>
    <w:rsid w:val="0044266E"/>
    <w:rsid w:val="004446E4"/>
    <w:rsid w:val="00447902"/>
    <w:rsid w:val="00455AC6"/>
    <w:rsid w:val="00456FB3"/>
    <w:rsid w:val="00473F57"/>
    <w:rsid w:val="00476DEE"/>
    <w:rsid w:val="00481185"/>
    <w:rsid w:val="00484A1C"/>
    <w:rsid w:val="004C57BB"/>
    <w:rsid w:val="004D210F"/>
    <w:rsid w:val="004E343F"/>
    <w:rsid w:val="004E34EC"/>
    <w:rsid w:val="004E50F8"/>
    <w:rsid w:val="004F1491"/>
    <w:rsid w:val="004F2FA5"/>
    <w:rsid w:val="004F6449"/>
    <w:rsid w:val="004F711A"/>
    <w:rsid w:val="00515EF7"/>
    <w:rsid w:val="005379C5"/>
    <w:rsid w:val="00543362"/>
    <w:rsid w:val="005604EA"/>
    <w:rsid w:val="0056772F"/>
    <w:rsid w:val="00570CE5"/>
    <w:rsid w:val="005830A7"/>
    <w:rsid w:val="00590C77"/>
    <w:rsid w:val="00596489"/>
    <w:rsid w:val="005D6D16"/>
    <w:rsid w:val="005E180A"/>
    <w:rsid w:val="005F0B74"/>
    <w:rsid w:val="005F4419"/>
    <w:rsid w:val="005F5770"/>
    <w:rsid w:val="00611590"/>
    <w:rsid w:val="00621487"/>
    <w:rsid w:val="00623FEC"/>
    <w:rsid w:val="00625833"/>
    <w:rsid w:val="00640749"/>
    <w:rsid w:val="006412F6"/>
    <w:rsid w:val="00641937"/>
    <w:rsid w:val="006459B9"/>
    <w:rsid w:val="0064783F"/>
    <w:rsid w:val="0065275F"/>
    <w:rsid w:val="00652E7C"/>
    <w:rsid w:val="00667EE3"/>
    <w:rsid w:val="00670944"/>
    <w:rsid w:val="00682225"/>
    <w:rsid w:val="00686932"/>
    <w:rsid w:val="00690A5F"/>
    <w:rsid w:val="006A1A89"/>
    <w:rsid w:val="006B3F8E"/>
    <w:rsid w:val="006C1EDE"/>
    <w:rsid w:val="006C305B"/>
    <w:rsid w:val="006C708E"/>
    <w:rsid w:val="006D0D4A"/>
    <w:rsid w:val="006D32D8"/>
    <w:rsid w:val="006D744C"/>
    <w:rsid w:val="006E7A17"/>
    <w:rsid w:val="006F0715"/>
    <w:rsid w:val="007011AC"/>
    <w:rsid w:val="00701ACF"/>
    <w:rsid w:val="00703B94"/>
    <w:rsid w:val="00707BBE"/>
    <w:rsid w:val="00711B2A"/>
    <w:rsid w:val="00714427"/>
    <w:rsid w:val="007244B9"/>
    <w:rsid w:val="00734D45"/>
    <w:rsid w:val="00735066"/>
    <w:rsid w:val="00736BB2"/>
    <w:rsid w:val="00743599"/>
    <w:rsid w:val="007641E6"/>
    <w:rsid w:val="00764D2F"/>
    <w:rsid w:val="007877F9"/>
    <w:rsid w:val="00793FD5"/>
    <w:rsid w:val="00797A55"/>
    <w:rsid w:val="007E6A2F"/>
    <w:rsid w:val="007F3C2F"/>
    <w:rsid w:val="008000A3"/>
    <w:rsid w:val="008001C2"/>
    <w:rsid w:val="0080092C"/>
    <w:rsid w:val="00807637"/>
    <w:rsid w:val="00815571"/>
    <w:rsid w:val="00821A07"/>
    <w:rsid w:val="008300C4"/>
    <w:rsid w:val="0083425A"/>
    <w:rsid w:val="0084602B"/>
    <w:rsid w:val="00870179"/>
    <w:rsid w:val="0087689E"/>
    <w:rsid w:val="00877C3C"/>
    <w:rsid w:val="008A599A"/>
    <w:rsid w:val="008A6828"/>
    <w:rsid w:val="008B57FB"/>
    <w:rsid w:val="008C2121"/>
    <w:rsid w:val="008C5047"/>
    <w:rsid w:val="008D1313"/>
    <w:rsid w:val="008D1B74"/>
    <w:rsid w:val="008D2734"/>
    <w:rsid w:val="008D31E3"/>
    <w:rsid w:val="008E557B"/>
    <w:rsid w:val="008F2237"/>
    <w:rsid w:val="008F2C8A"/>
    <w:rsid w:val="008F7767"/>
    <w:rsid w:val="00902529"/>
    <w:rsid w:val="00913146"/>
    <w:rsid w:val="009167C2"/>
    <w:rsid w:val="009256E1"/>
    <w:rsid w:val="00941092"/>
    <w:rsid w:val="0094112F"/>
    <w:rsid w:val="009612CB"/>
    <w:rsid w:val="00964B26"/>
    <w:rsid w:val="009666EE"/>
    <w:rsid w:val="009722B2"/>
    <w:rsid w:val="00980BB9"/>
    <w:rsid w:val="009831D8"/>
    <w:rsid w:val="00991318"/>
    <w:rsid w:val="009919A7"/>
    <w:rsid w:val="009A3F2C"/>
    <w:rsid w:val="009C70F8"/>
    <w:rsid w:val="009D4A25"/>
    <w:rsid w:val="009E3007"/>
    <w:rsid w:val="009E365B"/>
    <w:rsid w:val="009E6CE6"/>
    <w:rsid w:val="009F42B8"/>
    <w:rsid w:val="009F4366"/>
    <w:rsid w:val="00A26282"/>
    <w:rsid w:val="00A33AA1"/>
    <w:rsid w:val="00A47078"/>
    <w:rsid w:val="00A62982"/>
    <w:rsid w:val="00A678F2"/>
    <w:rsid w:val="00A965B4"/>
    <w:rsid w:val="00AA2A90"/>
    <w:rsid w:val="00AA3DE6"/>
    <w:rsid w:val="00AF5BA8"/>
    <w:rsid w:val="00B01132"/>
    <w:rsid w:val="00B01B5A"/>
    <w:rsid w:val="00B21B7C"/>
    <w:rsid w:val="00B26684"/>
    <w:rsid w:val="00B46955"/>
    <w:rsid w:val="00B56300"/>
    <w:rsid w:val="00B6201D"/>
    <w:rsid w:val="00B776C8"/>
    <w:rsid w:val="00B81545"/>
    <w:rsid w:val="00B92323"/>
    <w:rsid w:val="00B94A4C"/>
    <w:rsid w:val="00BB43A5"/>
    <w:rsid w:val="00BC16D6"/>
    <w:rsid w:val="00BE07A4"/>
    <w:rsid w:val="00BF4441"/>
    <w:rsid w:val="00BF597D"/>
    <w:rsid w:val="00C0335F"/>
    <w:rsid w:val="00C04F3C"/>
    <w:rsid w:val="00C064AA"/>
    <w:rsid w:val="00C1156E"/>
    <w:rsid w:val="00C16C68"/>
    <w:rsid w:val="00C203B9"/>
    <w:rsid w:val="00C249D7"/>
    <w:rsid w:val="00C2713E"/>
    <w:rsid w:val="00C32A5C"/>
    <w:rsid w:val="00C4350B"/>
    <w:rsid w:val="00C455F9"/>
    <w:rsid w:val="00C608CD"/>
    <w:rsid w:val="00C807E6"/>
    <w:rsid w:val="00C96888"/>
    <w:rsid w:val="00C96B8A"/>
    <w:rsid w:val="00C97AC1"/>
    <w:rsid w:val="00CB05CB"/>
    <w:rsid w:val="00CB66FA"/>
    <w:rsid w:val="00CC0A86"/>
    <w:rsid w:val="00CC206E"/>
    <w:rsid w:val="00CC247E"/>
    <w:rsid w:val="00CC2C1D"/>
    <w:rsid w:val="00CD09BF"/>
    <w:rsid w:val="00CE5805"/>
    <w:rsid w:val="00CF4A45"/>
    <w:rsid w:val="00CF599B"/>
    <w:rsid w:val="00D01F21"/>
    <w:rsid w:val="00D10925"/>
    <w:rsid w:val="00D10DCD"/>
    <w:rsid w:val="00D14D70"/>
    <w:rsid w:val="00D23CAC"/>
    <w:rsid w:val="00D46C50"/>
    <w:rsid w:val="00D577CB"/>
    <w:rsid w:val="00D60960"/>
    <w:rsid w:val="00D63C27"/>
    <w:rsid w:val="00D80E99"/>
    <w:rsid w:val="00D81C84"/>
    <w:rsid w:val="00D82C47"/>
    <w:rsid w:val="00D86075"/>
    <w:rsid w:val="00DA10E2"/>
    <w:rsid w:val="00DA4576"/>
    <w:rsid w:val="00DC0688"/>
    <w:rsid w:val="00DC2745"/>
    <w:rsid w:val="00DC3B31"/>
    <w:rsid w:val="00DC49C6"/>
    <w:rsid w:val="00DC4A9F"/>
    <w:rsid w:val="00DC5DCC"/>
    <w:rsid w:val="00DD7BA0"/>
    <w:rsid w:val="00DE1BD0"/>
    <w:rsid w:val="00DE60E5"/>
    <w:rsid w:val="00DE6E99"/>
    <w:rsid w:val="00DF2BBD"/>
    <w:rsid w:val="00E07A61"/>
    <w:rsid w:val="00E10DD2"/>
    <w:rsid w:val="00E13F2A"/>
    <w:rsid w:val="00E13FFE"/>
    <w:rsid w:val="00E208DD"/>
    <w:rsid w:val="00E26638"/>
    <w:rsid w:val="00E3730E"/>
    <w:rsid w:val="00E439ED"/>
    <w:rsid w:val="00E46299"/>
    <w:rsid w:val="00E55117"/>
    <w:rsid w:val="00E55FAF"/>
    <w:rsid w:val="00E61C9C"/>
    <w:rsid w:val="00E6322B"/>
    <w:rsid w:val="00E65268"/>
    <w:rsid w:val="00E67682"/>
    <w:rsid w:val="00E92668"/>
    <w:rsid w:val="00E92C08"/>
    <w:rsid w:val="00E9434E"/>
    <w:rsid w:val="00ED0F62"/>
    <w:rsid w:val="00ED16BC"/>
    <w:rsid w:val="00ED23B9"/>
    <w:rsid w:val="00EE6952"/>
    <w:rsid w:val="00F0124B"/>
    <w:rsid w:val="00F0373A"/>
    <w:rsid w:val="00F148E7"/>
    <w:rsid w:val="00F24D43"/>
    <w:rsid w:val="00F30C44"/>
    <w:rsid w:val="00F42B3D"/>
    <w:rsid w:val="00F50F48"/>
    <w:rsid w:val="00F554D3"/>
    <w:rsid w:val="00F72010"/>
    <w:rsid w:val="00F8796F"/>
    <w:rsid w:val="00F94EBD"/>
    <w:rsid w:val="00FA363E"/>
    <w:rsid w:val="00FA600C"/>
    <w:rsid w:val="00FA6955"/>
    <w:rsid w:val="00FC06B9"/>
    <w:rsid w:val="00FC6EE2"/>
    <w:rsid w:val="00FD084A"/>
    <w:rsid w:val="00FD61FF"/>
    <w:rsid w:val="00FE0A63"/>
    <w:rsid w:val="00FF66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F22B"/>
  <w15:docId w15:val="{4E1AD4C4-980F-4686-92D3-8424AAA2137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pt-BR" w:eastAsia="pt-B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0179"/>
    <w:rPr>
      <w:rFonts w:eastAsiaTheme="minorEastAsia"/>
    </w:rPr>
  </w:style>
  <w:style w:type="paragraph" w:styleId="Ttulo1">
    <w:name w:val="heading 1"/>
    <w:basedOn w:val="Normal"/>
    <w:next w:val="Normal"/>
    <w:link w:val="Ttulo1Char"/>
    <w:autoRedefine/>
    <w:uiPriority w:val="9"/>
    <w:qFormat/>
    <w:rsid w:val="00E07A61"/>
    <w:pPr>
      <w:keepNext/>
      <w:keepLines/>
      <w:spacing w:after="240" w:line="360" w:lineRule="auto"/>
      <w:outlineLvl w:val="0"/>
    </w:pPr>
    <w:rPr>
      <w:rFonts w:ascii="Cambria" w:eastAsia="Arial" w:hAnsi="Cambria" w:cs="Arial"/>
      <w:b/>
      <w:color w:val="2F5496" w:themeColor="accent1" w:themeShade="BF"/>
      <w:sz w:val="32"/>
      <w:szCs w:val="24"/>
    </w:rPr>
  </w:style>
  <w:style w:type="paragraph" w:styleId="Ttulo2">
    <w:name w:val="heading 2"/>
    <w:basedOn w:val="Normal"/>
    <w:next w:val="Normal"/>
    <w:link w:val="Ttulo2Char"/>
    <w:autoRedefine/>
    <w:uiPriority w:val="9"/>
    <w:unhideWhenUsed/>
    <w:qFormat/>
    <w:rsid w:val="00E07A61"/>
    <w:pPr>
      <w:keepNext/>
      <w:keepLines/>
      <w:spacing w:before="120" w:after="120"/>
      <w:outlineLvl w:val="1"/>
    </w:pPr>
    <w:rPr>
      <w:rFonts w:ascii="Cambria" w:eastAsia="Arial" w:hAnsi="Cambria" w:cstheme="majorBidi"/>
      <w:b/>
      <w:color w:val="2F5496" w:themeColor="accent1" w:themeShade="BF"/>
      <w:sz w:val="28"/>
      <w:szCs w:val="26"/>
    </w:rPr>
  </w:style>
  <w:style w:type="paragraph" w:styleId="Ttulo3">
    <w:name w:val="heading 3"/>
    <w:basedOn w:val="Normal"/>
    <w:next w:val="Normal"/>
    <w:link w:val="Ttulo3Char"/>
    <w:uiPriority w:val="9"/>
    <w:unhideWhenUsed/>
    <w:qFormat/>
    <w:rsid w:val="00691918"/>
    <w:pPr>
      <w:keepNext/>
      <w:keepLines/>
      <w:spacing w:before="40" w:after="0" w:line="360" w:lineRule="auto"/>
      <w:outlineLvl w:val="2"/>
    </w:pPr>
    <w:rPr>
      <w:rFonts w:asciiTheme="majorHAnsi" w:eastAsiaTheme="majorEastAsia" w:hAnsiTheme="majorHAnsi" w:cstheme="majorBidi"/>
      <w:b/>
      <w:color w:val="2F5496" w:themeColor="accent1" w:themeShade="BF"/>
      <w:sz w:val="26"/>
      <w:szCs w:val="24"/>
    </w:rPr>
  </w:style>
  <w:style w:type="paragraph" w:styleId="Ttulo4">
    <w:name w:val="heading 4"/>
    <w:basedOn w:val="Normal"/>
    <w:next w:val="Normal"/>
    <w:link w:val="Ttulo4Char"/>
    <w:uiPriority w:val="9"/>
    <w:semiHidden/>
    <w:unhideWhenUsed/>
    <w:qFormat/>
    <w:rsid w:val="00B64DE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uiPriority w:val="34"/>
    <w:qFormat/>
    <w:rsid w:val="000A67B1"/>
    <w:pPr>
      <w:ind w:left="720"/>
      <w:contextualSpacing/>
    </w:pPr>
  </w:style>
  <w:style w:type="character" w:customStyle="1" w:styleId="Ttulo1Char">
    <w:name w:val="Título 1 Char"/>
    <w:basedOn w:val="Fontepargpadro"/>
    <w:link w:val="Ttulo1"/>
    <w:uiPriority w:val="9"/>
    <w:rsid w:val="00E07A61"/>
    <w:rPr>
      <w:rFonts w:ascii="Cambria" w:eastAsia="Arial" w:hAnsi="Cambria" w:cs="Arial"/>
      <w:b/>
      <w:color w:val="2F5496" w:themeColor="accent1" w:themeShade="BF"/>
      <w:sz w:val="32"/>
      <w:szCs w:val="24"/>
    </w:rPr>
  </w:style>
  <w:style w:type="paragraph" w:styleId="Cabealho">
    <w:name w:val="header"/>
    <w:basedOn w:val="Normal"/>
    <w:link w:val="CabealhoChar"/>
    <w:uiPriority w:val="99"/>
    <w:unhideWhenUsed/>
    <w:rsid w:val="00F270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70E7"/>
    <w:rPr>
      <w:rFonts w:eastAsiaTheme="minorEastAsia"/>
      <w:sz w:val="20"/>
      <w:szCs w:val="20"/>
    </w:rPr>
  </w:style>
  <w:style w:type="paragraph" w:styleId="Rodap">
    <w:name w:val="footer"/>
    <w:basedOn w:val="Normal"/>
    <w:link w:val="RodapChar"/>
    <w:uiPriority w:val="99"/>
    <w:unhideWhenUsed/>
    <w:rsid w:val="00F270E7"/>
    <w:pPr>
      <w:tabs>
        <w:tab w:val="center" w:pos="4252"/>
        <w:tab w:val="right" w:pos="8504"/>
      </w:tabs>
      <w:spacing w:after="0" w:line="240" w:lineRule="auto"/>
    </w:pPr>
  </w:style>
  <w:style w:type="character" w:customStyle="1" w:styleId="RodapChar">
    <w:name w:val="Rodapé Char"/>
    <w:basedOn w:val="Fontepargpadro"/>
    <w:link w:val="Rodap"/>
    <w:uiPriority w:val="99"/>
    <w:rsid w:val="00F270E7"/>
    <w:rPr>
      <w:rFonts w:eastAsiaTheme="minorEastAsia"/>
      <w:sz w:val="20"/>
      <w:szCs w:val="20"/>
    </w:rPr>
  </w:style>
  <w:style w:type="character" w:styleId="Nmerodepgina">
    <w:name w:val="page number"/>
    <w:basedOn w:val="Fontepargpadro"/>
    <w:semiHidden/>
    <w:unhideWhenUsed/>
    <w:rsid w:val="00F270E7"/>
  </w:style>
  <w:style w:type="character" w:customStyle="1" w:styleId="Ttulo2Char">
    <w:name w:val="Título 2 Char"/>
    <w:basedOn w:val="Fontepargpadro"/>
    <w:link w:val="Ttulo2"/>
    <w:uiPriority w:val="9"/>
    <w:rsid w:val="00E07A61"/>
    <w:rPr>
      <w:rFonts w:ascii="Cambria" w:eastAsia="Arial" w:hAnsi="Cambria" w:cstheme="majorBidi"/>
      <w:b/>
      <w:color w:val="2F5496" w:themeColor="accent1" w:themeShade="BF"/>
      <w:sz w:val="28"/>
      <w:szCs w:val="26"/>
    </w:rPr>
  </w:style>
  <w:style w:type="character" w:styleId="Hyperlink">
    <w:name w:val="Hyperlink"/>
    <w:basedOn w:val="Fontepargpadro"/>
    <w:uiPriority w:val="99"/>
    <w:unhideWhenUsed/>
    <w:rsid w:val="00A0459E"/>
    <w:rPr>
      <w:color w:val="0000FF"/>
      <w:u w:val="single"/>
    </w:rPr>
  </w:style>
  <w:style w:type="paragraph" w:styleId="Textodenotaderodap">
    <w:name w:val="footnote text"/>
    <w:aliases w:val="fn,ALTS FOOTNOTE,NotaRodape,Footnote Text Char1 Char,Nota de rodapé Char Char1,fn Char Char1,ALTS FOOTNOTE Char1 Char,Footnote Text Char Char1 Char,ALTS FOOTNOTE Char Char Char1,Texto de rodapé"/>
    <w:basedOn w:val="Normal"/>
    <w:link w:val="TextodenotaderodapChar"/>
    <w:uiPriority w:val="99"/>
    <w:unhideWhenUsed/>
    <w:qFormat/>
    <w:rsid w:val="0090033F"/>
    <w:pPr>
      <w:spacing w:after="0" w:line="240" w:lineRule="auto"/>
    </w:pPr>
  </w:style>
  <w:style w:type="character" w:customStyle="1" w:styleId="TextodenotaderodapChar">
    <w:name w:val="Texto de nota de rodapé Char"/>
    <w:aliases w:val="fn Char,ALTS FOOTNOTE Char,NotaRodape Char,Footnote Text Char1 Char Char,Nota de rodapé Char Char1 Char,fn Char Char1 Char,ALTS FOOTNOTE Char1 Char Char,Footnote Text Char Char1 Char Char,ALTS FOOTNOTE Char Char Char1 Char"/>
    <w:basedOn w:val="Fontepargpadro"/>
    <w:link w:val="Textodenotaderodap"/>
    <w:uiPriority w:val="99"/>
    <w:rsid w:val="0090033F"/>
    <w:rPr>
      <w:rFonts w:eastAsiaTheme="minorEastAsia"/>
      <w:sz w:val="20"/>
      <w:szCs w:val="20"/>
    </w:rPr>
  </w:style>
  <w:style w:type="character" w:styleId="Refdenotaderodap">
    <w:name w:val="footnote reference"/>
    <w:aliases w:val="Stinking Styles13,sobrescrito,Referência de rodapé,FC,_Footnote Reference,_Footnote text,_Footnote,_Footnote Text,_Footnote base Reference,fr"/>
    <w:basedOn w:val="Fontepargpadro"/>
    <w:uiPriority w:val="99"/>
    <w:unhideWhenUsed/>
    <w:rsid w:val="0090033F"/>
    <w:rPr>
      <w:vertAlign w:val="superscript"/>
    </w:rPr>
  </w:style>
  <w:style w:type="paragraph" w:styleId="Legenda">
    <w:name w:val="caption"/>
    <w:basedOn w:val="Normal"/>
    <w:next w:val="Normal"/>
    <w:autoRedefine/>
    <w:uiPriority w:val="35"/>
    <w:unhideWhenUsed/>
    <w:qFormat/>
    <w:rsid w:val="00D577CB"/>
    <w:pPr>
      <w:spacing w:line="240" w:lineRule="auto"/>
      <w:jc w:val="center"/>
    </w:pPr>
    <w:rPr>
      <w:rFonts w:eastAsia="Calibri" w:cs="Times New Roman"/>
      <w:b/>
      <w:iCs/>
      <w:color w:val="4472C4" w:themeColor="accent1"/>
      <w:sz w:val="18"/>
      <w:szCs w:val="18"/>
    </w:rPr>
  </w:style>
  <w:style w:type="table" w:styleId="Tabelacomgrade">
    <w:name w:val="Table Grid"/>
    <w:basedOn w:val="Tabelanormal"/>
    <w:uiPriority w:val="39"/>
    <w:rsid w:val="00022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6A056A"/>
    <w:pPr>
      <w:spacing w:after="0" w:line="240" w:lineRule="auto"/>
    </w:pPr>
    <w:rPr>
      <w:rFonts w:eastAsiaTheme="minorEastAsia"/>
    </w:rPr>
  </w:style>
  <w:style w:type="table" w:styleId="TabeladeGrade5Escura-nfase1">
    <w:name w:val="Grid Table 5 Dark Accent 1"/>
    <w:basedOn w:val="Tabelanormal"/>
    <w:uiPriority w:val="50"/>
    <w:rsid w:val="007116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Lista4-nfase1">
    <w:name w:val="List Table 4 Accent 1"/>
    <w:basedOn w:val="Tabelanormal"/>
    <w:uiPriority w:val="49"/>
    <w:rsid w:val="007116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3Char">
    <w:name w:val="Título 3 Char"/>
    <w:basedOn w:val="Fontepargpadro"/>
    <w:link w:val="Ttulo3"/>
    <w:uiPriority w:val="9"/>
    <w:rsid w:val="00691918"/>
    <w:rPr>
      <w:rFonts w:asciiTheme="majorHAnsi" w:eastAsiaTheme="majorEastAsia" w:hAnsiTheme="majorHAnsi" w:cstheme="majorBidi"/>
      <w:b/>
      <w:color w:val="2F5496" w:themeColor="accent1" w:themeShade="BF"/>
      <w:sz w:val="26"/>
      <w:szCs w:val="24"/>
    </w:rPr>
  </w:style>
  <w:style w:type="table" w:styleId="TabeladeGrade4-nfase1">
    <w:name w:val="Grid Table 4 Accent 1"/>
    <w:basedOn w:val="Tabelanormal"/>
    <w:uiPriority w:val="49"/>
    <w:rsid w:val="00F7747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Obsahtabulky">
    <w:name w:val="Obsah tabulky"/>
    <w:basedOn w:val="Normal"/>
    <w:rsid w:val="001D4864"/>
    <w:pPr>
      <w:widowControl w:val="0"/>
      <w:suppressLineNumbers/>
      <w:suppressAutoHyphens/>
      <w:spacing w:after="0" w:line="240" w:lineRule="auto"/>
      <w:jc w:val="left"/>
    </w:pPr>
    <w:rPr>
      <w:rFonts w:ascii="Liberation Serif" w:eastAsia="Droid Sans Fallback" w:hAnsi="Liberation Serif" w:cs="FreeSans"/>
      <w:color w:val="00000A"/>
      <w:sz w:val="24"/>
      <w:szCs w:val="24"/>
      <w:lang w:val="cs-CZ" w:eastAsia="zh-CN" w:bidi="hi-IN"/>
    </w:rPr>
  </w:style>
  <w:style w:type="paragraph" w:customStyle="1" w:styleId="Texto">
    <w:name w:val="Texto"/>
    <w:basedOn w:val="Normal"/>
    <w:rsid w:val="00AA38D6"/>
    <w:pPr>
      <w:spacing w:after="240" w:line="240" w:lineRule="auto"/>
      <w:ind w:firstLine="1134"/>
    </w:pPr>
    <w:rPr>
      <w:rFonts w:ascii="Arial" w:eastAsia="Times New Roman" w:hAnsi="Arial" w:cs="Times New Roman"/>
      <w:sz w:val="24"/>
    </w:rPr>
  </w:style>
  <w:style w:type="character" w:customStyle="1" w:styleId="Ttulo4Char">
    <w:name w:val="Título 4 Char"/>
    <w:basedOn w:val="Fontepargpadro"/>
    <w:link w:val="Ttulo4"/>
    <w:uiPriority w:val="9"/>
    <w:rsid w:val="00B64DE8"/>
    <w:rPr>
      <w:rFonts w:asciiTheme="majorHAnsi" w:eastAsiaTheme="majorEastAsia" w:hAnsiTheme="majorHAnsi" w:cstheme="majorBidi"/>
      <w:i/>
      <w:iCs/>
      <w:color w:val="2F5496" w:themeColor="accent1" w:themeShade="BF"/>
      <w:sz w:val="20"/>
      <w:szCs w:val="20"/>
    </w:rPr>
  </w:style>
  <w:style w:type="character" w:styleId="MenoPendente">
    <w:name w:val="Unresolved Mention"/>
    <w:basedOn w:val="Fontepargpadro"/>
    <w:uiPriority w:val="99"/>
    <w:semiHidden/>
    <w:unhideWhenUsed/>
    <w:rsid w:val="00B64DE8"/>
    <w:rPr>
      <w:color w:val="605E5C"/>
      <w:shd w:val="clear" w:color="auto" w:fill="E1DFDD"/>
    </w:rPr>
  </w:style>
  <w:style w:type="paragraph" w:styleId="Recuodecorpodetexto">
    <w:name w:val="Body Text Indent"/>
    <w:basedOn w:val="Normal"/>
    <w:link w:val="RecuodecorpodetextoChar"/>
    <w:uiPriority w:val="99"/>
    <w:unhideWhenUsed/>
    <w:rsid w:val="00B64DE8"/>
    <w:pPr>
      <w:spacing w:after="120" w:line="240" w:lineRule="auto"/>
      <w:ind w:left="283"/>
      <w:jc w:val="left"/>
    </w:pPr>
    <w:rPr>
      <w:rFonts w:ascii="Times New Roman" w:eastAsia="Times New Roman" w:hAnsi="Times New Roman" w:cs="Times New Roman"/>
    </w:rPr>
  </w:style>
  <w:style w:type="character" w:customStyle="1" w:styleId="RecuodecorpodetextoChar">
    <w:name w:val="Recuo de corpo de texto Char"/>
    <w:basedOn w:val="Fontepargpadro"/>
    <w:link w:val="Recuodecorpodetexto"/>
    <w:uiPriority w:val="99"/>
    <w:rsid w:val="00B64DE8"/>
    <w:rPr>
      <w:rFonts w:ascii="Times New Roman" w:eastAsia="Times New Roman" w:hAnsi="Times New Roman" w:cs="Times New Roman"/>
      <w:sz w:val="20"/>
      <w:szCs w:val="20"/>
      <w:lang w:eastAsia="pt-BR"/>
    </w:rPr>
  </w:style>
  <w:style w:type="character" w:customStyle="1" w:styleId="normaltextrun">
    <w:name w:val="normaltextrun"/>
    <w:basedOn w:val="Fontepargpadro"/>
    <w:rsid w:val="00B64DE8"/>
  </w:style>
  <w:style w:type="character" w:styleId="Refdecomentrio">
    <w:name w:val="annotation reference"/>
    <w:basedOn w:val="Fontepargpadro"/>
    <w:uiPriority w:val="99"/>
    <w:semiHidden/>
    <w:unhideWhenUsed/>
    <w:rsid w:val="00B64DE8"/>
    <w:rPr>
      <w:sz w:val="16"/>
      <w:szCs w:val="16"/>
    </w:rPr>
  </w:style>
  <w:style w:type="paragraph" w:styleId="Textodecomentrio">
    <w:name w:val="annotation text"/>
    <w:basedOn w:val="Normal"/>
    <w:link w:val="TextodecomentrioChar"/>
    <w:uiPriority w:val="99"/>
    <w:semiHidden/>
    <w:unhideWhenUsed/>
    <w:rsid w:val="00B64DE8"/>
    <w:pPr>
      <w:spacing w:line="240" w:lineRule="auto"/>
    </w:pPr>
  </w:style>
  <w:style w:type="character" w:customStyle="1" w:styleId="TextodecomentrioChar">
    <w:name w:val="Texto de comentário Char"/>
    <w:basedOn w:val="Fontepargpadro"/>
    <w:link w:val="Textodecomentrio"/>
    <w:uiPriority w:val="99"/>
    <w:semiHidden/>
    <w:rsid w:val="00B64DE8"/>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B64DE8"/>
    <w:rPr>
      <w:b/>
      <w:bCs/>
    </w:rPr>
  </w:style>
  <w:style w:type="character" w:customStyle="1" w:styleId="AssuntodocomentrioChar">
    <w:name w:val="Assunto do comentário Char"/>
    <w:basedOn w:val="TextodecomentrioChar"/>
    <w:link w:val="Assuntodocomentrio"/>
    <w:uiPriority w:val="99"/>
    <w:semiHidden/>
    <w:rsid w:val="00B64DE8"/>
    <w:rPr>
      <w:rFonts w:eastAsiaTheme="minorEastAsia"/>
      <w:b/>
      <w:bCs/>
      <w:sz w:val="20"/>
      <w:szCs w:val="20"/>
    </w:rPr>
  </w:style>
  <w:style w:type="paragraph" w:styleId="Textodebalo">
    <w:name w:val="Balloon Text"/>
    <w:basedOn w:val="Normal"/>
    <w:link w:val="TextodebaloChar"/>
    <w:uiPriority w:val="99"/>
    <w:semiHidden/>
    <w:unhideWhenUsed/>
    <w:rsid w:val="00A742B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742B5"/>
    <w:rPr>
      <w:rFonts w:ascii="Segoe UI" w:eastAsiaTheme="minorEastAsia" w:hAnsi="Segoe UI" w:cs="Segoe UI"/>
      <w:sz w:val="18"/>
      <w:szCs w:val="18"/>
    </w:rPr>
  </w:style>
  <w:style w:type="paragraph" w:styleId="Reviso">
    <w:name w:val="Revision"/>
    <w:hidden/>
    <w:uiPriority w:val="99"/>
    <w:semiHidden/>
    <w:rsid w:val="00890517"/>
    <w:pPr>
      <w:spacing w:after="0" w:line="240" w:lineRule="auto"/>
    </w:pPr>
    <w:rPr>
      <w:rFonts w:eastAsiaTheme="minorEastAsia"/>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paragraph" w:styleId="Pr-formataoHTML">
    <w:name w:val="HTML Preformatted"/>
    <w:basedOn w:val="Normal"/>
    <w:link w:val="Pr-formataoHTMLChar"/>
    <w:uiPriority w:val="99"/>
    <w:unhideWhenUsed/>
    <w:rsid w:val="00724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rPr>
  </w:style>
  <w:style w:type="character" w:customStyle="1" w:styleId="Pr-formataoHTMLChar">
    <w:name w:val="Pré-formatação HTML Char"/>
    <w:basedOn w:val="Fontepargpadro"/>
    <w:link w:val="Pr-formataoHTML"/>
    <w:uiPriority w:val="99"/>
    <w:rsid w:val="007244B9"/>
    <w:rPr>
      <w:rFonts w:ascii="Courier New" w:eastAsia="Times New Roman" w:hAnsi="Courier New" w:cs="Courier New"/>
    </w:rPr>
  </w:style>
  <w:style w:type="paragraph" w:styleId="NormalWeb">
    <w:name w:val="Normal (Web)"/>
    <w:basedOn w:val="Normal"/>
    <w:uiPriority w:val="99"/>
    <w:semiHidden/>
    <w:unhideWhenUsed/>
    <w:rsid w:val="001735DD"/>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extodenotadefim">
    <w:name w:val="endnote text"/>
    <w:basedOn w:val="Normal"/>
    <w:link w:val="TextodenotadefimChar"/>
    <w:uiPriority w:val="99"/>
    <w:semiHidden/>
    <w:unhideWhenUsed/>
    <w:rsid w:val="00C04F3C"/>
    <w:pPr>
      <w:spacing w:after="0" w:line="240" w:lineRule="auto"/>
    </w:pPr>
  </w:style>
  <w:style w:type="character" w:customStyle="1" w:styleId="TextodenotadefimChar">
    <w:name w:val="Texto de nota de fim Char"/>
    <w:basedOn w:val="Fontepargpadro"/>
    <w:link w:val="Textodenotadefim"/>
    <w:uiPriority w:val="99"/>
    <w:semiHidden/>
    <w:rsid w:val="00C04F3C"/>
    <w:rPr>
      <w:rFonts w:eastAsiaTheme="minorEastAsia"/>
    </w:rPr>
  </w:style>
  <w:style w:type="character" w:styleId="Refdenotadefim">
    <w:name w:val="endnote reference"/>
    <w:basedOn w:val="Fontepargpadro"/>
    <w:uiPriority w:val="99"/>
    <w:semiHidden/>
    <w:unhideWhenUsed/>
    <w:rsid w:val="00C04F3C"/>
    <w:rPr>
      <w:vertAlign w:val="superscript"/>
    </w:rPr>
  </w:style>
  <w:style w:type="character" w:styleId="HiperlinkVisitado">
    <w:name w:val="FollowedHyperlink"/>
    <w:basedOn w:val="Fontepargpadro"/>
    <w:uiPriority w:val="99"/>
    <w:semiHidden/>
    <w:unhideWhenUsed/>
    <w:rsid w:val="003B45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00406">
      <w:bodyDiv w:val="1"/>
      <w:marLeft w:val="0"/>
      <w:marRight w:val="0"/>
      <w:marTop w:val="0"/>
      <w:marBottom w:val="0"/>
      <w:divBdr>
        <w:top w:val="none" w:sz="0" w:space="0" w:color="auto"/>
        <w:left w:val="none" w:sz="0" w:space="0" w:color="auto"/>
        <w:bottom w:val="none" w:sz="0" w:space="0" w:color="auto"/>
        <w:right w:val="none" w:sz="0" w:space="0" w:color="auto"/>
      </w:divBdr>
    </w:div>
    <w:div w:id="110785863">
      <w:bodyDiv w:val="1"/>
      <w:marLeft w:val="0"/>
      <w:marRight w:val="0"/>
      <w:marTop w:val="0"/>
      <w:marBottom w:val="0"/>
      <w:divBdr>
        <w:top w:val="none" w:sz="0" w:space="0" w:color="auto"/>
        <w:left w:val="none" w:sz="0" w:space="0" w:color="auto"/>
        <w:bottom w:val="none" w:sz="0" w:space="0" w:color="auto"/>
        <w:right w:val="none" w:sz="0" w:space="0" w:color="auto"/>
      </w:divBdr>
    </w:div>
    <w:div w:id="167447579">
      <w:bodyDiv w:val="1"/>
      <w:marLeft w:val="0"/>
      <w:marRight w:val="0"/>
      <w:marTop w:val="0"/>
      <w:marBottom w:val="0"/>
      <w:divBdr>
        <w:top w:val="none" w:sz="0" w:space="0" w:color="auto"/>
        <w:left w:val="none" w:sz="0" w:space="0" w:color="auto"/>
        <w:bottom w:val="none" w:sz="0" w:space="0" w:color="auto"/>
        <w:right w:val="none" w:sz="0" w:space="0" w:color="auto"/>
      </w:divBdr>
    </w:div>
    <w:div w:id="569534108">
      <w:bodyDiv w:val="1"/>
      <w:marLeft w:val="0"/>
      <w:marRight w:val="0"/>
      <w:marTop w:val="0"/>
      <w:marBottom w:val="0"/>
      <w:divBdr>
        <w:top w:val="none" w:sz="0" w:space="0" w:color="auto"/>
        <w:left w:val="none" w:sz="0" w:space="0" w:color="auto"/>
        <w:bottom w:val="none" w:sz="0" w:space="0" w:color="auto"/>
        <w:right w:val="none" w:sz="0" w:space="0" w:color="auto"/>
      </w:divBdr>
    </w:div>
    <w:div w:id="595016536">
      <w:bodyDiv w:val="1"/>
      <w:marLeft w:val="0"/>
      <w:marRight w:val="0"/>
      <w:marTop w:val="0"/>
      <w:marBottom w:val="0"/>
      <w:divBdr>
        <w:top w:val="none" w:sz="0" w:space="0" w:color="auto"/>
        <w:left w:val="none" w:sz="0" w:space="0" w:color="auto"/>
        <w:bottom w:val="none" w:sz="0" w:space="0" w:color="auto"/>
        <w:right w:val="none" w:sz="0" w:space="0" w:color="auto"/>
      </w:divBdr>
    </w:div>
    <w:div w:id="607978468">
      <w:bodyDiv w:val="1"/>
      <w:marLeft w:val="0"/>
      <w:marRight w:val="0"/>
      <w:marTop w:val="0"/>
      <w:marBottom w:val="0"/>
      <w:divBdr>
        <w:top w:val="none" w:sz="0" w:space="0" w:color="auto"/>
        <w:left w:val="none" w:sz="0" w:space="0" w:color="auto"/>
        <w:bottom w:val="none" w:sz="0" w:space="0" w:color="auto"/>
        <w:right w:val="none" w:sz="0" w:space="0" w:color="auto"/>
      </w:divBdr>
    </w:div>
    <w:div w:id="692878503">
      <w:bodyDiv w:val="1"/>
      <w:marLeft w:val="0"/>
      <w:marRight w:val="0"/>
      <w:marTop w:val="0"/>
      <w:marBottom w:val="0"/>
      <w:divBdr>
        <w:top w:val="none" w:sz="0" w:space="0" w:color="auto"/>
        <w:left w:val="none" w:sz="0" w:space="0" w:color="auto"/>
        <w:bottom w:val="none" w:sz="0" w:space="0" w:color="auto"/>
        <w:right w:val="none" w:sz="0" w:space="0" w:color="auto"/>
      </w:divBdr>
    </w:div>
    <w:div w:id="774905032">
      <w:bodyDiv w:val="1"/>
      <w:marLeft w:val="0"/>
      <w:marRight w:val="0"/>
      <w:marTop w:val="0"/>
      <w:marBottom w:val="0"/>
      <w:divBdr>
        <w:top w:val="none" w:sz="0" w:space="0" w:color="auto"/>
        <w:left w:val="none" w:sz="0" w:space="0" w:color="auto"/>
        <w:bottom w:val="none" w:sz="0" w:space="0" w:color="auto"/>
        <w:right w:val="none" w:sz="0" w:space="0" w:color="auto"/>
      </w:divBdr>
    </w:div>
    <w:div w:id="952709764">
      <w:bodyDiv w:val="1"/>
      <w:marLeft w:val="0"/>
      <w:marRight w:val="0"/>
      <w:marTop w:val="0"/>
      <w:marBottom w:val="0"/>
      <w:divBdr>
        <w:top w:val="none" w:sz="0" w:space="0" w:color="auto"/>
        <w:left w:val="none" w:sz="0" w:space="0" w:color="auto"/>
        <w:bottom w:val="none" w:sz="0" w:space="0" w:color="auto"/>
        <w:right w:val="none" w:sz="0" w:space="0" w:color="auto"/>
      </w:divBdr>
      <w:divsChild>
        <w:div w:id="726105101">
          <w:marLeft w:val="0"/>
          <w:marRight w:val="0"/>
          <w:marTop w:val="0"/>
          <w:marBottom w:val="0"/>
          <w:divBdr>
            <w:top w:val="none" w:sz="0" w:space="0" w:color="auto"/>
            <w:left w:val="none" w:sz="0" w:space="0" w:color="auto"/>
            <w:bottom w:val="none" w:sz="0" w:space="0" w:color="auto"/>
            <w:right w:val="none" w:sz="0" w:space="0" w:color="auto"/>
          </w:divBdr>
        </w:div>
      </w:divsChild>
    </w:div>
    <w:div w:id="1114517595">
      <w:bodyDiv w:val="1"/>
      <w:marLeft w:val="0"/>
      <w:marRight w:val="0"/>
      <w:marTop w:val="0"/>
      <w:marBottom w:val="0"/>
      <w:divBdr>
        <w:top w:val="none" w:sz="0" w:space="0" w:color="auto"/>
        <w:left w:val="none" w:sz="0" w:space="0" w:color="auto"/>
        <w:bottom w:val="none" w:sz="0" w:space="0" w:color="auto"/>
        <w:right w:val="none" w:sz="0" w:space="0" w:color="auto"/>
      </w:divBdr>
      <w:divsChild>
        <w:div w:id="189603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644180">
      <w:bodyDiv w:val="1"/>
      <w:marLeft w:val="0"/>
      <w:marRight w:val="0"/>
      <w:marTop w:val="0"/>
      <w:marBottom w:val="0"/>
      <w:divBdr>
        <w:top w:val="none" w:sz="0" w:space="0" w:color="auto"/>
        <w:left w:val="none" w:sz="0" w:space="0" w:color="auto"/>
        <w:bottom w:val="none" w:sz="0" w:space="0" w:color="auto"/>
        <w:right w:val="none" w:sz="0" w:space="0" w:color="auto"/>
      </w:divBdr>
    </w:div>
    <w:div w:id="1485201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3372GrjeEGJz533Tv+e/6Ig8jg==">CgMxLjAyCGguZ2pkZ3hzMgloLjMwajB6bGwyCWguMWZvYjl0ZTgAciExQTBkYkNGdjBlOXNZVWRvWWFIZHUwR0FoelZWcl9lN1E=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599E0AB-1F88-42F0-8AA7-E0170E341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Pages>
  <Words>51</Words>
  <Characters>278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Cesar Benvenuto de Almeida</dc:creator>
  <cp:lastModifiedBy>Augusto Cesar Benvenuto de Almeida</cp:lastModifiedBy>
  <cp:revision>26</cp:revision>
  <dcterms:created xsi:type="dcterms:W3CDTF">2024-08-23T16:20:00Z</dcterms:created>
  <dcterms:modified xsi:type="dcterms:W3CDTF">2024-12-16T13:09:00Z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0x01010030FDF63F58483D4B86D5F957260AC658</vt:lpwstr>
  </property>
  <property fmtid="{D5CDD505-2E9C-101B-9397-08002B2CF9AE}" pid="3" name="MediaServiceImageTags">
    <vt:lpwstr>MediaServiceImageTags</vt:lpwstr>
  </property>
</Properties>
</file>