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r="http://schemas.openxmlformats.org/officeDocument/2006/relationships" xmlns:w="http://schemas.openxmlformats.org/wordprocessingml/2006/main" ns1:Ignorable="w14 w15 w16se w16cid w16 w16cex w16sdtdh w16sdtfl w16du wp14">
  <w:body>
    <w:p ns2:paraId="71BC7204" ns2:textId="77777777" w:rsidR="009B1A0E" w:rsidRDefault="009B1A0E" w:rsidP="001E6730">
      <w:pPr>
        <w:jc w:val="center"/>
        <w:rPr>
          <w:rFonts w:ascii="Arial" w:hAnsi="Arial" w:cs="Arial"/>
          <w:b/>
        </w:rPr>
      </w:pPr>
    </w:p>
    <w:p ns2:paraId="0D1BC449" ns2:textId="55C49607" w:rsidR="00AE7776" w:rsidRDefault="00AE7776" w:rsidP="001E6730">
      <w:pPr>
        <w:jc w:val="center"/>
        <w:rPr>
          <w:rFonts w:ascii="Arial" w:hAnsi="Arial" w:cs="Arial"/>
          <w:b/>
        </w:rPr>
      </w:pPr>
      <w:r>
        <w:rPr>
          <w:rFonts w:ascii="Arial" w:hAnsi="Arial" w:cs="Arial"/>
          <w:b/>
          <w:bCs/>
        </w:rPr>
        <w:t>MATRIZ DE PLANEJAMENTO</w:t>
      </w:r>
    </w:p>
    <w:p ns2:paraId="46357FAD" ns2:textId="77777777" w:rsidR="007B095C" w:rsidRDefault="007B095C" w:rsidP="001E6730">
      <w:pPr>
        <w:jc w:val="center"/>
        <w:rPr>
          <w:rFonts w:ascii="Arial" w:hAnsi="Arial" w:cs="Arial"/>
          <w:b/>
        </w:rPr>
      </w:pPr>
    </w:p>
    <w:p ns2:paraId="5D2618CF" ns2:textId="6C9D6D25" w:rsidR="007C4F8B" w:rsidRDefault="007C4F8B" w:rsidP="6D09F7BC">
      <w:pPr>
        <w:spacing w:after="200"/>
        <w:jc w:val="center"/>
        <w:rPr>
          <w:rFonts w:ascii="Arial" w:hAnsi="Arial" w:cs="Arial"/>
          <w:sz w:val="20"/>
          <w:szCs w:val="20"/>
        </w:rPr>
      </w:pPr>
      <w:r>
        <w:rPr>
          <w:rFonts w:ascii="Arial" w:hAnsi="Arial" w:cs="Arial"/>
          <w:b/>
          <w:sz w:val="20"/>
          <w:szCs w:val="20"/>
        </w:rPr>
        <w:t>QUESTÃO GERAL DE AUDITORIA: Qual é o grau de adoção das práticas de governança e gestão de TIC das organizações avaliadas, segundo o iGovTI 2026, e quais fragilidades relevantes estão presentes?</w:t>
      </w:r>
    </w:p>
    <w:p ns2:paraId="55F103F7" ns2:textId="7E03F271" w:rsidR="00224452" w:rsidRDefault="00224452">
      <w:pPr>
        <w:spacing w:after="160" w:line="259" w:lineRule="auto"/>
        <w:rPr>
          <w:rFonts w:ascii="Arial" w:hAnsi="Arial" w:cs="Arial"/>
        </w:rPr>
      </w:pPr>
    </w:p>
    <w:p ns2:paraId="5D2618CF" ns2:textId="6C9D6D25" w:rsidR="007C4F8B" w:rsidRDefault="007C4F8B" w:rsidP="6D09F7BC">
      <w:pPr>
        <w:spacing w:after="200"/>
        <w:jc w:val="center"/>
        <w:rPr>
          <w:rFonts w:ascii="Arial" w:hAnsi="Arial" w:cs="Arial"/>
          <w:sz w:val="20"/>
          <w:szCs w:val="20"/>
        </w:rPr>
      </w:pPr>
      <w:r>
        <w:rPr>
          <w:rFonts w:ascii="Arial" w:hAnsi="Arial" w:cs="Arial"/>
          <w:b/>
          <w:sz w:val="20"/>
          <w:szCs w:val="20"/>
        </w:rPr>
        <w:t>JURISDICIONADOS: 84 organizações estaduais (AGENERSA, AGERIO, AGETRANSP, ALERJ, CEASA, CECIERJ, CEDAE, CEHAB, CENTRAL, CEPERJ, CGE, CODERTE, CODIN, DEGASE, DERRJ, DETRAN, DETRO, DPGE, DRM, EMATER, EMOP, FAETEC, FAPERJ, FIA, FIPERJ, FLXIII, FMIS, FS, FSC, FTM, FUNARJ, GSI, IEEA, INEA, IOERJ, IPEM, IRM, ISP, ITERJ, IVB, JUCERJA, LOTERJ, MPERJ, PESAGRO, PGE, PROCON, PRODERJ, RIOPREVIDENCIA, RIOTRILHOS, RJPREV, SEAP, SEAPPA, SECC, SECEC, SECID, SECTI, SEDCON, SEDEC, SEDEICS, SEDSDH, SEEDUC, SEEL, SEENEMAR, SEFAZ, SEGOV, SEHAB, SEIJES, SEINFRA, SEPLAG, SEPM, SEPOL, SERGB, SES, SESP, SETD, SETRAB, SETRANS, SETUR, SUDERJ, TCE-RJ, TJRJ, TURISRIO, UENF e UERJ) e 35 prefeituras municipais (Angra dos Reis, Araruama, Armação dos Búzios, Arraial do Cabo, Barra do Piraí, Belford Roxo, Cabo Frio, Campos dos Goytacazes, Casimiro de Abreu, Duque de Caxias, Guapimirim, Itaguaí, Japeri, Macaé, Magé, Maricá, Mesquita, Niterói, Nova Friburgo, Nova Iguaçu, Paraty, Petrópolis, Porto Real, Quatis, Queimados, Quissamã, Rio das Ostras, São Gonçalo, São João da Barra, São João de Meriti, São Pedro da Aldeia, Saquarema, Seropédica, Teresópolis e Volta Redonda).</w:t>
      </w:r>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510AF5" w:rsidRPr="00636B72" ns2:paraId="57D6716F" ns2:textId="77777777" w:rsidTr="6D09F7BC">
        <w:trPr>
          <w:tblHeader/>
        </w:trPr>
        <w:tc>
          <w:tcPr>
            <w:tcW w:w="5000" w:type="pct"/>
            <w:gridSpan w:val="6"/>
          </w:tcPr>
          <w:p ns2:paraId="7D29FCBB" ns2:textId="4EC62946" w:rsidR="005D66B0" w:rsidRDefault="48870B08" w:rsidP="005D66B0">
            <w:pPr>
              <w:spacing w:after="120"/>
              <w:rPr>
                <w:rFonts w:ascii="Arial" w:hAnsi="Arial" w:cs="Arial"/>
                <w:sz w:val="20"/>
                <w:szCs w:val="20"/>
              </w:rPr>
            </w:pPr>
            <w:r>
              <w:rPr>
                <w:rFonts w:ascii="Arial" w:hAnsi="Arial" w:cs="Arial"/>
                <w:b/>
                <w:bCs/>
                <w:sz w:val="20"/>
                <w:szCs w:val="20"/>
              </w:rPr>
              <w:t>Q1: A organização possui área, unidade, setor ou função de TIC formalmente instituída, com atribuições definidas e posicionamento organizacional compatível com suas responsabilidades institucionais?</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organização possui área, unidade, setor ou função de TIC formalmente instituída?</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área de TIC possui atribuições formalmente definidas relacionadas à gestão da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área de TIC está posicionada em nível organizacional que favoreça sua interlocução com a alta administração e sua atuação estratégica?</w:t>
            </w:r>
          </w:p>
        </w:tc>
      </w:tr>
      <w:tr w:rsidR="00A20BFA" w:rsidRPr="00636B72" ns2:paraId="6C956695" ns2:textId="77777777" w:rsidTr="6D09F7BC">
        <w:trPr>
          <w:tblHeader/>
        </w:trPr>
        <w:tc>
          <w:tcPr>
            <w:tcW w:w="5000" w:type="pct"/>
            <w:gridSpan w:val="6"/>
            <w:shd w:val="clear" w:color="auto" w:fill="BDD6EE" w:themeFill="accent5" w:themeFillTint="66"/>
          </w:tcPr>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R1.1: Devido à ausência de formalização da área de TIC, poderá não haver unidade ou função institucionalmente reconhecida para coordenar o uso da tecnologia da informação, prejudicando a responsabilização e o alinhamento da TIC aos objetivos da organização.</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R1.2: Devido à ausência de atribuições formais da área de TIC, poderá não haver clareza sobre responsabilidades de planejamento, coordenação, gestão e controle da TIC, favorecendo atuação reativa e fragmentada.</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R1.3: Devido ao posicionamento organizacional inadequado da área de TIC, poderá haver baixa capacidade de influência institucional, comprometendo a participação da TIC em decisões estratégicas, orçamentárias, contratuais e de gestão de riscos.</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1A774B" w:rsidRPr="00636B72" ns2:paraId="4D48342C" ns2:textId="77777777" w:rsidTr="6D09F7BC">
        <w:trPr>
          <w:tblHeader/>
        </w:trPr>
        <w:tc>
          <w:tcPr>
            <w:tcW w:w="505" w:type="pct"/>
            <w:vAlign w:val="center"/>
          </w:tcPr>
          <w:p ns2:paraId="5C2D7232" ns2:textId="280A56F4"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FONTES DE INFORMAÇÃO</w:t>
            </w:r>
          </w:p>
        </w:tc>
        <w:tc>
          <w:tcPr>
            <w:tcW w:w="709" w:type="pct"/>
            <w:vAlign w:val="center"/>
          </w:tcPr>
          <w:p ns2:paraId="7208CA25" ns2:textId="5376F66C"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INFORMAÇÕES REQUERIDAS</w:t>
            </w:r>
          </w:p>
        </w:tc>
        <w:tc>
          <w:tcPr>
            <w:tcW w:w="810" w:type="pct"/>
            <w:vAlign w:val="center"/>
          </w:tcPr>
          <w:p ns2:paraId="563FD7FD" ns2:textId="77777777" w:rsidR="00282E61" w:rsidRPr="00636B72" w:rsidRDefault="7AB3FDF1" w:rsidP="6D09F7BC">
            <w:pPr>
              <w:spacing w:before="40" w:after="0"/>
              <w:jc w:val="center"/>
              <w:rPr>
                <w:rFonts w:ascii="Arial" w:hAnsi="Arial" w:cs="Arial"/>
                <w:b/>
                <w:bCs/>
                <w:sz w:val="16"/>
                <w:szCs w:val="16"/>
              </w:rPr>
            </w:pPr>
            <w:r>
              <w:rPr>
                <w:rFonts w:ascii="Arial" w:hAnsi="Arial" w:cs="Arial"/>
                <w:b/>
                <w:bCs/>
                <w:sz w:val="16"/>
                <w:szCs w:val="16"/>
              </w:rPr>
              <w:t>CRITÉRIOS</w:t>
            </w:r>
          </w:p>
        </w:tc>
        <w:tc>
          <w:tcPr>
            <w:tcW w:w="1013" w:type="pct"/>
            <w:vAlign w:val="center"/>
          </w:tcPr>
          <w:p ns2:paraId="6A4DEA23" ns2:textId="77777777" w:rsidR="00282E61" w:rsidRPr="00636B72" w:rsidRDefault="00282E61" w:rsidP="000A6618">
            <w:pPr>
              <w:spacing w:before="40" w:after="0"/>
              <w:jc w:val="center"/>
              <w:rPr>
                <w:rFonts w:ascii="Arial" w:hAnsi="Arial" w:cs="Arial"/>
                <w:b/>
                <w:bCs/>
                <w:strike/>
                <w:sz w:val="16"/>
                <w:szCs w:val="16"/>
              </w:rPr>
            </w:pPr>
            <w:r>
              <w:rPr>
                <w:rFonts w:ascii="Arial" w:hAnsi="Arial" w:cs="Arial"/>
                <w:b/>
                <w:bCs/>
                <w:sz w:val="16"/>
                <w:szCs w:val="16"/>
              </w:rPr>
              <w:t>PROCEDIMENTO DE AUDITORIA</w:t>
            </w:r>
          </w:p>
        </w:tc>
        <w:tc>
          <w:tcPr>
            <w:tcW w:w="912" w:type="pct"/>
            <w:vAlign w:val="center"/>
          </w:tcPr>
          <w:p ns2:paraId="4A1C29C4"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EVIDÊNCIAS</w:t>
            </w:r>
          </w:p>
        </w:tc>
        <w:tc>
          <w:tcPr>
            <w:tcW w:w="1051" w:type="pct"/>
            <w:vAlign w:val="center"/>
          </w:tcPr>
          <w:p ns2:paraId="357B1101"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ACHADOS</w:t>
            </w:r>
          </w:p>
        </w:tc>
      </w:tr>
      <w:tr w:rsidR="00EF385F" w:rsidRPr="00636B72" ns2:paraId="70A91EBB" ns2:textId="77777777" w:rsidTr="6D09F7BC">
        <w:tc>
          <w:tcPr>
            <w:tcW w:w="505" w:type="pct"/>
            <w:vAlign w:val="center"/>
          </w:tcPr>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F1: Respostas ao questionário eletrônico iGovTI.</w:t>
            </w:r>
          </w:p>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F2: Evidências anexadas ao questionário eletrônico.</w:t>
            </w:r>
          </w:p>
        </w:tc>
        <w:tc>
          <w:tcPr>
            <w:tcW w:w="709" w:type="pct"/>
            <w:vAlign w:val="center"/>
          </w:tcPr>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IR1: Resposta sobre a existência formal de área, unidade, setor ou função de TIC; [F1, q0101]</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IR3: Resposta sobre atribuições e competências formalizadas da área de TIC; [F1, q0103]</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IR4: Evidência anexada que demonstre atribuições formalmente definidas relacionadas à gestão da TIC; [F2, q0103evi]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IR5: Resposta sobre posicionamento hierárquico da área de TIC na estrutura organizacional; [F1, q0102]</w:t>
            </w:r>
          </w:p>
        </w:tc>
        <w:tc>
          <w:tcPr>
            <w:tcW w:w="810" w:type="pct"/>
            <w:vAlign w:val="center"/>
          </w:tcPr>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 COBIT 2019, APO01.04 - Definir e implementar as estruturas organizacionais: estabelecer estruturas organizacionais internas e externas necessárias para apoiar os objetivos de governança e gestão de TI.</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C2: COBIT 2019, APO01.05 - Estabelecer papéis e responsabilidades: definir, comunicar e manter papéis e responsabilidades relacionados à governança e gestão de TI.</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C3: COBIT 2019, APO01.06 - Aprimorar o posicionamento da função de TI: posicionar a função de tecnologia de modo compatível com sua relevância estratégica, responsabilidades e necessidade de interação com a alta administração.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C6: Portaria SGD/ME nº 778/2019, art. 4º, § 1º - Referência de posicionamento organizacional: para a obtenção de melhores resultados, a área de TIC de cada órgão ou entidade deve, preferencialmente, estar vinculada à alta administração, com o intuito de apoiá-la na tomada de decisões e no alcance dos objetivos estratégicos.</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C7: Constituição Federal, art. 37, caput - Princípio da eficiência.</w:t>
            </w:r>
          </w:p>
        </w:tc>
        <w:tc>
          <w:tcPr>
            <w:tcW w:w="1013" w:type="pct"/>
            <w:vAlign w:val="center"/>
          </w:tcPr>
          <w:p ns2:paraId="4C6E5B2E" ns2:textId="42100C78" w:rsidR="00163D04" w:rsidRDefault="00873041" w:rsidP="00EC7681">
            <w:pPr>
              <w:pStyle w:val="Default"/>
              <w:jc w:val="both"/>
              <w:rPr>
                <w:b/>
                <w:bCs/>
                <w:color w:val="auto"/>
                <w:sz w:val="18"/>
                <w:szCs w:val="18"/>
              </w:rPr>
              <w:spacing w:after="120"/>
            </w:pPr>
            <w:r>
              <w:rPr>
                <w:color w:val="auto"/>
                <w:sz w:val="18"/>
                <w:szCs w:val="18"/>
              </w:rPr>
              <w:t>P1: Verificar, por meio da resposta à q0101, se a organização possui área, unidade, setor ou função de TIC formalmente instituída; [IR1]</w:t>
            </w:r>
          </w:p>
          <w:p ns2:paraId="4C6E5B2E" ns2:textId="42100C78" w:rsidR="00163D04" w:rsidRDefault="00873041" w:rsidP="00EC7681">
            <w:pPr>
              <w:pStyle w:val="Default"/>
              <w:jc w:val="both"/>
              <w:rPr>
                <w:b/>
                <w:bCs/>
                <w:color w:val="auto"/>
                <w:sz w:val="18"/>
                <w:szCs w:val="18"/>
              </w:rPr>
              <w:spacing w:after="120"/>
            </w:pPr>
            <w:r>
              <w:rPr>
                <w:color w:val="auto"/>
                <w:sz w:val="18"/>
                <w:szCs w:val="18"/>
              </w:rPr>
              <w:t>P3: Verificar, por meio da resposta à q0103, se a área de TIC possui atribuições formalmente definidas relacionadas à gestão da TIC; [IR3]</w:t>
            </w:r>
          </w:p>
          <w:p ns2:paraId="4C6E5B2E" ns2:textId="42100C78" w:rsidR="00163D04" w:rsidRDefault="00873041" w:rsidP="00EC7681">
            <w:pPr>
              <w:pStyle w:val="Default"/>
              <w:jc w:val="both"/>
              <w:rPr>
                <w:b/>
                <w:bCs/>
                <w:color w:val="auto"/>
                <w:sz w:val="18"/>
                <w:szCs w:val="18"/>
              </w:rPr>
              <w:spacing w:after="120"/>
            </w:pPr>
            <w:r>
              <w:rPr>
                <w:color w:val="auto"/>
                <w:sz w:val="18"/>
                <w:szCs w:val="18"/>
              </w:rPr>
              <w:t>P4: Validar, pela evidência anexada à q0103, a existência de atribuições formalmente definidas relacionadas à gestão da TIC; [IR4]</w:t>
            </w:r>
          </w:p>
          <w:p ns2:paraId="4C6E5B2E" ns2:textId="42100C78" w:rsidR="00163D04" w:rsidRDefault="00873041" w:rsidP="00EC7681">
            <w:pPr>
              <w:pStyle w:val="Default"/>
              <w:jc w:val="both"/>
              <w:rPr>
                <w:b/>
                <w:bCs/>
                <w:color w:val="auto"/>
                <w:sz w:val="18"/>
                <w:szCs w:val="18"/>
              </w:rPr>
              <w:spacing w:after="120"/>
            </w:pPr>
            <w:r>
              <w:rPr>
                <w:color w:val="auto"/>
                <w:sz w:val="18"/>
                <w:szCs w:val="18"/>
              </w:rPr>
              <w:t>P5: Verificar, por meio da resposta à q0102, o posicionamento hierárquico da área de TIC; [IR5]</w:t>
            </w:r>
          </w:p>
        </w:tc>
        <w:tc>
          <w:tcPr>
            <w:tcW w:w="912" w:type="pct"/>
            <w:vAlign w:val="center"/>
          </w:tcPr>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E1: Resposta negativa ou insuficiente sobre formalização da área, unidade, setor ou função de TIC; [P1]</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E3: Resposta negativa ou insuficiente sobre atribuições formalizadas da área de TIC; [P3]</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E4: Ausência ou insuficiência de evidência que demonstre atribuições formalmente definidas relacionadas à gestão da TIC; [P4]</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E5: Resposta que indique posicionamento inexistente ou incompatível da área de TIC; [P5]</w:t>
            </w:r>
          </w:p>
        </w:tc>
        <w:tc>
          <w:tcPr>
            <w:tcW w:w="1051" w:type="pct"/>
            <w:vAlign w:val="center"/>
          </w:tcPr>
          <w:p ns2:paraId="11118515" ns2:textId="02403B9E" w:rsidR="00E214F9" w:rsidRPr="00E214F9" w:rsidRDefault="181793CF" w:rsidP="00E214F9">
            <w:pPr>
              <w:pStyle w:val="PargrafodaLista"/>
              <w:numPr>
                <w:ilvl w:val="0"/>
                <w:numId w:val="11"/>
              </w:numPr>
              <w:rPr>
                <w:rFonts w:ascii="Arial" w:hAnsi="Arial" w:cs="Arial"/>
                <w:sz w:val="18"/>
                <w:szCs w:val="18"/>
              </w:rPr>
              <w:spacing w:after="80"/>
            </w:pPr>
            <w:r>
              <w:rPr>
                <w:rFonts w:ascii="Arial" w:hAnsi="Arial" w:cs="Arial"/>
                <w:sz w:val="18"/>
                <w:szCs w:val="18"/>
                <w:b/>
                <w:bCs/>
              </w:rPr>
              <w:t>A1: Estrutura de TIC insuficientemente formalizada, definida ou posicionada para gerir a tecnologia da informação.</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S1.1: Ausência de área, unidade, setor ou função de TIC formalmente instituída.; Referências: R1.1, P1, E1; Critérios: C1, C7; Encaminhamento: formalize a área, unidade, setor ou função de TIC em instrumento compatível com a organização, definindo vinculação e responsabilidades essenciais de modo compatível com o porte, a complexidade e a dependência tecnológica da organização</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S1.2: Área de TIC sem atribuições formalmente definidas ou sem atribuições formais de gestão de TIC.; Referências: R1.2, P3, E3, P4, E4; Critérios: C2, C7; Encaminhamento: defina formalmente as atribuições da área de TIC, atentando-se, minimamente, em abranger as atividades de planejamento, coordenação, gestão e controle da TIC</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S1.3: Posicionamento organizacional inadequado da área de TIC.; Referências: R1.3, P5, E5; Critérios: C3, C6; Encaminhamento: avalie o posicionamento organizacional da área de TIC e adote, quando necessário, medidas para assegurar interlocução adequada com a alta administração e participação nas decisões estratégicas, orçamentárias, contratuais e de gestão de riscos relacionadas à tecnologia da informação.</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510AF5" w:rsidRPr="00636B72" ns2:paraId="57D6716F" ns2:textId="77777777" w:rsidTr="6D09F7BC">
        <w:trPr>
          <w:tblHeader/>
        </w:trPr>
        <w:tc>
          <w:tcPr>
            <w:tcW w:w="5000" w:type="pct"/>
            <w:gridSpan w:val="6"/>
          </w:tcPr>
          <w:p ns2:paraId="7D29FCBB" ns2:textId="4EC62946" w:rsidR="005D66B0" w:rsidRDefault="48870B08" w:rsidP="005D66B0">
            <w:pPr>
              <w:spacing w:after="120"/>
              <w:rPr>
                <w:rFonts w:ascii="Arial" w:hAnsi="Arial" w:cs="Arial"/>
                <w:sz w:val="20"/>
                <w:szCs w:val="20"/>
              </w:rPr>
            </w:pPr>
            <w:r>
              <w:rPr>
                <w:rFonts w:ascii="Arial" w:hAnsi="Arial" w:cs="Arial"/>
                <w:b/>
                <w:bCs/>
                <w:sz w:val="20"/>
                <w:szCs w:val="20"/>
              </w:rPr>
              <w:t>Q2: A organização possui mecanismos básicos de governança de TIC, incluindo objetivos, indicadores e metas, bem como Comitê de TIC ou instância equivalente formalmente instituída e atuante?</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alta administração estabeleceu objetivos, indicadores e metas para a gestão de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O Comitê de TIC ou instância equivalente está formalmente instituído e conta com representantes de áreas relevantes da organização?</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O Comitê de TIC ou instância equivalente realiza as atividades previstas em seu ato constitutivo?</w:t>
            </w:r>
          </w:p>
        </w:tc>
      </w:tr>
      <w:tr w:rsidR="00A20BFA" w:rsidRPr="00636B72" ns2:paraId="6C956695" ns2:textId="77777777" w:rsidTr="6D09F7BC">
        <w:trPr>
          <w:tblHeader/>
        </w:trPr>
        <w:tc>
          <w:tcPr>
            <w:tcW w:w="5000" w:type="pct"/>
            <w:gridSpan w:val="6"/>
            <w:shd w:val="clear" w:color="auto" w:fill="BDD6EE" w:themeFill="accent5" w:themeFillTint="66"/>
          </w:tcPr>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R2.1: Devido à ausência de objetivos, indicadores ou metas para a gestão de TIC, poderá haver dificuldade para direcionar prioridades, medir resultados e acompanhar a contribuição da TIC para os objetivos institucionais.</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R2.2: Devido à inexistência de Comitê de TIC ou instância equivalente, ou à ausência de representação de áreas relevantes em sua composição, poderá não haver instância colegiada adequada para alinhar prioridades e decisões relevantes de TIC às necessidades e aos objetivos institucionais.</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R2.3: Devido à ausência de atuação efetiva do Comitê de TIC ou instância equivalente, o colegiado poderá existir apenas formalmente, sem contribuir efetivamente para o direcionamento, a priorização e o acompanhamento da TIC.</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1A774B" w:rsidRPr="00636B72" ns2:paraId="4D48342C" ns2:textId="77777777" w:rsidTr="6D09F7BC">
        <w:trPr>
          <w:tblHeader/>
        </w:trPr>
        <w:tc>
          <w:tcPr>
            <w:tcW w:w="505" w:type="pct"/>
            <w:vAlign w:val="center"/>
          </w:tcPr>
          <w:p ns2:paraId="5C2D7232" ns2:textId="280A56F4"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FONTES DE INFORMAÇÃO</w:t>
            </w:r>
          </w:p>
        </w:tc>
        <w:tc>
          <w:tcPr>
            <w:tcW w:w="709" w:type="pct"/>
            <w:vAlign w:val="center"/>
          </w:tcPr>
          <w:p ns2:paraId="7208CA25" ns2:textId="5376F66C"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INFORMAÇÕES REQUERIDAS</w:t>
            </w:r>
          </w:p>
        </w:tc>
        <w:tc>
          <w:tcPr>
            <w:tcW w:w="810" w:type="pct"/>
            <w:vAlign w:val="center"/>
          </w:tcPr>
          <w:p ns2:paraId="563FD7FD" ns2:textId="77777777" w:rsidR="00282E61" w:rsidRPr="00636B72" w:rsidRDefault="7AB3FDF1" w:rsidP="6D09F7BC">
            <w:pPr>
              <w:spacing w:before="40" w:after="0"/>
              <w:jc w:val="center"/>
              <w:rPr>
                <w:rFonts w:ascii="Arial" w:hAnsi="Arial" w:cs="Arial"/>
                <w:b/>
                <w:bCs/>
                <w:sz w:val="16"/>
                <w:szCs w:val="16"/>
              </w:rPr>
            </w:pPr>
            <w:r>
              <w:rPr>
                <w:rFonts w:ascii="Arial" w:hAnsi="Arial" w:cs="Arial"/>
                <w:b/>
                <w:bCs/>
                <w:sz w:val="16"/>
                <w:szCs w:val="16"/>
              </w:rPr>
              <w:t>CRITÉRIOS</w:t>
            </w:r>
          </w:p>
        </w:tc>
        <w:tc>
          <w:tcPr>
            <w:tcW w:w="1013" w:type="pct"/>
            <w:vAlign w:val="center"/>
          </w:tcPr>
          <w:p ns2:paraId="6A4DEA23" ns2:textId="77777777" w:rsidR="00282E61" w:rsidRPr="00636B72" w:rsidRDefault="00282E61" w:rsidP="000A6618">
            <w:pPr>
              <w:spacing w:before="40" w:after="0"/>
              <w:jc w:val="center"/>
              <w:rPr>
                <w:rFonts w:ascii="Arial" w:hAnsi="Arial" w:cs="Arial"/>
                <w:b/>
                <w:bCs/>
                <w:strike/>
                <w:sz w:val="16"/>
                <w:szCs w:val="16"/>
              </w:rPr>
            </w:pPr>
            <w:r>
              <w:rPr>
                <w:rFonts w:ascii="Arial" w:hAnsi="Arial" w:cs="Arial"/>
                <w:b/>
                <w:bCs/>
                <w:sz w:val="16"/>
                <w:szCs w:val="16"/>
              </w:rPr>
              <w:t>PROCEDIMENTO DE AUDITORIA</w:t>
            </w:r>
          </w:p>
        </w:tc>
        <w:tc>
          <w:tcPr>
            <w:tcW w:w="912" w:type="pct"/>
            <w:vAlign w:val="center"/>
          </w:tcPr>
          <w:p ns2:paraId="4A1C29C4"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EVIDÊNCIAS</w:t>
            </w:r>
          </w:p>
        </w:tc>
        <w:tc>
          <w:tcPr>
            <w:tcW w:w="1051" w:type="pct"/>
            <w:vAlign w:val="center"/>
          </w:tcPr>
          <w:p ns2:paraId="357B1101"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ACHADOS</w:t>
            </w:r>
          </w:p>
        </w:tc>
      </w:tr>
      <w:tr w:rsidR="00EF385F" w:rsidRPr="00636B72" ns2:paraId="70A91EBB" ns2:textId="77777777" w:rsidTr="6D09F7BC">
        <w:tc>
          <w:tcPr>
            <w:tcW w:w="505" w:type="pct"/>
            <w:vAlign w:val="center"/>
          </w:tcPr>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F1: Respostas ao questionário eletrônico iGovTI.</w:t>
            </w:r>
          </w:p>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F2: Evidências anexadas ao questionário eletrônico.</w:t>
            </w:r>
          </w:p>
        </w:tc>
        <w:tc>
          <w:tcPr>
            <w:tcW w:w="709" w:type="pct"/>
            <w:vAlign w:val="center"/>
          </w:tcPr>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IR1: Resposta sobre objetivos, indicadores e metas para a gestão de TIC estabelecidos pela alta administração; [F1, q1001ext[H]]</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IR2: Evidência anexada que demonstre a formalização dos objetivos, indicadores e metas para a gestão de TIC; [F2, q1001evi]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IR3: Resposta sobre existência de Comitê de TIC ou instância equivalente composto por representantes de áreas relevantes da organização; [F1, q1001ext[E]]</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IR4: Evidência anexada que demonstre a instituição formal e a composição do Comitê de TIC ou instância equivalente; [F2, q1001evi]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IR5: Resposta sobre a realização das atividades previstas no ato constitutivo do Comitê de TIC ou instância equivalente; [F1, q1001ext[F]]</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IR6: Evidência anexada que demonstre atuação efetiva do Comitê de TIC ou instância equivalente, como atas, pautas, listas de presença, registros de deliberação, decisões, encaminhamentos ou acompanhamento de pendências; [F2, q1001evi]</w:t>
            </w:r>
          </w:p>
        </w:tc>
        <w:tc>
          <w:tcPr>
            <w:tcW w:w="810" w:type="pct"/>
            <w:vAlign w:val="center"/>
          </w:tcPr>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 COBIT 2019, EDM01.02 - Dirigir o sistema de governança: orientar estruturas, princípios, processos e práticas de governança para assegurar que a TI apoie os objetivos organizacionais.</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C2: COBIT 2019, MEA01.04 - Avaliar o desempenho: monitorar e avaliar periodicamente o desempenho e a conformidade da TI em relação a objetivos, indicadores, metas e expectativas das partes interessadas.</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C3: Decreto nº 12.198/2024, arts. 5º e 6º, § 2º – Referência de governança digital: instituição, no âmbito da Administração Pública federal direta, autárquica e fundacional, de Comitê de Governança Digital ou colegiado equivalente com função deliberativa sobre ações de governo digital e uso de recursos de TIC, incluindo a aprovação dos instrumentos de planejamento previstos no Decreto.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C4: Acórdão TCE-RJ nº 44.490/2024-PLEN, itens II.1, III.1 e V.1 – Precedente pela instituição e atuação efetiva de instância colegiada de governança de TIC, com responsabilidade pelo alinhamento das ações de TIC aos objetivos institucionais, priorização dos investimentos e monitoramento do desempenho da TIC.</w:t>
            </w:r>
          </w:p>
        </w:tc>
        <w:tc>
          <w:tcPr>
            <w:tcW w:w="1013" w:type="pct"/>
            <w:vAlign w:val="center"/>
          </w:tcPr>
          <w:p ns2:paraId="4C6E5B2E" ns2:textId="42100C78" w:rsidR="00163D04" w:rsidRDefault="00873041" w:rsidP="00EC7681">
            <w:pPr>
              <w:pStyle w:val="Default"/>
              <w:jc w:val="both"/>
              <w:rPr>
                <w:b/>
                <w:bCs/>
                <w:color w:val="auto"/>
                <w:sz w:val="18"/>
                <w:szCs w:val="18"/>
              </w:rPr>
              <w:spacing w:after="120"/>
            </w:pPr>
            <w:r>
              <w:rPr>
                <w:color w:val="auto"/>
                <w:sz w:val="18"/>
                <w:szCs w:val="18"/>
              </w:rPr>
              <w:t>P1: Verificar, por meio da resposta à q1001ext[H], se a alta administração estabeleceu objetivos, indicadores e metas para a gestão de TIC; [IR1]</w:t>
            </w:r>
          </w:p>
          <w:p ns2:paraId="4C6E5B2E" ns2:textId="42100C78" w:rsidR="00163D04" w:rsidRDefault="00873041" w:rsidP="00EC7681">
            <w:pPr>
              <w:pStyle w:val="Default"/>
              <w:jc w:val="both"/>
              <w:rPr>
                <w:b/>
                <w:bCs/>
                <w:color w:val="auto"/>
                <w:sz w:val="18"/>
                <w:szCs w:val="18"/>
              </w:rPr>
              <w:spacing w:after="120"/>
            </w:pPr>
            <w:r>
              <w:rPr>
                <w:color w:val="auto"/>
                <w:sz w:val="18"/>
                <w:szCs w:val="18"/>
              </w:rPr>
              <w:t>P2: Validar, pela evidência anexada à q1001, a formalização dos objetivos, indicadores e metas para a gestão de TIC; [IR2]</w:t>
            </w:r>
          </w:p>
          <w:p ns2:paraId="4C6E5B2E" ns2:textId="42100C78" w:rsidR="00163D04" w:rsidRDefault="00873041" w:rsidP="00EC7681">
            <w:pPr>
              <w:pStyle w:val="Default"/>
              <w:jc w:val="both"/>
              <w:rPr>
                <w:b/>
                <w:bCs/>
                <w:color w:val="auto"/>
                <w:sz w:val="18"/>
                <w:szCs w:val="18"/>
              </w:rPr>
              <w:spacing w:after="120"/>
            </w:pPr>
            <w:r>
              <w:rPr>
                <w:color w:val="auto"/>
                <w:sz w:val="18"/>
                <w:szCs w:val="18"/>
              </w:rPr>
              <w:t>P3: Verificar, por meio da resposta à q1001ext[E], se a organização declarou dispor de Comitê de TIC ou instância equivalente composto por representantes de áreas relevantes; [IR3]</w:t>
            </w:r>
          </w:p>
          <w:p ns2:paraId="4C6E5B2E" ns2:textId="42100C78" w:rsidR="00163D04" w:rsidRDefault="00873041" w:rsidP="00EC7681">
            <w:pPr>
              <w:pStyle w:val="Default"/>
              <w:jc w:val="both"/>
              <w:rPr>
                <w:b/>
                <w:bCs/>
                <w:color w:val="auto"/>
                <w:sz w:val="18"/>
                <w:szCs w:val="18"/>
              </w:rPr>
              <w:spacing w:after="120"/>
            </w:pPr>
            <w:r>
              <w:rPr>
                <w:color w:val="auto"/>
                <w:sz w:val="18"/>
                <w:szCs w:val="18"/>
              </w:rPr>
              <w:t>P4: Validar, pela evidência anexada à q1001, a instituição formal e a composição do Comitê de TIC ou instância equivalente; [IR4]</w:t>
            </w:r>
          </w:p>
          <w:p ns2:paraId="4C6E5B2E" ns2:textId="42100C78" w:rsidR="00163D04" w:rsidRDefault="00873041" w:rsidP="00EC7681">
            <w:pPr>
              <w:pStyle w:val="Default"/>
              <w:jc w:val="both"/>
              <w:rPr>
                <w:b/>
                <w:bCs/>
                <w:color w:val="auto"/>
                <w:sz w:val="18"/>
                <w:szCs w:val="18"/>
              </w:rPr>
              <w:spacing w:after="120"/>
            </w:pPr>
            <w:r>
              <w:rPr>
                <w:color w:val="auto"/>
                <w:sz w:val="18"/>
                <w:szCs w:val="18"/>
              </w:rPr>
              <w:t>P5: Verificar, por meio da resposta à q1001ext[F], se o Comitê de TIC ou instância equivalente realiza as atividades previstas em seu ato constitutivo; [IR5]</w:t>
            </w:r>
          </w:p>
          <w:p ns2:paraId="4C6E5B2E" ns2:textId="42100C78" w:rsidR="00163D04" w:rsidRDefault="00873041" w:rsidP="00EC7681">
            <w:pPr>
              <w:pStyle w:val="Default"/>
              <w:jc w:val="both"/>
              <w:rPr>
                <w:b/>
                <w:bCs/>
                <w:color w:val="auto"/>
                <w:sz w:val="18"/>
                <w:szCs w:val="18"/>
              </w:rPr>
              <w:spacing w:after="120"/>
            </w:pPr>
            <w:r>
              <w:rPr>
                <w:color w:val="auto"/>
                <w:sz w:val="18"/>
                <w:szCs w:val="18"/>
              </w:rPr>
              <w:t>P6: Validar, pela evidência anexada à q1001, se há atas, pautas, registros de deliberação, encaminhamentos ou acompanhamento de decisões do Comitê de TIC ou instância equivalente; [IR6]</w:t>
            </w:r>
          </w:p>
        </w:tc>
        <w:tc>
          <w:tcPr>
            <w:tcW w:w="912" w:type="pct"/>
            <w:vAlign w:val="center"/>
          </w:tcPr>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E1: Resposta negativa sobre o estabelecimento de objetivos, indicadores ou metas para a gestão de TIC; [P1]</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E2: Ausência, desatualização, incompatibilidade ou insuficiência de evidência que demonstre objetivos, indicadores e metas para a gestão de TIC; [P2]</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E3: Resposta que indique inexistência de Comitê de TIC ou instância equivalente com representação de áreas relevantes da organização; [P3]</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E4: Ausência ou insuficiência de evidência que demonstre a instituição formal e a composição do Comitê de TIC ou instância equivalente; [P4]</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E5: Resposta que indique que o Comitê de TIC ou instância equivalente não realiza as atividades previstas em seu ato constitutivo; [P5]</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E6: Ausência, desatualização, incompatibilidade ou insuficiência de atas, registros de deliberação, encaminhamentos ou acompanhamento de decisões do Comitê de TIC ou instância equivalente; [P6]</w:t>
            </w:r>
          </w:p>
        </w:tc>
        <w:tc>
          <w:tcPr>
            <w:tcW w:w="1051" w:type="pct"/>
            <w:vAlign w:val="center"/>
          </w:tcPr>
          <w:p ns2:paraId="11118515" ns2:textId="02403B9E" w:rsidR="00E214F9" w:rsidRPr="00E214F9" w:rsidRDefault="181793CF" w:rsidP="00E214F9">
            <w:pPr>
              <w:pStyle w:val="PargrafodaLista"/>
              <w:numPr>
                <w:ilvl w:val="0"/>
                <w:numId w:val="11"/>
              </w:numPr>
              <w:rPr>
                <w:rFonts w:ascii="Arial" w:hAnsi="Arial" w:cs="Arial"/>
                <w:sz w:val="18"/>
                <w:szCs w:val="18"/>
              </w:rPr>
              <w:spacing w:after="80"/>
            </w:pPr>
            <w:r>
              <w:rPr>
                <w:rFonts w:ascii="Arial" w:hAnsi="Arial" w:cs="Arial"/>
                <w:sz w:val="18"/>
                <w:szCs w:val="18"/>
                <w:b/>
                <w:bCs/>
              </w:rPr>
              <w:t>A2: Governança de TIC insuficiente para avaliar, dirigir e monitorar a tecnologia da informação.</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S2.1: Ausência de objetivos, indicadores ou metas para a gestão de TIC.; Referências: R2.1, P1, E1, P2, E2; Critérios: C2; Encaminhamento: estabeleça objetivos, indicadores e metas para a gestão de TIC, de modo a possibilitar o acompanhamento periódico do desempenho da TIC pela alta administração</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S2.2: Comitê de TIC ou instância equivalente não instituído formalmente ou sem representação de áreas relevantes da organização.; Referências: R2.2, P3, E3, P4, E4; Critérios: C1, C3, C4; Encaminhamento: institua formalmente Comitê de TIC ou instância colegiada equivalente, compatível com o porte e a estrutura decisória da organização, definindo em seu ato constitutivo, minimamente, a participação de representantes de áreas relevantes da organização, suas competências, a periodicidade de reuniões, a forma de registro das deliberações e os mecanismos de acompanhamento dos encaminhamentos</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S2.3: Comitê de TIC ou instância equivalente sem atuação efetiva comprovada.; Referências: R2.3, P5, E5, P6, E6; Critérios: C1, C3, C4; Encaminhamento: assegure o funcionamento efetivo do Comitê de TIC ou instância colegiada equivalente, mediante o exercício das competências previstas em seu ato constitutivo, com registro das deliberações e acompanhamento dos respectivos encaminhamentos</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510AF5" w:rsidRPr="00636B72" ns2:paraId="57D6716F" ns2:textId="77777777" w:rsidTr="6D09F7BC">
        <w:trPr>
          <w:tblHeader/>
        </w:trPr>
        <w:tc>
          <w:tcPr>
            <w:tcW w:w="5000" w:type="pct"/>
            <w:gridSpan w:val="6"/>
          </w:tcPr>
          <w:p ns2:paraId="7D29FCBB" ns2:textId="4EC62946" w:rsidR="005D66B0" w:rsidRDefault="48870B08" w:rsidP="005D66B0">
            <w:pPr>
              <w:spacing w:after="120"/>
              <w:rPr>
                <w:rFonts w:ascii="Arial" w:hAnsi="Arial" w:cs="Arial"/>
                <w:sz w:val="20"/>
                <w:szCs w:val="20"/>
              </w:rPr>
            </w:pPr>
            <w:r>
              <w:rPr>
                <w:rFonts w:ascii="Arial" w:hAnsi="Arial" w:cs="Arial"/>
                <w:b/>
                <w:bCs/>
                <w:sz w:val="20"/>
                <w:szCs w:val="20"/>
              </w:rPr>
              <w:t>Q3: A organização utiliza o planejamento de TIC como instrumento efetivo de gestão, com processo formal, plano vigente, aprovação competente, alinhamento institucional, integração com orçamento e contratações e acompanhamento periódico?</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organização executa processo formal de planejamento de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As áreas demandantes participam do processo de planejamento de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O plano de TIC foi formalmente aprovado pela instância competente?</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O plano de TIC está alinhado ao planejamento institucional?</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O plano de TIC está integrado à proposta orçamentária da área de TIC e ao plano de contratações?</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O plano de TIC é acompanhado, revisto e atualizado periodicamente ou diante de mudanças relevantes?</w:t>
            </w:r>
          </w:p>
        </w:tc>
      </w:tr>
      <w:tr w:rsidR="00A20BFA" w:rsidRPr="00636B72" ns2:paraId="6C956695" ns2:textId="77777777" w:rsidTr="6D09F7BC">
        <w:trPr>
          <w:tblHeader/>
        </w:trPr>
        <w:tc>
          <w:tcPr>
            <w:tcW w:w="5000" w:type="pct"/>
            <w:gridSpan w:val="6"/>
            <w:shd w:val="clear" w:color="auto" w:fill="BDD6EE" w:themeFill="accent5" w:themeFillTint="66"/>
          </w:tcPr>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R3.1: Devido à inexistência ou insuficiência do processo de planejamento de TIC, poderá não haver plano vigente e participação adequada das áreas demandantes, favorecendo atuação reativa e desalinhada às necessidades institucionais.</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R3.2: Devido à ausência de aprovação formal do plano de TIC pela instância competente, o instrumento poderá não possuir legitimidade institucional para orientar a gestão, os projetos, o orçamento e as contratações de TIC.</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R3.4: Devido ao alinhamento insuficiente do plano de TIC ao planejamento institucional poderão ser executadas ações de TIC com baixo valor ou desconectadas das prioridades da organização.</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R3.5: Devido à ausência de integração entre planejamento de TIC, orçamento e contratações, poderão ocorrer aquisições reativas, não priorizadas ou desalinhadas.</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R3.6: Devido à ausência de acompanhamento da execução do plano de TIC, poderão deixar de ser identificados tempestivamente desvios, pendências ou mudanças que demandem ajustes nas iniciativas e prioridades planejadas.</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1A774B" w:rsidRPr="00636B72" ns2:paraId="4D48342C" ns2:textId="77777777" w:rsidTr="6D09F7BC">
        <w:trPr>
          <w:tblHeader/>
        </w:trPr>
        <w:tc>
          <w:tcPr>
            <w:tcW w:w="505" w:type="pct"/>
            <w:vAlign w:val="center"/>
          </w:tcPr>
          <w:p ns2:paraId="5C2D7232" ns2:textId="280A56F4"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FONTES DE INFORMAÇÃO</w:t>
            </w:r>
          </w:p>
        </w:tc>
        <w:tc>
          <w:tcPr>
            <w:tcW w:w="709" w:type="pct"/>
            <w:vAlign w:val="center"/>
          </w:tcPr>
          <w:p ns2:paraId="7208CA25" ns2:textId="5376F66C"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INFORMAÇÕES REQUERIDAS</w:t>
            </w:r>
          </w:p>
        </w:tc>
        <w:tc>
          <w:tcPr>
            <w:tcW w:w="810" w:type="pct"/>
            <w:vAlign w:val="center"/>
          </w:tcPr>
          <w:p ns2:paraId="563FD7FD" ns2:textId="77777777" w:rsidR="00282E61" w:rsidRPr="00636B72" w:rsidRDefault="7AB3FDF1" w:rsidP="6D09F7BC">
            <w:pPr>
              <w:spacing w:before="40" w:after="0"/>
              <w:jc w:val="center"/>
              <w:rPr>
                <w:rFonts w:ascii="Arial" w:hAnsi="Arial" w:cs="Arial"/>
                <w:b/>
                <w:bCs/>
                <w:sz w:val="16"/>
                <w:szCs w:val="16"/>
              </w:rPr>
            </w:pPr>
            <w:r>
              <w:rPr>
                <w:rFonts w:ascii="Arial" w:hAnsi="Arial" w:cs="Arial"/>
                <w:b/>
                <w:bCs/>
                <w:sz w:val="16"/>
                <w:szCs w:val="16"/>
              </w:rPr>
              <w:t>CRITÉRIOS</w:t>
            </w:r>
          </w:p>
        </w:tc>
        <w:tc>
          <w:tcPr>
            <w:tcW w:w="1013" w:type="pct"/>
            <w:vAlign w:val="center"/>
          </w:tcPr>
          <w:p ns2:paraId="6A4DEA23" ns2:textId="77777777" w:rsidR="00282E61" w:rsidRPr="00636B72" w:rsidRDefault="00282E61" w:rsidP="000A6618">
            <w:pPr>
              <w:spacing w:before="40" w:after="0"/>
              <w:jc w:val="center"/>
              <w:rPr>
                <w:rFonts w:ascii="Arial" w:hAnsi="Arial" w:cs="Arial"/>
                <w:b/>
                <w:bCs/>
                <w:strike/>
                <w:sz w:val="16"/>
                <w:szCs w:val="16"/>
              </w:rPr>
            </w:pPr>
            <w:r>
              <w:rPr>
                <w:rFonts w:ascii="Arial" w:hAnsi="Arial" w:cs="Arial"/>
                <w:b/>
                <w:bCs/>
                <w:sz w:val="16"/>
                <w:szCs w:val="16"/>
              </w:rPr>
              <w:t>PROCEDIMENTO DE AUDITORIA</w:t>
            </w:r>
          </w:p>
        </w:tc>
        <w:tc>
          <w:tcPr>
            <w:tcW w:w="912" w:type="pct"/>
            <w:vAlign w:val="center"/>
          </w:tcPr>
          <w:p ns2:paraId="4A1C29C4"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EVIDÊNCIAS</w:t>
            </w:r>
          </w:p>
        </w:tc>
        <w:tc>
          <w:tcPr>
            <w:tcW w:w="1051" w:type="pct"/>
            <w:vAlign w:val="center"/>
          </w:tcPr>
          <w:p ns2:paraId="357B1101"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ACHADOS</w:t>
            </w:r>
          </w:p>
        </w:tc>
      </w:tr>
      <w:tr w:rsidR="00EF385F" w:rsidRPr="00636B72" ns2:paraId="70A91EBB" ns2:textId="77777777" w:rsidTr="6D09F7BC">
        <w:tc>
          <w:tcPr>
            <w:tcW w:w="505" w:type="pct"/>
            <w:vAlign w:val="center"/>
          </w:tcPr>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F1: Respostas ao questionário eletrônico iGovTI.</w:t>
            </w:r>
          </w:p>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F2: Evidências anexadas no questionário eletrônico.</w:t>
            </w:r>
          </w:p>
        </w:tc>
        <w:tc>
          <w:tcPr>
            <w:tcW w:w="709" w:type="pct"/>
            <w:vAlign w:val="center"/>
          </w:tcPr>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IR1: Respostas sobre execução e formalização do processo de planejamento de TIC, bem como sobre a existência de plano de TIC vigente; [F1, q2101, q2101ext[D], q2102]</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IR2: Evidência que demonstre a formalização do processo de planejamento de TIC; [F2, q2101evi]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IR3: Resposta sobre participação das áreas demandantes no processo de planejamento de TIC; [F1, q2101ext[A]]</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IR4: Resposta sobre aprovação formal do plano de TIC pela instância competente; [F1, q2102ext[A]]</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IR5: Evidência anexada do ato de aprovação formal do plano de TIC; [F2, q2102evi]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IR7: Resposta e evidência sobre alinhamento das iniciativas do plano de TIC ao planejamento institucional; [F1, F2, q2102ext[D], q2102evi]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IR8: Resposta e evidência sobre a utilização do plano de TIC como referência para a elaboração da proposta orçamentária da área de TIC e do plano de contratações; [F1, F2, q2102ext[C], q2102evi]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IR9: Resposta e evidência sobre acompanhamento da execução do plano de TIC; [F1, F2, q2102ext[E], q2102evi]</w:t>
            </w:r>
          </w:p>
        </w:tc>
        <w:tc>
          <w:tcPr>
            <w:tcW w:w="810" w:type="pct"/>
            <w:vAlign w:val="center"/>
          </w:tcPr>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 COBIT 2019, APO02.05 - Definir o plano e o roteiro estratégico: estabelecer plano e roteiro de TIC que traduzam a estratégia em iniciativas, prioridades, recursos, dependências, prazos e benefícios esperados.</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C2: COBIT 2019, APO06.03 - Criar e manter orçamentos: elaborar e manter orçamento de TIC alinhado ao portfólio, ao planejamento e às prioridades aprovadas.</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C3: Acórdão 1.411/2014-TCU-Plenário, item 9.1.6 e subitens 9.1.6.1 a 9.1.6.4: necessidade de instituir formalmente plano diretor de TI, contemplando desdobramento de diretrizes estratégicas, vinculação das ações de TI a indicadores e metas de negócio, vinculação das ações de TI a indicadores e metas de serviços ao cidadão e vinculação das ações priorizadas ao orçamento de TI.</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C4: Acórdão TCE-RJ nº 44.490/2024-PLEN, itens II.3 e III.3 e respectivos subitens – Precedentes quanto ao estabelecimento formal de processo estruturado de planejamento de TIC, com participação das áreas relevantes, elaboração, manutenção e revisão periódica de PDTI, contemplando objetivos, indicadores e metas alinhados aos objetivos institucionais, riscos, projetos, aquisições, recursos necessários e ações de monitoramento após aprovação pela alta administração.</w:t>
            </w:r>
          </w:p>
        </w:tc>
        <w:tc>
          <w:tcPr>
            <w:tcW w:w="1013" w:type="pct"/>
            <w:vAlign w:val="center"/>
          </w:tcPr>
          <w:p ns2:paraId="4C6E5B2E" ns2:textId="42100C78" w:rsidR="00163D04" w:rsidRDefault="00873041" w:rsidP="00EC7681">
            <w:pPr>
              <w:pStyle w:val="Default"/>
              <w:jc w:val="both"/>
              <w:rPr>
                <w:b/>
                <w:bCs/>
                <w:color w:val="auto"/>
                <w:sz w:val="18"/>
                <w:szCs w:val="18"/>
              </w:rPr>
              <w:spacing w:after="120"/>
            </w:pPr>
            <w:r>
              <w:rPr>
                <w:color w:val="auto"/>
                <w:sz w:val="18"/>
                <w:szCs w:val="18"/>
              </w:rPr>
              <w:t>P1: Verificar, por meio das respostas à q2101 e q2101ext[D], se a organização executa processo de planejamento de TIC formalizado; [IR1]</w:t>
            </w:r>
          </w:p>
          <w:p ns2:paraId="4C6E5B2E" ns2:textId="42100C78" w:rsidR="00163D04" w:rsidRDefault="00873041" w:rsidP="00EC7681">
            <w:pPr>
              <w:pStyle w:val="Default"/>
              <w:jc w:val="both"/>
              <w:rPr>
                <w:b/>
                <w:bCs/>
                <w:color w:val="auto"/>
                <w:sz w:val="18"/>
                <w:szCs w:val="18"/>
              </w:rPr>
              <w:spacing w:after="120"/>
            </w:pPr>
            <w:r>
              <w:rPr>
                <w:color w:val="auto"/>
                <w:sz w:val="18"/>
                <w:szCs w:val="18"/>
              </w:rPr>
              <w:t>P2: Validar, pela evidência anexada à q2101, a formalização mínima do processo de planejamento de TIC; [IR2]</w:t>
            </w:r>
          </w:p>
          <w:p ns2:paraId="4C6E5B2E" ns2:textId="42100C78" w:rsidR="00163D04" w:rsidRDefault="00873041" w:rsidP="00EC7681">
            <w:pPr>
              <w:pStyle w:val="Default"/>
              <w:jc w:val="both"/>
              <w:rPr>
                <w:b/>
                <w:bCs/>
                <w:color w:val="auto"/>
                <w:sz w:val="18"/>
                <w:szCs w:val="18"/>
              </w:rPr>
              <w:spacing w:after="120"/>
            </w:pPr>
            <w:r>
              <w:rPr>
                <w:color w:val="auto"/>
                <w:sz w:val="18"/>
                <w:szCs w:val="18"/>
              </w:rPr>
              <w:t>P3: Verificar, por meio da q2101ext[A], se há participação das áreas demandantes no processo de planejamento de TIC; [IR3]</w:t>
            </w:r>
          </w:p>
          <w:p ns2:paraId="4C6E5B2E" ns2:textId="42100C78" w:rsidR="00163D04" w:rsidRDefault="00873041" w:rsidP="00EC7681">
            <w:pPr>
              <w:pStyle w:val="Default"/>
              <w:jc w:val="both"/>
              <w:rPr>
                <w:b/>
                <w:bCs/>
                <w:color w:val="auto"/>
                <w:sz w:val="18"/>
                <w:szCs w:val="18"/>
              </w:rPr>
              <w:spacing w:after="120"/>
            </w:pPr>
            <w:r>
              <w:rPr>
                <w:color w:val="auto"/>
                <w:sz w:val="18"/>
                <w:szCs w:val="18"/>
              </w:rPr>
              <w:t>P4: Verificar, por meio da resposta à q2102ext[A], se o plano de TIC foi aprovado pelo dirigente máximo da organização ou por dirigente ou colegiado integrante da alta administração; [IR4]</w:t>
            </w:r>
          </w:p>
          <w:p ns2:paraId="4C6E5B2E" ns2:textId="42100C78" w:rsidR="00163D04" w:rsidRDefault="00873041" w:rsidP="00EC7681">
            <w:pPr>
              <w:pStyle w:val="Default"/>
              <w:jc w:val="both"/>
              <w:rPr>
                <w:b/>
                <w:bCs/>
                <w:color w:val="auto"/>
                <w:sz w:val="18"/>
                <w:szCs w:val="18"/>
              </w:rPr>
              <w:spacing w:after="120"/>
            </w:pPr>
            <w:r>
              <w:rPr>
                <w:color w:val="auto"/>
                <w:sz w:val="18"/>
                <w:szCs w:val="18"/>
              </w:rPr>
              <w:t>P5: Validar, pelas evidências anexadas à q2102, a aprovação formal do plano de TIC pela instância competente; [IR5]</w:t>
            </w:r>
          </w:p>
          <w:p ns2:paraId="4C6E5B2E" ns2:textId="42100C78" w:rsidR="00163D04" w:rsidRDefault="00873041" w:rsidP="00EC7681">
            <w:pPr>
              <w:pStyle w:val="Default"/>
              <w:jc w:val="both"/>
              <w:rPr>
                <w:b/>
                <w:bCs/>
                <w:color w:val="auto"/>
                <w:sz w:val="18"/>
                <w:szCs w:val="18"/>
              </w:rPr>
              <w:spacing w:after="120"/>
            </w:pPr>
            <w:r>
              <w:rPr>
                <w:color w:val="auto"/>
                <w:sz w:val="18"/>
                <w:szCs w:val="18"/>
              </w:rPr>
              <w:t>P7: Verificar, por meio da resposta e das evidências da q2102, se o plano está alinhado ao planejamento institucional; [IR7]</w:t>
            </w:r>
          </w:p>
          <w:p ns2:paraId="4C6E5B2E" ns2:textId="42100C78" w:rsidR="00163D04" w:rsidRDefault="00873041" w:rsidP="00EC7681">
            <w:pPr>
              <w:pStyle w:val="Default"/>
              <w:jc w:val="both"/>
              <w:rPr>
                <w:b/>
                <w:bCs/>
                <w:color w:val="auto"/>
                <w:sz w:val="18"/>
                <w:szCs w:val="18"/>
              </w:rPr>
              <w:spacing w:after="120"/>
            </w:pPr>
            <w:r>
              <w:rPr>
                <w:color w:val="auto"/>
                <w:sz w:val="18"/>
                <w:szCs w:val="18"/>
              </w:rPr>
              <w:t>P8: Verificar, por meio da resposta à q2102ext[C] e da evidência correspondente, se o plano de TIC fundamenta a proposta orçamentária da área de TIC e o plano de contratações; [IR8]</w:t>
            </w:r>
          </w:p>
          <w:p ns2:paraId="4C6E5B2E" ns2:textId="42100C78" w:rsidR="00163D04" w:rsidRDefault="00873041" w:rsidP="00EC7681">
            <w:pPr>
              <w:pStyle w:val="Default"/>
              <w:jc w:val="both"/>
              <w:rPr>
                <w:b/>
                <w:bCs/>
                <w:color w:val="auto"/>
                <w:sz w:val="18"/>
                <w:szCs w:val="18"/>
              </w:rPr>
              <w:spacing w:after="120"/>
            </w:pPr>
            <w:r>
              <w:rPr>
                <w:color w:val="auto"/>
                <w:sz w:val="18"/>
                <w:szCs w:val="18"/>
              </w:rPr>
              <w:t>P9: Verificar, por meio da resposta à q2102ext[E] e das evidências correspondentes, se é realizado acompanhamento concomitante à execução do plano de TIC; [IR9]</w:t>
            </w:r>
          </w:p>
        </w:tc>
        <w:tc>
          <w:tcPr>
            <w:tcW w:w="912" w:type="pct"/>
            <w:vAlign w:val="center"/>
          </w:tcPr>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E1: Resposta negativa ou insuficiente sobre a existência de processo de planejamento de TIC; [P1]</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E2: Ausência, desatualização, incompatibilidade ou insuficiência de evidência que discipline o processo de planejamento de TIC; [P2]</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E3: Resposta negativa ou insuficiente sobre participação das áreas demandantes; [P3]</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E4: Resposta negativa ou insuficiente sobre a aprovação formal do plano de TIC pela instância competente; [P4]</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E5: Ausência ou insuficiência de evidência do ato de aprovação formal do plano de TIC pela instância competente; [P5]</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E7: Inexistência ou insuficiência de alinhamento entre plano de TIC e planejamento institucional; [P7]</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E8: Ausência ou insuficiência de evidência de utilização do plano de TIC como referência para a proposta orçamentária da área de TIC e o plano de contratações; [P8]</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E9: Ausência ou insuficiência de evidência de acompanhamento da execução do plano de TIC; [P9] variaveis_derivadas:</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nome: existe_plano_ti descricao: Indica que a organização declarou possuir plano de TIC vigente, ao menos parcialmente adotado. regra_de_calculo: (q2102 == Adota parcialmente.) | (q2102 == Adota em maior parte ou totalmente.)</w:t>
            </w:r>
          </w:p>
        </w:tc>
        <w:tc>
          <w:tcPr>
            <w:tcW w:w="1051" w:type="pct"/>
            <w:vAlign w:val="center"/>
          </w:tcPr>
          <w:p ns2:paraId="11118515" ns2:textId="02403B9E" w:rsidR="00E214F9" w:rsidRPr="00E214F9" w:rsidRDefault="181793CF" w:rsidP="00E214F9">
            <w:pPr>
              <w:pStyle w:val="PargrafodaLista"/>
              <w:numPr>
                <w:ilvl w:val="0"/>
                <w:numId w:val="11"/>
              </w:numPr>
              <w:rPr>
                <w:rFonts w:ascii="Arial" w:hAnsi="Arial" w:cs="Arial"/>
                <w:sz w:val="18"/>
                <w:szCs w:val="18"/>
              </w:rPr>
              <w:spacing w:after="80"/>
            </w:pPr>
            <w:r>
              <w:rPr>
                <w:rFonts w:ascii="Arial" w:hAnsi="Arial" w:cs="Arial"/>
                <w:sz w:val="18"/>
                <w:szCs w:val="18"/>
                <w:b/>
                <w:bCs/>
              </w:rPr>
              <w:t>A3: Planejamento de TIC insuficiente para orientar a gestão, o orçamento e as contratações de TIC</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S3.1: Inexistência ou insuficiência do processo de planejamento de TIC para produzir e manter plano de TIC adequado.; Referências: R3.1, P1, E1, P2, E2, P3, E3; Critérios: C1, C3, C4; Encaminhamento: institua processo formal de planejamento de TIC, compatível com o porte e a complexidade da organização, que assegure a elaboração e manutenção de plano de TIC, atentando-se, minimamente, em definir etapas, responsabilidades e participação das áreas demandantes</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S3.2: Ausência de aprovação formal do plano de TIC.; Referências: R3.2, P4, E4, P5, E5; Critérios: C3, C4; Encaminhamento: submeta o plano de TIC à aprovação formal do dirigente máximo ou de instância competente da alta administração, mantendo registro do respectivo ato de aprovação</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S3.4: Plano de TIC sem alinhamento adequado ao planejamento institucional.; Referências: R3.4, P7, E7; Critérios: C1, C3, C4; Encaminhamento: revise o plano de TIC para explicitar seu alinhamento ao planejamento institucional, às diretrizes superiores e às necessidades das áreas finalísticas e administrativas, relacionando objetivos, iniciativas, indicadores e metas de TIC aos resultados institucionais pretendidos</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S3.5: Plano de TIC não utilizado como referência para a elaboração da proposta orçamentária e do plano de contratações.; Referências: R3.5, P8, E8; Critérios: C2, C4; Encaminhamento: integre o plano de TIC à elaboração da proposta orçamentária e do plano de contratações, de maneira proporcional ao porte, à estrutura e à capacidade de planejamento da organização</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S3.6: Ausência de acompanhamento da execução do plano de TIC.; Referências: R3.6, P9, E9; Critérios: C4; Encaminhamento: estabeleça e execute rotina periódica de acompanhamento da execução do plano de TIC, promovendo sua revisão periódica e os ajustes ou atualizações necessários, com registro das principais decisões e reprogramações</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510AF5" w:rsidRPr="00636B72" ns2:paraId="57D6716F" ns2:textId="77777777" w:rsidTr="6D09F7BC">
        <w:trPr>
          <w:tblHeader/>
        </w:trPr>
        <w:tc>
          <w:tcPr>
            <w:tcW w:w="5000" w:type="pct"/>
            <w:gridSpan w:val="6"/>
          </w:tcPr>
          <w:p ns2:paraId="7D29FCBB" ns2:textId="4EC62946" w:rsidR="005D66B0" w:rsidRDefault="48870B08" w:rsidP="005D66B0">
            <w:pPr>
              <w:spacing w:after="120"/>
              <w:rPr>
                <w:rFonts w:ascii="Arial" w:hAnsi="Arial" w:cs="Arial"/>
                <w:sz w:val="20"/>
                <w:szCs w:val="20"/>
              </w:rPr>
            </w:pPr>
            <w:r>
              <w:rPr>
                <w:rFonts w:ascii="Arial" w:hAnsi="Arial" w:cs="Arial"/>
                <w:b/>
                <w:bCs/>
                <w:sz w:val="20"/>
                <w:szCs w:val="20"/>
              </w:rPr>
              <w:t>Q4: A organização dispõe de mecanismos mínimos para estruturar e dimensionar sua força de trabalho de TIC e segurança da informação, formalizar funções e preservar capacidade interna nos modelos de operação predominantemente terceirizados?</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organização dispõe de profissionais que atuam regularmente em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organização definiu o quantitativo necessário de pessoal de TIC e segurança da informação?</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organização possui cargos ou funções formalmente atribuídos à TIC e à segurança da informação?</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Nos modelos de operação predominantemente terceirizados, a organização mantém força de trabalho interna de TIC?</w:t>
            </w:r>
          </w:p>
        </w:tc>
      </w:tr>
      <w:tr w:rsidR="00A20BFA" w:rsidRPr="00636B72" ns2:paraId="6C956695" ns2:textId="77777777" w:rsidTr="6D09F7BC">
        <w:trPr>
          <w:tblHeader/>
        </w:trPr>
        <w:tc>
          <w:tcPr>
            <w:tcW w:w="5000" w:type="pct"/>
            <w:gridSpan w:val="6"/>
            <w:shd w:val="clear" w:color="auto" w:fill="BDD6EE" w:themeFill="accent5" w:themeFillTint="66"/>
          </w:tcPr>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R4.1: Devido à ausência de profissionais atuando regularmente em TIC, poderá não haver capacidade operacional mínima para coordenar e sustentar as atividades e serviços tecnológicos da organização.</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R4.2: Devido à ausência de definição do quantitativo necessário de pessoal de TIC e segurança da informação, poderá haver subdimensionamento ou alocação inadequada da equipe.</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R4.3: Devido à ausência de cargos ou funções formalmente atribuídos à TIC ou à segurança da informação, poderá haver baixa clareza de responsabilidades e insuficiente capacidade de alocação e responsabilização dos profissionais.</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R4.6: Devido à operação predominantemente terceirizada sem profissionais internos de TIC, poderá haver insuficiência de capacidade interna para coordenação, supervisão e fiscalização das atividades terceirizadas, além de maior risco de dependência externa, perda de conhecimento e descontinuidade.</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1A774B" w:rsidRPr="00636B72" ns2:paraId="4D48342C" ns2:textId="77777777" w:rsidTr="6D09F7BC">
        <w:trPr>
          <w:tblHeader/>
        </w:trPr>
        <w:tc>
          <w:tcPr>
            <w:tcW w:w="505" w:type="pct"/>
            <w:vAlign w:val="center"/>
          </w:tcPr>
          <w:p ns2:paraId="5C2D7232" ns2:textId="280A56F4"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FONTES DE INFORMAÇÃO</w:t>
            </w:r>
          </w:p>
        </w:tc>
        <w:tc>
          <w:tcPr>
            <w:tcW w:w="709" w:type="pct"/>
            <w:vAlign w:val="center"/>
          </w:tcPr>
          <w:p ns2:paraId="7208CA25" ns2:textId="5376F66C"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INFORMAÇÕES REQUERIDAS</w:t>
            </w:r>
          </w:p>
        </w:tc>
        <w:tc>
          <w:tcPr>
            <w:tcW w:w="810" w:type="pct"/>
            <w:vAlign w:val="center"/>
          </w:tcPr>
          <w:p ns2:paraId="563FD7FD" ns2:textId="77777777" w:rsidR="00282E61" w:rsidRPr="00636B72" w:rsidRDefault="7AB3FDF1" w:rsidP="6D09F7BC">
            <w:pPr>
              <w:spacing w:before="40" w:after="0"/>
              <w:jc w:val="center"/>
              <w:rPr>
                <w:rFonts w:ascii="Arial" w:hAnsi="Arial" w:cs="Arial"/>
                <w:b/>
                <w:bCs/>
                <w:sz w:val="16"/>
                <w:szCs w:val="16"/>
              </w:rPr>
            </w:pPr>
            <w:r>
              <w:rPr>
                <w:rFonts w:ascii="Arial" w:hAnsi="Arial" w:cs="Arial"/>
                <w:b/>
                <w:bCs/>
                <w:sz w:val="16"/>
                <w:szCs w:val="16"/>
              </w:rPr>
              <w:t>CRITÉRIOS</w:t>
            </w:r>
          </w:p>
        </w:tc>
        <w:tc>
          <w:tcPr>
            <w:tcW w:w="1013" w:type="pct"/>
            <w:vAlign w:val="center"/>
          </w:tcPr>
          <w:p ns2:paraId="6A4DEA23" ns2:textId="77777777" w:rsidR="00282E61" w:rsidRPr="00636B72" w:rsidRDefault="00282E61" w:rsidP="000A6618">
            <w:pPr>
              <w:spacing w:before="40" w:after="0"/>
              <w:jc w:val="center"/>
              <w:rPr>
                <w:rFonts w:ascii="Arial" w:hAnsi="Arial" w:cs="Arial"/>
                <w:b/>
                <w:bCs/>
                <w:strike/>
                <w:sz w:val="16"/>
                <w:szCs w:val="16"/>
              </w:rPr>
            </w:pPr>
            <w:r>
              <w:rPr>
                <w:rFonts w:ascii="Arial" w:hAnsi="Arial" w:cs="Arial"/>
                <w:b/>
                <w:bCs/>
                <w:sz w:val="16"/>
                <w:szCs w:val="16"/>
              </w:rPr>
              <w:t>PROCEDIMENTO DE AUDITORIA</w:t>
            </w:r>
          </w:p>
        </w:tc>
        <w:tc>
          <w:tcPr>
            <w:tcW w:w="912" w:type="pct"/>
            <w:vAlign w:val="center"/>
          </w:tcPr>
          <w:p ns2:paraId="4A1C29C4"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EVIDÊNCIAS</w:t>
            </w:r>
          </w:p>
        </w:tc>
        <w:tc>
          <w:tcPr>
            <w:tcW w:w="1051" w:type="pct"/>
            <w:vAlign w:val="center"/>
          </w:tcPr>
          <w:p ns2:paraId="357B1101"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ACHADOS</w:t>
            </w:r>
          </w:p>
        </w:tc>
      </w:tr>
      <w:tr w:rsidR="00EF385F" w:rsidRPr="00636B72" ns2:paraId="70A91EBB" ns2:textId="77777777" w:rsidTr="6D09F7BC">
        <w:tc>
          <w:tcPr>
            <w:tcW w:w="505" w:type="pct"/>
            <w:vAlign w:val="center"/>
          </w:tcPr>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F1: Respostas ao questionário eletrônico iGovTI.</w:t>
            </w:r>
          </w:p>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F2: Evidências anexadas no questionário eletrônico.</w:t>
            </w:r>
          </w:p>
        </w:tc>
        <w:tc>
          <w:tcPr>
            <w:tcW w:w="709" w:type="pct"/>
            <w:vAlign w:val="center"/>
          </w:tcPr>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IR1: Resposta sobre quantitativo de profissionais que atuam em TIC e segurança da informação, por área e tipo de vínculo; [F1, q0105]</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IR2: Resposta e evidência sobre definição do quantitativo necessário de pessoal de TIC e segurança da informação; [F1, F2, q2703, q2703evi]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IR3: Resposta e evidência sobre existência de cargos ou funções formalmente atribuídos à TIC e à segurança da informação; [F1, F2, q2708, q2708evi]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IR9: Resposta sobre o modelo de operação predominante de TIC e os quantitativos total e interno de profissionais de TIC, para avaliação da dependência de terceiros e da capacidade interna de coordenação e fiscalização; [F1, q0101, q0105]</w:t>
            </w:r>
          </w:p>
        </w:tc>
        <w:tc>
          <w:tcPr>
            <w:tcW w:w="810" w:type="pct"/>
            <w:vAlign w:val="center"/>
          </w:tcPr>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 COBIT 2019, APO01.05 - Estabelecer papéis e responsabilidades: definir, comunicar e manter papéis e responsabilidades relacionados à governança e gestão de TIC.</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C2: COBIT 2019, APO07.01 - Adquirir e manter pessoal adequado e apropriado: assegurar quantidade e perfil de profissionais compatíveis com as necessidades de TIC.</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C5: COBIT 2019, APO07.05 - Planejar e monitorar o uso de recursos humanos de TI e de negócio: planejar, alocar e acompanhar capacidade de pessoal para iniciativas, operações e serviços de TIC.</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C6: COBIT 2019, APO07.06 - Gerenciar pessoal contratado: controlar o uso de pessoal terceirizado ou externo, preservando responsabilização, supervisão e retenção de conhecimento.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C12: Acórdão 1.411/2014-TCU-Plenário, item 9.1.6.5 - O PDTI deve contemplar o quantitativo necessário ou ideal para a força de trabalho em TI.</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C13: Acórdão 1.411/2014-TCU-Plenário, item 9.1.7 - A organização deve adotar providências para dotar o setor de TI de quantitativo adequado às necessidades de trabalho em TI, consideradas as necessidades das demais áreas.</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C14: Acórdão TCE-RJ nº 44.490/2024-PLEN, itens I.10.11, III.9.11 e IV.11.3 – Referência para avaliação da estrutura de recursos humanos de TIC quanto à suficiência quantitativa e qualitativa e à preservação de capacidade interna em atividades de planejamento, coordenação, fiscalização e controle.</w:t>
            </w:r>
          </w:p>
        </w:tc>
        <w:tc>
          <w:tcPr>
            <w:tcW w:w="1013" w:type="pct"/>
            <w:vAlign w:val="center"/>
          </w:tcPr>
          <w:p ns2:paraId="4C6E5B2E" ns2:textId="42100C78" w:rsidR="00163D04" w:rsidRDefault="00873041" w:rsidP="00EC7681">
            <w:pPr>
              <w:pStyle w:val="Default"/>
              <w:jc w:val="both"/>
              <w:rPr>
                <w:b/>
                <w:bCs/>
                <w:color w:val="auto"/>
                <w:sz w:val="18"/>
                <w:szCs w:val="18"/>
              </w:rPr>
              <w:spacing w:after="120"/>
            </w:pPr>
            <w:r>
              <w:rPr>
                <w:color w:val="auto"/>
                <w:sz w:val="18"/>
                <w:szCs w:val="18"/>
              </w:rPr>
              <w:t>P1: Verificar, por meio da q0105, o quantitativo informado de profissionais que atuam em TIC e segurança da informação, por área e tipo de vínculo; [IR1]</w:t>
            </w:r>
          </w:p>
          <w:p ns2:paraId="4C6E5B2E" ns2:textId="42100C78" w:rsidR="00163D04" w:rsidRDefault="00873041" w:rsidP="00EC7681">
            <w:pPr>
              <w:pStyle w:val="Default"/>
              <w:jc w:val="both"/>
              <w:rPr>
                <w:b/>
                <w:bCs/>
                <w:color w:val="auto"/>
                <w:sz w:val="18"/>
                <w:szCs w:val="18"/>
              </w:rPr>
              <w:spacing w:after="120"/>
            </w:pPr>
            <w:r>
              <w:rPr>
                <w:color w:val="auto"/>
                <w:sz w:val="18"/>
                <w:szCs w:val="18"/>
              </w:rPr>
              <w:t>P2: Verificar, por meio da q2703 e respectiva evidência, se há definição do quantitativo necessário de pessoal de TIC e segurança da informação; [IR2]</w:t>
            </w:r>
          </w:p>
          <w:p ns2:paraId="4C6E5B2E" ns2:textId="42100C78" w:rsidR="00163D04" w:rsidRDefault="00873041" w:rsidP="00EC7681">
            <w:pPr>
              <w:pStyle w:val="Default"/>
              <w:jc w:val="both"/>
              <w:rPr>
                <w:b/>
                <w:bCs/>
                <w:color w:val="auto"/>
                <w:sz w:val="18"/>
                <w:szCs w:val="18"/>
              </w:rPr>
              <w:spacing w:after="120"/>
            </w:pPr>
            <w:r>
              <w:rPr>
                <w:color w:val="auto"/>
                <w:sz w:val="18"/>
                <w:szCs w:val="18"/>
              </w:rPr>
              <w:t>P3: Verificar, por meio da q2708 e da respectiva evidência, se há cargos ou funções formalmente atribuídos à TIC e à segurança da informação; [IR3]</w:t>
            </w:r>
          </w:p>
          <w:p ns2:paraId="4C6E5B2E" ns2:textId="42100C78" w:rsidR="00163D04" w:rsidRDefault="00873041" w:rsidP="00EC7681">
            <w:pPr>
              <w:pStyle w:val="Default"/>
              <w:jc w:val="both"/>
              <w:rPr>
                <w:b/>
                <w:bCs/>
                <w:color w:val="auto"/>
                <w:sz w:val="18"/>
                <w:szCs w:val="18"/>
              </w:rPr>
              <w:spacing w:after="120"/>
            </w:pPr>
            <w:r>
              <w:rPr>
                <w:color w:val="auto"/>
                <w:sz w:val="18"/>
                <w:szCs w:val="18"/>
              </w:rPr>
              <w:t>P7: Verificar, por meio da resposta à q0101 e dos quantitativos informados na q0105, se o modelo de operação de TIC é predominantemente terceirizado, há profissionais atuando em TIC e não há profissionais internos de TIC; [IR9]</w:t>
            </w:r>
          </w:p>
        </w:tc>
        <w:tc>
          <w:tcPr>
            <w:tcW w:w="912" w:type="pct"/>
            <w:vAlign w:val="center"/>
          </w:tcPr>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E1: Quantitativo total declarado igual a zero para profissionais de TIC, desde que a organização tenha informado possuir estrutura formal de TIC; [P1]</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E2: Resposta negativa ou insuficiente sobre definição do quantitativo necessário de pessoal de TIC e segurança da informação, ou evidência inexistente/incompatível/insuficiente; [P2]</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E3: Resposta negativa ou evidência inexistente, incompatível ou insuficiente sobre cargos ou funções formalmente atribuídos à TIC ou à segurança da informação; [P3]</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E7: Modelo de operação de TIC predominantemente terceirizado (q0101 = B), com profissionais atuando em TIC, mas sem profissionais internos de TIC (total de efetivos, comissionados, cedidos e temporários igual a zero); [P7] variaveis_derivadas:</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nome: total_TI descricao: Total de profissionais que atuam regularmente em tecnologia da informação. regra_de_calculo: q0105[TI_efetivos] + q0105[TI_comissionados] + q0105[TI_terceirizados] + q0105[TI_cedidos] + q0105[TI_temporarios] + q0105[TI_estagiarios]</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nome: total_TI_interno descricao: Total de profissionais internos de tecnologia da informação, excluídos terceirizados e estagiários. regra_de_calculo: q0105[TI_efetivos] + q0105[TI_comissionados] + q0105[TI_cedidos] + q0105[TI_temporarios]</w:t>
            </w:r>
          </w:p>
        </w:tc>
        <w:tc>
          <w:tcPr>
            <w:tcW w:w="1051" w:type="pct"/>
            <w:vAlign w:val="center"/>
          </w:tcPr>
          <w:p ns2:paraId="11118515" ns2:textId="02403B9E" w:rsidR="00E214F9" w:rsidRPr="00E214F9" w:rsidRDefault="181793CF" w:rsidP="00E214F9">
            <w:pPr>
              <w:pStyle w:val="PargrafodaLista"/>
              <w:numPr>
                <w:ilvl w:val="0"/>
                <w:numId w:val="11"/>
              </w:numPr>
              <w:rPr>
                <w:rFonts w:ascii="Arial" w:hAnsi="Arial" w:cs="Arial"/>
                <w:sz w:val="18"/>
                <w:szCs w:val="18"/>
              </w:rPr>
              <w:spacing w:after="80"/>
            </w:pPr>
            <w:r>
              <w:rPr>
                <w:rFonts w:ascii="Arial" w:hAnsi="Arial" w:cs="Arial"/>
                <w:sz w:val="18"/>
                <w:szCs w:val="18"/>
                <w:b/>
                <w:bCs/>
              </w:rPr>
              <w:t>A4: Capacidade institucional de pessoal de TIC e segurança da informação insuficientemente estruturada ou dimensionada</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S4.1: Ausência de força de trabalho dedicada à TIC.; Referências: R4.1, P1, E1; Critérios: C2, C13; Encaminhamento: avalie a força de trabalho dedicada à TIC e adote medidas proporcionais para assegurar capacidade mínima de planejamento, gestão, proteção, contratação, fiscalização e sustentação dos serviços e ativos de TIC</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S4.2: Ausência ou insuficiência de definição documentada do quantitativo necessário de pessoal de TIC e segurança da informação.; Referências: R4.2, P2, E2; Critérios: C5, C12; Encaminhamento: estime e mantenha atualizado o quantitativo necessário de pessoal de TIC e segurança da informação, considerando o porte e a complexidade da organização, os serviços críticos, os sistemas mantidos, as contratações vigentes e os riscos relevantes</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S4.3: Ausência de cargos ou funções formalmente atribuídos à TIC ou à segurança da informação.; Referências: R4.3, P3, E3; Critérios: C1, C2; Encaminhamento: avalie a necessidade de formalizar a atribuição de cargos ou funções à TIC e à segurança da informação e adote solução compatível com as necessidades institucionais e a capacidade administrativa da organização</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S4.6: Operação de TIC predominantemente terceirizada sem profissionais internos de TIC.; Referências: R4.6, P7, E7; Critérios: C6, C14; Encaminhamento: avalie o modelo de operação de TIC e adote medidas proporcionais para assegurar capacidade interna suficiente para coordenar, supervisionar e fiscalizar as atividades e os contratos de TIC executados predominantemente por terceiros, preservando responsabilização e retenção de conhecimento</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510AF5" w:rsidRPr="00636B72" ns2:paraId="57D6716F" ns2:textId="77777777" w:rsidTr="6D09F7BC">
        <w:trPr>
          <w:tblHeader/>
        </w:trPr>
        <w:tc>
          <w:tcPr>
            <w:tcW w:w="5000" w:type="pct"/>
            <w:gridSpan w:val="6"/>
          </w:tcPr>
          <w:p ns2:paraId="7D29FCBB" ns2:textId="4EC62946" w:rsidR="005D66B0" w:rsidRDefault="48870B08" w:rsidP="005D66B0">
            <w:pPr>
              <w:spacing w:after="120"/>
              <w:rPr>
                <w:rFonts w:ascii="Arial" w:hAnsi="Arial" w:cs="Arial"/>
                <w:sz w:val="20"/>
                <w:szCs w:val="20"/>
              </w:rPr>
            </w:pPr>
            <w:r>
              <w:rPr>
                <w:rFonts w:ascii="Arial" w:hAnsi="Arial" w:cs="Arial"/>
                <w:b/>
                <w:bCs/>
                <w:sz w:val="20"/>
                <w:szCs w:val="20"/>
              </w:rPr>
              <w:t>Q5: A organização adota práticas mínimas de gestão de serviços de TIC, incluindo catálogo de serviços, níveis de serviço, inventário de ativos, gestão de configuração e tratamento de incidentes, de modo a assegurar eficiência, rastreabilidade e qualidade dos serviços prestados?</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organização mantém catálogo de serviços de TIC atualizado e acessível aos usuários e às equipes de suporte?</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O catálogo de serviços de TIC contém informações mínimas sobre os serviços efetivamente prestados?</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Existem Acordos de Níveis de Serviço ou metas mínimas formalmente definidas e monitoradas para os principais serviços de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organização mantém inventário atualizado dos ativos de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Há processo formal de gestão de configuração, com identificação de itens de configuração relevantes para os serviços de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organização possui processo formal de gestão de incidentes de TIC?</w:t>
            </w:r>
          </w:p>
        </w:tc>
      </w:tr>
      <w:tr w:rsidR="00A20BFA" w:rsidRPr="00636B72" ns2:paraId="6C956695" ns2:textId="77777777" w:rsidTr="6D09F7BC">
        <w:trPr>
          <w:tblHeader/>
        </w:trPr>
        <w:tc>
          <w:tcPr>
            <w:tcW w:w="5000" w:type="pct"/>
            <w:gridSpan w:val="6"/>
            <w:shd w:val="clear" w:color="auto" w:fill="BDD6EE" w:themeFill="accent5" w:themeFillTint="66"/>
          </w:tcPr>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R5.1: Devido à inexistência ou desatualização do catálogo de serviços de TIC, poderá não haver definição clara e padronizada dos serviços prestados, levando à prestação reativa e pouco transparente de serviços de TIC.</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R5.2: Devido à inexistência de níveis de serviço formalmente definidos ou monitorados, poderá não haver parâmetros objetivos de desempenho e qualidade dos serviços de TIC.</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R5.3: Devido à inexistência ou fragilidade do inventário de ativos e da gestão de configuração, poderá não haver controle adequado dos recursos tecnológicos e suas relações com os serviços prestados.</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R5.4: Devido à inexistência ou fragilidade do processo de gestão de incidentes de TIC, poderá não haver tratamento padronizado, tempestivo e rastreável dos incidentes.</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1A774B" w:rsidRPr="00636B72" ns2:paraId="4D48342C" ns2:textId="77777777" w:rsidTr="6D09F7BC">
        <w:trPr>
          <w:tblHeader/>
        </w:trPr>
        <w:tc>
          <w:tcPr>
            <w:tcW w:w="505" w:type="pct"/>
            <w:vAlign w:val="center"/>
          </w:tcPr>
          <w:p ns2:paraId="5C2D7232" ns2:textId="280A56F4"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FONTES DE INFORMAÇÃO</w:t>
            </w:r>
          </w:p>
        </w:tc>
        <w:tc>
          <w:tcPr>
            <w:tcW w:w="709" w:type="pct"/>
            <w:vAlign w:val="center"/>
          </w:tcPr>
          <w:p ns2:paraId="7208CA25" ns2:textId="5376F66C"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INFORMAÇÕES REQUERIDAS</w:t>
            </w:r>
          </w:p>
        </w:tc>
        <w:tc>
          <w:tcPr>
            <w:tcW w:w="810" w:type="pct"/>
            <w:vAlign w:val="center"/>
          </w:tcPr>
          <w:p ns2:paraId="563FD7FD" ns2:textId="77777777" w:rsidR="00282E61" w:rsidRPr="00636B72" w:rsidRDefault="7AB3FDF1" w:rsidP="6D09F7BC">
            <w:pPr>
              <w:spacing w:before="40" w:after="0"/>
              <w:jc w:val="center"/>
              <w:rPr>
                <w:rFonts w:ascii="Arial" w:hAnsi="Arial" w:cs="Arial"/>
                <w:b/>
                <w:bCs/>
                <w:sz w:val="16"/>
                <w:szCs w:val="16"/>
              </w:rPr>
            </w:pPr>
            <w:r>
              <w:rPr>
                <w:rFonts w:ascii="Arial" w:hAnsi="Arial" w:cs="Arial"/>
                <w:b/>
                <w:bCs/>
                <w:sz w:val="16"/>
                <w:szCs w:val="16"/>
              </w:rPr>
              <w:t>CRITÉRIOS</w:t>
            </w:r>
          </w:p>
        </w:tc>
        <w:tc>
          <w:tcPr>
            <w:tcW w:w="1013" w:type="pct"/>
            <w:vAlign w:val="center"/>
          </w:tcPr>
          <w:p ns2:paraId="6A4DEA23" ns2:textId="77777777" w:rsidR="00282E61" w:rsidRPr="00636B72" w:rsidRDefault="00282E61" w:rsidP="000A6618">
            <w:pPr>
              <w:spacing w:before="40" w:after="0"/>
              <w:jc w:val="center"/>
              <w:rPr>
                <w:rFonts w:ascii="Arial" w:hAnsi="Arial" w:cs="Arial"/>
                <w:b/>
                <w:bCs/>
                <w:strike/>
                <w:sz w:val="16"/>
                <w:szCs w:val="16"/>
              </w:rPr>
            </w:pPr>
            <w:r>
              <w:rPr>
                <w:rFonts w:ascii="Arial" w:hAnsi="Arial" w:cs="Arial"/>
                <w:b/>
                <w:bCs/>
                <w:sz w:val="16"/>
                <w:szCs w:val="16"/>
              </w:rPr>
              <w:t>PROCEDIMENTO DE AUDITORIA</w:t>
            </w:r>
          </w:p>
        </w:tc>
        <w:tc>
          <w:tcPr>
            <w:tcW w:w="912" w:type="pct"/>
            <w:vAlign w:val="center"/>
          </w:tcPr>
          <w:p ns2:paraId="4A1C29C4"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EVIDÊNCIAS</w:t>
            </w:r>
          </w:p>
        </w:tc>
        <w:tc>
          <w:tcPr>
            <w:tcW w:w="1051" w:type="pct"/>
            <w:vAlign w:val="center"/>
          </w:tcPr>
          <w:p ns2:paraId="357B1101"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ACHADOS</w:t>
            </w:r>
          </w:p>
        </w:tc>
      </w:tr>
      <w:tr w:rsidR="00EF385F" w:rsidRPr="00636B72" ns2:paraId="70A91EBB" ns2:textId="77777777" w:rsidTr="6D09F7BC">
        <w:tc>
          <w:tcPr>
            <w:tcW w:w="505" w:type="pct"/>
            <w:vAlign w:val="center"/>
          </w:tcPr>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F1: Respostas ao questionário eletrônico iGovTI.</w:t>
            </w:r>
          </w:p>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F2: Evidências anexadas no questionário eletrônico.</w:t>
            </w:r>
          </w:p>
        </w:tc>
        <w:tc>
          <w:tcPr>
            <w:tcW w:w="709" w:type="pct"/>
            <w:vAlign w:val="center"/>
          </w:tcPr>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IR1: Resposta sobre adoção, atualização e disponibilidade do catálogo de serviços de TIC; [F1, q2201, q2201ext[B], q2201ext[C]]</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IR2: Evidência anexada contendo catálogo de serviços de TIC; [F2, q2201evi]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IR3: Resposta sobre adoção da prática, metas no catálogo e existência de ANS ou metas mínimas de nível de serviço; [F1, q2201, q2201ext[A], q2201ext[D]]</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IR4: Resposta sobre monitoramento de ANS ou metas mínimas; [F1, q2201ext[E]]</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IR5: Evidência anexada contendo ANS, metas ou registros de monitoramento; [F2, q2201evi]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IR6: Resposta sobre inventário e controle de dispositivos e softwares de TIC; [F1, q2504, q2504ext[A], q2504ext[B]]</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IR7: Evidência anexada contendo inventário de ativos de TIC; [F2, q2504evi]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IR8: Respostas sobre existência de base consolidada de configurações e formalização do processo de gestão de configuração; [F1, q2203, q2203ext[A], q2203ext[C]]</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IR9: Evidência anexada contendo norma, procedimento, CMDB ou base equivalente de gestão de configuração; [F2, q2203evi]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IR10: Respostas sobre adoção e formalização do processo de gestão de incidentes, critérios de priorização e escalamento e tratamento de incidentes de segurança da informação; [F1, q2204, q2204ext[A], q2204ext[D], q2204ext[E]]</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IR11: Evidência anexada contendo norma, procedimento ou fluxo de gestão de incidentes de TIC; [F2, q2204evi]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IR13: Evidência anexada contendo registros de incidentes, chamados, tickets, relatórios de atendimento ou sistema equivalente; [F2, q2204evi]</w:t>
            </w:r>
          </w:p>
        </w:tc>
        <w:tc>
          <w:tcPr>
            <w:tcW w:w="810" w:type="pct"/>
            <w:vAlign w:val="center"/>
          </w:tcPr>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C2: COBIT 2019, APO09.02 - Catalogar serviços facilitados por TI: definir, manter e comunicar catálogo de serviços, incluindo serviços prestados, características, requisitos e níveis de serviço esperados.</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C3: ITIL 4, prática de gerenciamento de nível de serviço: definir, acordar, monitorar, avaliar e reportar metas e níveis de serviço alinhados às necessidades das áreas usuárias.</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C4: ITIL 4, prática de gerenciamento de ativos de TI: planejar e gerenciar o ciclo de vida dos ativos de TI, mantendo informações suficientes para apoiar controle, custo, risco, valor e tomada de decisão.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C6: COBIT 2019, BAI10.01 - Estabelecer e manter um modelo de configuração: definir escopo, granularidade, atributos, relacionamentos e responsáveis pela base de configuração.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C8: COBIT 2019, DSS02.02, DSS02.04 e DSS02.07 - Requisições de serviço e incidentes gerenciados: registrar, classificar, priorizar, investigar, diagnosticar, resolver, acompanhar e reportar incidentes e requisições de serviço.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C11: Acórdão TCE-RJ nº 44.490/2024-PLEN, itens II.7.4, III.9.4 e V.6.1 – Recomendações quanto à estruturação do catálogo de serviços de TIC, incluindo descrição dos serviços, metas, formas de acesso e disponibilidade aos usuários.</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C12: Acórdão TCE-RJ nº 44.490/2024-PLEN, itens II.7.5, III.9.5 e V.6.2 – Recomendações quanto à gestão de configuração e ativos de TIC, incluindo formalização do processo e manutenção de base consolidada de ativos e itens de configuração.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C13: Acórdão TCE-RJ nº 44.490/2024-PLEN, itens II.7.6, III.9.6 e V.6.3 – Recomendações quanto à formalização e execução do processo de gestão de incidentes, incluindo registros, classificação, escalamento e tratamento.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C14: Acórdão TCE-RJ nº 44.490/2024-PLEN, itens II.7.7, III.9.7 e V.6.4 – Recomendações quanto à definição, pactuação e monitoramento de níveis de serviço.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C15: ABNT NBR ISO/IEC 20000-2:2021, item 8.2.4 – Gerenciamento de catálogo de serviço: orienta que o catálogo descreva os serviços e seus resultados pretendidos, contenha informações relevantes para sua utilização e seja disponibilizado às partes interessadas que necessitem acessá-lo.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C16: ABNT NBR ISO/IEC 20000-2:2021, item 8.2.6 – Gerenciamento de configuração: orienta a identificação, o registro, o controle, o rastreamento e a verificação dos itens de configuração, bem como a manutenção de informações de configuração precisas relacionadas aos serviços.</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C17: ABNT NBR ISO/IEC 20000-2:2021, item 8.6.1 – Gerenciamento de incidente: orienta que os incidentes sejam registrados, classificados e priorizados, que as ações adotadas para sua resolução sejam registradas e rastreáveis e que sejam definidas responsabilidades para seu tratamento, incluindo procedimento documentado para incidentes graves.</w:t>
            </w:r>
          </w:p>
        </w:tc>
        <w:tc>
          <w:tcPr>
            <w:tcW w:w="1013" w:type="pct"/>
            <w:vAlign w:val="center"/>
          </w:tcPr>
          <w:p ns2:paraId="4C6E5B2E" ns2:textId="42100C78" w:rsidR="00163D04" w:rsidRDefault="00873041" w:rsidP="00EC7681">
            <w:pPr>
              <w:pStyle w:val="Default"/>
              <w:jc w:val="both"/>
              <w:rPr>
                <w:b/>
                <w:bCs/>
                <w:color w:val="auto"/>
                <w:sz w:val="18"/>
                <w:szCs w:val="18"/>
              </w:rPr>
              <w:spacing w:after="120"/>
            </w:pPr>
            <w:r>
              <w:rPr>
                <w:color w:val="auto"/>
                <w:sz w:val="18"/>
                <w:szCs w:val="18"/>
              </w:rPr>
              <w:t>P1: Verificar, por meio da q2201 e das q2201ext[B] e [C], a adoção da prática e a atualização e disponibilidade do catálogo de serviços de TIC; [IR1]</w:t>
            </w:r>
          </w:p>
          <w:p ns2:paraId="4C6E5B2E" ns2:textId="42100C78" w:rsidR="00163D04" w:rsidRDefault="00873041" w:rsidP="00EC7681">
            <w:pPr>
              <w:pStyle w:val="Default"/>
              <w:jc w:val="both"/>
              <w:rPr>
                <w:b/>
                <w:bCs/>
                <w:color w:val="auto"/>
                <w:sz w:val="18"/>
                <w:szCs w:val="18"/>
              </w:rPr>
              <w:spacing w:after="120"/>
            </w:pPr>
            <w:r>
              <w:rPr>
                <w:color w:val="auto"/>
                <w:sz w:val="18"/>
                <w:szCs w:val="18"/>
              </w:rPr>
              <w:t>P2: Validar, pela evidência anexada à q2201, se o catálogo contém informações mínimas sobre os serviços prestados; [IR2]</w:t>
            </w:r>
          </w:p>
          <w:p ns2:paraId="4C6E5B2E" ns2:textId="42100C78" w:rsidR="00163D04" w:rsidRDefault="00873041" w:rsidP="00EC7681">
            <w:pPr>
              <w:pStyle w:val="Default"/>
              <w:jc w:val="both"/>
              <w:rPr>
                <w:b/>
                <w:bCs/>
                <w:color w:val="auto"/>
                <w:sz w:val="18"/>
                <w:szCs w:val="18"/>
              </w:rPr>
              <w:spacing w:after="120"/>
            </w:pPr>
            <w:r>
              <w:rPr>
                <w:color w:val="auto"/>
                <w:sz w:val="18"/>
                <w:szCs w:val="18"/>
              </w:rPr>
              <w:t>P3: Verificar, por meio da q2201 e das q2201ext[A], [D] e [E], a adoção, definição, pactuação e monitoramento de metas ou níveis de serviço; [IR3, IR4]</w:t>
            </w:r>
          </w:p>
          <w:p ns2:paraId="4C6E5B2E" ns2:textId="42100C78" w:rsidR="00163D04" w:rsidRDefault="00873041" w:rsidP="00EC7681">
            <w:pPr>
              <w:pStyle w:val="Default"/>
              <w:jc w:val="both"/>
              <w:rPr>
                <w:b/>
                <w:bCs/>
                <w:color w:val="auto"/>
                <w:sz w:val="18"/>
                <w:szCs w:val="18"/>
              </w:rPr>
              <w:spacing w:after="120"/>
            </w:pPr>
            <w:r>
              <w:rPr>
                <w:color w:val="auto"/>
                <w:sz w:val="18"/>
                <w:szCs w:val="18"/>
              </w:rPr>
              <w:t>P4: Validar, pela evidência anexada à q2201, a existência de ANS, metas ou registros de monitoramento; [IR5]</w:t>
            </w:r>
          </w:p>
          <w:p ns2:paraId="4C6E5B2E" ns2:textId="42100C78" w:rsidR="00163D04" w:rsidRDefault="00873041" w:rsidP="00EC7681">
            <w:pPr>
              <w:pStyle w:val="Default"/>
              <w:jc w:val="both"/>
              <w:rPr>
                <w:b/>
                <w:bCs/>
                <w:color w:val="auto"/>
                <w:sz w:val="18"/>
                <w:szCs w:val="18"/>
              </w:rPr>
              <w:spacing w:after="120"/>
            </w:pPr>
            <w:r>
              <w:rPr>
                <w:color w:val="auto"/>
                <w:sz w:val="18"/>
                <w:szCs w:val="18"/>
              </w:rPr>
              <w:t>P5: Verificar, por meio da q2504 e das q2504ext[A] e [B], se a organização inventaria e controla dispositivos e softwares; [IR6]</w:t>
            </w:r>
          </w:p>
          <w:p ns2:paraId="4C6E5B2E" ns2:textId="42100C78" w:rsidR="00163D04" w:rsidRDefault="00873041" w:rsidP="00EC7681">
            <w:pPr>
              <w:pStyle w:val="Default"/>
              <w:jc w:val="both"/>
              <w:rPr>
                <w:b/>
                <w:bCs/>
                <w:color w:val="auto"/>
                <w:sz w:val="18"/>
                <w:szCs w:val="18"/>
              </w:rPr>
              <w:spacing w:after="120"/>
            </w:pPr>
            <w:r>
              <w:rPr>
                <w:color w:val="auto"/>
                <w:sz w:val="18"/>
                <w:szCs w:val="18"/>
              </w:rPr>
              <w:t>P6: Validar, pela evidência anexada à q2504, a existência e atualização do inventário de dispositivos e softwares; [IR7]</w:t>
            </w:r>
          </w:p>
          <w:p ns2:paraId="4C6E5B2E" ns2:textId="42100C78" w:rsidR="00163D04" w:rsidRDefault="00873041" w:rsidP="00EC7681">
            <w:pPr>
              <w:pStyle w:val="Default"/>
              <w:jc w:val="both"/>
              <w:rPr>
                <w:b/>
                <w:bCs/>
                <w:color w:val="auto"/>
                <w:sz w:val="18"/>
                <w:szCs w:val="18"/>
              </w:rPr>
              <w:spacing w:after="120"/>
            </w:pPr>
            <w:r>
              <w:rPr>
                <w:color w:val="auto"/>
                <w:sz w:val="18"/>
                <w:szCs w:val="18"/>
              </w:rPr>
              <w:t>P7: Verificar, por meio da q2203 e das q2203ext[A] e [C], se a organização mantém base consolidada de configurações e processo formalizado de gestão de configuração; [IR8]</w:t>
            </w:r>
          </w:p>
          <w:p ns2:paraId="4C6E5B2E" ns2:textId="42100C78" w:rsidR="00163D04" w:rsidRDefault="00873041" w:rsidP="00EC7681">
            <w:pPr>
              <w:pStyle w:val="Default"/>
              <w:jc w:val="both"/>
              <w:rPr>
                <w:b/>
                <w:bCs/>
                <w:color w:val="auto"/>
                <w:sz w:val="18"/>
                <w:szCs w:val="18"/>
              </w:rPr>
              <w:spacing w:after="120"/>
            </w:pPr>
            <w:r>
              <w:rPr>
                <w:color w:val="auto"/>
                <w:sz w:val="18"/>
                <w:szCs w:val="18"/>
              </w:rPr>
              <w:t>P8: Validar, pela evidência anexada à q2203, a existência de procedimento, base ou mecanismo equivalente de gestão de configuração; [IR9]</w:t>
            </w:r>
          </w:p>
          <w:p ns2:paraId="4C6E5B2E" ns2:textId="42100C78" w:rsidR="00163D04" w:rsidRDefault="00873041" w:rsidP="00EC7681">
            <w:pPr>
              <w:pStyle w:val="Default"/>
              <w:jc w:val="both"/>
              <w:rPr>
                <w:b/>
                <w:bCs/>
                <w:color w:val="auto"/>
                <w:sz w:val="18"/>
                <w:szCs w:val="18"/>
              </w:rPr>
              <w:spacing w:after="120"/>
            </w:pPr>
            <w:r>
              <w:rPr>
                <w:color w:val="auto"/>
                <w:sz w:val="18"/>
                <w:szCs w:val="18"/>
              </w:rPr>
              <w:t>P9: Verificar, por meio da q2204 e das q2204ext[A], [D] e [E], se a organização possui processo de gestão de incidentes formalizado, com critérios de priorização e escalamento e procedimentos para incidentes de segurança da informação; [IR10]</w:t>
            </w:r>
          </w:p>
          <w:p ns2:paraId="4C6E5B2E" ns2:textId="42100C78" w:rsidR="00163D04" w:rsidRDefault="00873041" w:rsidP="00EC7681">
            <w:pPr>
              <w:pStyle w:val="Default"/>
              <w:jc w:val="both"/>
              <w:rPr>
                <w:b/>
                <w:bCs/>
                <w:color w:val="auto"/>
                <w:sz w:val="18"/>
                <w:szCs w:val="18"/>
              </w:rPr>
              <w:spacing w:after="120"/>
            </w:pPr>
            <w:r>
              <w:rPr>
                <w:color w:val="auto"/>
                <w:sz w:val="18"/>
                <w:szCs w:val="18"/>
              </w:rPr>
              <w:t>P10: Validar, pela evidência anexada à q2204, a existência de procedimento ou fluxo formal de gestão de incidentes; [IR11]</w:t>
            </w:r>
          </w:p>
          <w:p ns2:paraId="4C6E5B2E" ns2:textId="42100C78" w:rsidR="00163D04" w:rsidRDefault="00873041" w:rsidP="00EC7681">
            <w:pPr>
              <w:pStyle w:val="Default"/>
              <w:jc w:val="both"/>
              <w:rPr>
                <w:b/>
                <w:bCs/>
                <w:color w:val="auto"/>
                <w:sz w:val="18"/>
                <w:szCs w:val="18"/>
              </w:rPr>
              <w:spacing w:after="120"/>
            </w:pPr>
            <w:r>
              <w:rPr>
                <w:color w:val="auto"/>
                <w:sz w:val="18"/>
                <w:szCs w:val="18"/>
              </w:rPr>
              <w:t>P12: Validar, pela evidência anexada à q2204, a existência de registros rastreáveis de incidentes, chamados ou tickets; [IR13]</w:t>
            </w:r>
          </w:p>
        </w:tc>
        <w:tc>
          <w:tcPr>
            <w:tcW w:w="912" w:type="pct"/>
            <w:vAlign w:val="center"/>
          </w:tcPr>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E1: Resposta negativa ou insuficiente sobre catálogo de serviços de TIC; [P1]</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E2: Ausência, desatualização, inacessibilidade ou insuficiência do catálogo de serviços de TIC; [P2]</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E3: Resposta negativa ou insuficiente sobre ANS ou metas mínimas de nível de serviço; [P3]</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E4: Ausência, desatualização ou insuficiência de ANS, metas ou registros de monitoramento; [P4]</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E5: Resposta negativa ou insuficiente sobre inventário de ativos de TIC; [P5]</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E6: Ausência, desatualização ou insuficiência de inventário de ativos de TIC; [P6]</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E7: Resposta negativa ou insuficiente quanto à manutenção de base consolidada de configurações ou à formalização do processo de gestão de configuração; [P7]</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E8: Ausência, desatualização ou insuficiência de norma, procedimento, CMDB ou base equivalente de gestão de configuração; [P8]</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E9: Resposta negativa ou insuficiente sobre processo formal de gestão de incidentes de TIC; [P9]</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E10: Ausência, desatualização ou insuficiência de norma, procedimento ou fluxo formal de gestão de incidentes; [P10]</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E12: Ausência, insuficiência ou baixa rastreabilidade dos registros de incidentes, chamados ou tickets; [P12]</w:t>
            </w:r>
          </w:p>
        </w:tc>
        <w:tc>
          <w:tcPr>
            <w:tcW w:w="1051" w:type="pct"/>
            <w:vAlign w:val="center"/>
          </w:tcPr>
          <w:p ns2:paraId="11118515" ns2:textId="02403B9E" w:rsidR="00E214F9" w:rsidRPr="00E214F9" w:rsidRDefault="181793CF" w:rsidP="00E214F9">
            <w:pPr>
              <w:pStyle w:val="PargrafodaLista"/>
              <w:numPr>
                <w:ilvl w:val="0"/>
                <w:numId w:val="11"/>
              </w:numPr>
              <w:rPr>
                <w:rFonts w:ascii="Arial" w:hAnsi="Arial" w:cs="Arial"/>
                <w:sz w:val="18"/>
                <w:szCs w:val="18"/>
              </w:rPr>
              <w:spacing w:after="80"/>
            </w:pPr>
            <w:r>
              <w:rPr>
                <w:rFonts w:ascii="Arial" w:hAnsi="Arial" w:cs="Arial"/>
                <w:sz w:val="18"/>
                <w:szCs w:val="18"/>
                <w:b/>
                <w:bCs/>
              </w:rPr>
              <w:t>A5: Gestão de serviços de TIC insuficiente para assegurar controle sobre serviços, ativos e incidentes</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S5.1: Inexistência ou insuficiência do catálogo de serviços de TIC.; Referências: R5.1, P1, E1, P2, E2; Critérios: C2, C11, C15; Encaminhamento: institua e mantenha atualizado catálogo de serviços de TIC, atentando-se, minimamente, em identificar os serviços efetivamente prestados, seus responsáveis, usuários, condições de acesso e informações necessárias ao atendimento das áreas demandantes</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S5.2: Ausência ou fragilidade na definição e no monitoramento de níveis mínimos de serviço de TIC.; Referências: R5.2, P3, E3, P4, E4; Critérios: C3, C14; Encaminhamento: defina, acorde e monitore níveis de serviço para os serviços de TIC relevantes, estabelecendo metas e mecanismos de acompanhamento de seu cumprimento</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S5.3: Inventário e controle de dispositivos e softwares de TIC inexistente ou insuficiente.; Referências: R5.3, P5, E5, P6, E6; Critérios: C4, C12; Encaminhamento: estabeleça e mantenha inventário atualizado dos ativos tecnológicos sob gestão da organização, contemplando, minimamente, os dispositivos e softwares utilizados, com informações suficientes para sua identificação e controle</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S5.4: Ausência ou fragilidade do processo de gestão de configuração.; Referências: R5.3, P7, E7, P8, E8; Critérios: C6, C12, C16; Encaminhamento: formalize e execute processo de gestão de configuração, atentando-se, minimamente, em manter base, ferramenta ou registro equivalente com os itens de configuração relevantes, seus responsáveis e os relacionamentos entre ativos</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S5.5: Inexistência ou fragilidade do processo de gestão de incidentes de TIC.; Referências: R5.4, P9, E9, P10, E10, P12, E12; Critérios: C8, C13, C17; Encaminhamento: formalize e execute processo de gestão de incidentes de TIC, atentando-se, minimamente, em definir papéis, critérios de priorização e escalamento, tratamento de incidentes de serviços e de segurança da informação e registro sistemático e rastreável das ocorrências</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510AF5" w:rsidRPr="00636B72" ns2:paraId="57D6716F" ns2:textId="77777777" w:rsidTr="6D09F7BC">
        <w:trPr>
          <w:tblHeader/>
        </w:trPr>
        <w:tc>
          <w:tcPr>
            <w:tcW w:w="5000" w:type="pct"/>
            <w:gridSpan w:val="6"/>
          </w:tcPr>
          <w:p ns2:paraId="7D29FCBB" ns2:textId="4EC62946" w:rsidR="005D66B0" w:rsidRDefault="48870B08" w:rsidP="005D66B0">
            <w:pPr>
              <w:spacing w:after="120"/>
              <w:rPr>
                <w:rFonts w:ascii="Arial" w:hAnsi="Arial" w:cs="Arial"/>
                <w:sz w:val="20"/>
                <w:szCs w:val="20"/>
              </w:rPr>
            </w:pPr>
            <w:r>
              <w:rPr>
                <w:rFonts w:ascii="Arial" w:hAnsi="Arial" w:cs="Arial"/>
                <w:b/>
                <w:bCs/>
                <w:sz w:val="20"/>
                <w:szCs w:val="20"/>
              </w:rPr>
              <w:t>Q6: A organização adota processo formal e padronizado para a fase preparatória das contratações de TIC, com responsabilidades definidas, análise técnica pela área de TIC e alinhamento aos instrumentos de planejamento?</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organização possui fluxo formalizado e padronizado para contratações de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organização definiu papéis e responsabilidades nas contratações de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organização dispõe de modelos, manuais, checklists ou normativos orientativos para elaboração dos artefatos das contratações de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As contratações de TIC são submetidas à análise prévia e aprovação técnica da área de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As contratações de TIC estão alinhadas ao plano de TIC e ao plano de contratações?</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 equipe de planejamento da contratação é formalmente designada e possui participação técnica de TIC?</w:t>
            </w:r>
          </w:p>
        </w:tc>
      </w:tr>
      <w:tr w:rsidR="00A20BFA" w:rsidRPr="00636B72" ns2:paraId="6C956695" ns2:textId="77777777" w:rsidTr="6D09F7BC">
        <w:trPr>
          <w:tblHeader/>
        </w:trPr>
        <w:tc>
          <w:tcPr>
            <w:tcW w:w="5000" w:type="pct"/>
            <w:gridSpan w:val="6"/>
            <w:shd w:val="clear" w:color="auto" w:fill="BDD6EE" w:themeFill="accent5" w:themeFillTint="66"/>
          </w:tcPr>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R6.1: Devido à inexistência ou fragilidade de fluxo formal e padronizado para contratações de TIC, poderá não haver clareza quanto às etapas, instâncias decisórias e critérios de aprovação.</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R6.2: Devido à ausência de definição formal de papéis, responsabilidades, modelos e orientações, poderá haver instrução processual incompleta, inconsistente ou tecnicamente frágil.</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R6.3: Devido à ausência de análise técnica prévia da área de TIC e de alinhamento ao planejamento, poderão ser contratadas soluções incompatíveis com padrões técnicos, requisitos institucionais ou prioridades definidas.</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R6.4: Devido à ausência de equipe de planejamento formalmente designada e de participação técnica da área de TIC, a instrução da contratação poderá não considerar adequadamente as necessidades institucionais e os aspectos técnicos da solução.</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1A774B" w:rsidRPr="00636B72" ns2:paraId="4D48342C" ns2:textId="77777777" w:rsidTr="6D09F7BC">
        <w:trPr>
          <w:tblHeader/>
        </w:trPr>
        <w:tc>
          <w:tcPr>
            <w:tcW w:w="505" w:type="pct"/>
            <w:vAlign w:val="center"/>
          </w:tcPr>
          <w:p ns2:paraId="5C2D7232" ns2:textId="280A56F4"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FONTES DE INFORMAÇÃO</w:t>
            </w:r>
          </w:p>
        </w:tc>
        <w:tc>
          <w:tcPr>
            <w:tcW w:w="709" w:type="pct"/>
            <w:vAlign w:val="center"/>
          </w:tcPr>
          <w:p ns2:paraId="7208CA25" ns2:textId="5376F66C"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INFORMAÇÕES REQUERIDAS</w:t>
            </w:r>
          </w:p>
        </w:tc>
        <w:tc>
          <w:tcPr>
            <w:tcW w:w="810" w:type="pct"/>
            <w:vAlign w:val="center"/>
          </w:tcPr>
          <w:p ns2:paraId="563FD7FD" ns2:textId="77777777" w:rsidR="00282E61" w:rsidRPr="00636B72" w:rsidRDefault="7AB3FDF1" w:rsidP="6D09F7BC">
            <w:pPr>
              <w:spacing w:before="40" w:after="0"/>
              <w:jc w:val="center"/>
              <w:rPr>
                <w:rFonts w:ascii="Arial" w:hAnsi="Arial" w:cs="Arial"/>
                <w:b/>
                <w:bCs/>
                <w:sz w:val="16"/>
                <w:szCs w:val="16"/>
              </w:rPr>
            </w:pPr>
            <w:r>
              <w:rPr>
                <w:rFonts w:ascii="Arial" w:hAnsi="Arial" w:cs="Arial"/>
                <w:b/>
                <w:bCs/>
                <w:sz w:val="16"/>
                <w:szCs w:val="16"/>
              </w:rPr>
              <w:t>CRITÉRIOS</w:t>
            </w:r>
          </w:p>
        </w:tc>
        <w:tc>
          <w:tcPr>
            <w:tcW w:w="1013" w:type="pct"/>
            <w:vAlign w:val="center"/>
          </w:tcPr>
          <w:p ns2:paraId="6A4DEA23" ns2:textId="77777777" w:rsidR="00282E61" w:rsidRPr="00636B72" w:rsidRDefault="00282E61" w:rsidP="000A6618">
            <w:pPr>
              <w:spacing w:before="40" w:after="0"/>
              <w:jc w:val="center"/>
              <w:rPr>
                <w:rFonts w:ascii="Arial" w:hAnsi="Arial" w:cs="Arial"/>
                <w:b/>
                <w:bCs/>
                <w:strike/>
                <w:sz w:val="16"/>
                <w:szCs w:val="16"/>
              </w:rPr>
            </w:pPr>
            <w:r>
              <w:rPr>
                <w:rFonts w:ascii="Arial" w:hAnsi="Arial" w:cs="Arial"/>
                <w:b/>
                <w:bCs/>
                <w:sz w:val="16"/>
                <w:szCs w:val="16"/>
              </w:rPr>
              <w:t>PROCEDIMENTO DE AUDITORIA</w:t>
            </w:r>
          </w:p>
        </w:tc>
        <w:tc>
          <w:tcPr>
            <w:tcW w:w="912" w:type="pct"/>
            <w:vAlign w:val="center"/>
          </w:tcPr>
          <w:p ns2:paraId="4A1C29C4"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EVIDÊNCIAS</w:t>
            </w:r>
          </w:p>
        </w:tc>
        <w:tc>
          <w:tcPr>
            <w:tcW w:w="1051" w:type="pct"/>
            <w:vAlign w:val="center"/>
          </w:tcPr>
          <w:p ns2:paraId="357B1101"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ACHADOS</w:t>
            </w:r>
          </w:p>
        </w:tc>
      </w:tr>
      <w:tr w:rsidR="00EF385F" w:rsidRPr="00636B72" ns2:paraId="70A91EBB" ns2:textId="77777777" w:rsidTr="6D09F7BC">
        <w:tc>
          <w:tcPr>
            <w:tcW w:w="505" w:type="pct"/>
            <w:vAlign w:val="center"/>
          </w:tcPr>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F1: Respostas ao questionário eletrônico iGovTI.</w:t>
            </w:r>
          </w:p>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F2: Evidências anexadas no questionário eletrônico.</w:t>
            </w:r>
          </w:p>
        </w:tc>
        <w:tc>
          <w:tcPr>
            <w:tcW w:w="709" w:type="pct"/>
            <w:vAlign w:val="center"/>
          </w:tcPr>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IR1: Resposta sobre definição do processo de planejamento das contratações de TIC, incluindo etapas, responsabilidades e artefatos resultantes; [F1, q2801, q2801ext[A]]</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IR2: Resposta e evidência sobre papéis e responsabilidades nas contratações de TIC; [F1, F2, q2801, q2801evi]</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IR3: Resposta sobre disponibilização de modelos e artefatos padronizados para o planejamento das contratações de TIC; [F1, q2801, q2801ext[B]]</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IR4: Resposta sobre submissão obrigatória das contratações de TIC à análise prévia e aprovação técnica da área de TIC; [F1, q2804[A]]</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IR5: Evidência específica sobre aprovação técnica da área de TIC; [F2, q2804eviA]</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IR6: Resposta sobre alinhamento das contratações aos instrumentos de planejamento e ao Plano de Contratações Anual; [F1, q2804[B]]</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IR7: Resposta sobre equipe de planejamento formalmente designada e com participação técnica de TIC; [F1, q2804[C]]</w:t>
            </w:r>
          </w:p>
        </w:tc>
        <w:tc>
          <w:tcPr>
            <w:tcW w:w="810" w:type="pct"/>
            <w:vAlign w:val="center"/>
          </w:tcPr>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 Lei nº 14.133/2021, art. 11, parágrafo único: responsabilidade da alta administração pela governança das contratações, com processos, estruturas, gestão de riscos e controles internos.</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C2: Lei nº 14.133/2021, arts. 12, VII e §1º, e 18, caput e §1º, II – a fase preparatória deve compatibilizar-se com o Plano de Contratações Anual, quando elaborado, e deve ser demonstrado o alinhamento da contratação com o planejamento da Administração.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C3: Lei nº 14.133/2021, art. 19, inciso IV: instituição de modelos de minutas de editais, termos de referência, contratos padronizados e demais documentos.</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C4: Lei nº 14.133/2021, art. 7º, caput, incisos I a III e §1º: designação de agentes públicos para funções essenciais, observados atribuições, formação, segregação de funções e inexistência de vínculos que comprometam a atuação.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C5: COBIT 2019, BAI02.04 - Obter aprovação dos requisitos da solução: obter aprovação formal dos requisitos funcionais, técnicos, de segurança e de conformidade antes de prosseguir com a solução.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C8: Instrução Normativa SGD/ME nº 94/2022, arts. 2º, IV, 9º, 10, 11 e 12, §6º – referência de boa prática para estruturação da fase de planejamento das contratações de TIC, instituição da Equipe de Planejamento da Contratação e participação do integrante técnico da área de TIC, observada sua aplicação direta aos integrantes do SISP e as hipóteses de simplificação de procedimentos previstas na norma.</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C9: Acórdão TCE-RJ nº 44.490/2024-PLEN, itens III.7 e IV.9 – Determinações para estruturação do processo de planejamento anual das contratações, contemplando consolidação das demandas, participação das áreas, aprovação e publicidade do plano.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C10: Acórdão nº 2.342/2016-TCU-Plenário, item 9.1.7 – Precedente quanto à definição, aprovação e formalização de processo de trabalho para o planejamento de cada contratação, com controles internos mínimos.</w:t>
            </w:r>
          </w:p>
        </w:tc>
        <w:tc>
          <w:tcPr>
            <w:tcW w:w="1013" w:type="pct"/>
            <w:vAlign w:val="center"/>
          </w:tcPr>
          <w:p ns2:paraId="4C6E5B2E" ns2:textId="42100C78" w:rsidR="00163D04" w:rsidRDefault="00873041" w:rsidP="00EC7681">
            <w:pPr>
              <w:pStyle w:val="Default"/>
              <w:jc w:val="both"/>
              <w:rPr>
                <w:b/>
                <w:bCs/>
                <w:color w:val="auto"/>
                <w:sz w:val="18"/>
                <w:szCs w:val="18"/>
              </w:rPr>
              <w:spacing w:after="120"/>
            </w:pPr>
            <w:r>
              <w:rPr>
                <w:color w:val="auto"/>
                <w:sz w:val="18"/>
                <w:szCs w:val="18"/>
              </w:rPr>
              <w:t>P1: Verificar, por meio da q2801 e das q2801ext[A] e [B], se o processo de planejamento das contratações de TIC possui etapas e responsabilidades definidas e artefatos padronizados; [IR1, IR2, IR3]</w:t>
            </w:r>
          </w:p>
          <w:p ns2:paraId="4C6E5B2E" ns2:textId="42100C78" w:rsidR="00163D04" w:rsidRDefault="00873041" w:rsidP="00EC7681">
            <w:pPr>
              <w:pStyle w:val="Default"/>
              <w:jc w:val="both"/>
              <w:rPr>
                <w:b/>
                <w:bCs/>
                <w:color w:val="auto"/>
                <w:sz w:val="18"/>
                <w:szCs w:val="18"/>
              </w:rPr>
              <w:spacing w:after="120"/>
            </w:pPr>
            <w:r>
              <w:rPr>
                <w:color w:val="auto"/>
                <w:sz w:val="18"/>
                <w:szCs w:val="18"/>
              </w:rPr>
              <w:t>P2: Validar, pelas evidências anexadas à q2801, a existência de fluxo, papéis, responsabilidades, modelos, manuais, checklists ou normativos orientativos; [IR1, IR2, IR3]</w:t>
            </w:r>
          </w:p>
          <w:p ns2:paraId="4C6E5B2E" ns2:textId="42100C78" w:rsidR="00163D04" w:rsidRDefault="00873041" w:rsidP="00EC7681">
            <w:pPr>
              <w:pStyle w:val="Default"/>
              <w:jc w:val="both"/>
              <w:rPr>
                <w:b/>
                <w:bCs/>
                <w:color w:val="auto"/>
                <w:sz w:val="18"/>
                <w:szCs w:val="18"/>
              </w:rPr>
              <w:spacing w:after="120"/>
            </w:pPr>
            <w:r>
              <w:rPr>
                <w:color w:val="auto"/>
                <w:sz w:val="18"/>
                <w:szCs w:val="18"/>
              </w:rPr>
              <w:t>P3: Verificar, por meio da q2804[A] e da q2804eviA, se as contratações de TIC são submetidas à análise prévia e aprovação técnica da área de TIC; [IR4, IR5]</w:t>
            </w:r>
          </w:p>
          <w:p ns2:paraId="4C6E5B2E" ns2:textId="42100C78" w:rsidR="00163D04" w:rsidRDefault="00873041" w:rsidP="00EC7681">
            <w:pPr>
              <w:pStyle w:val="Default"/>
              <w:jc w:val="both"/>
              <w:rPr>
                <w:b/>
                <w:bCs/>
                <w:color w:val="auto"/>
                <w:sz w:val="18"/>
                <w:szCs w:val="18"/>
              </w:rPr>
              <w:spacing w:after="120"/>
            </w:pPr>
            <w:r>
              <w:rPr>
                <w:color w:val="auto"/>
                <w:sz w:val="18"/>
                <w:szCs w:val="18"/>
              </w:rPr>
              <w:t>P4: Verificar, por meio da q2804[B], se as contratações de TIC estão alinhadas aos instrumentos de planejamento e ao Plano de Contratações Anual; [IR6]</w:t>
            </w:r>
          </w:p>
          <w:p ns2:paraId="4C6E5B2E" ns2:textId="42100C78" w:rsidR="00163D04" w:rsidRDefault="00873041" w:rsidP="00EC7681">
            <w:pPr>
              <w:pStyle w:val="Default"/>
              <w:jc w:val="both"/>
              <w:rPr>
                <w:b/>
                <w:bCs/>
                <w:color w:val="auto"/>
                <w:sz w:val="18"/>
                <w:szCs w:val="18"/>
              </w:rPr>
              <w:spacing w:after="120"/>
            </w:pPr>
            <w:r>
              <w:rPr>
                <w:color w:val="auto"/>
                <w:sz w:val="18"/>
                <w:szCs w:val="18"/>
              </w:rPr>
              <w:t>P5: Verificar, por meio da q2804[C], se a equipe de planejamento da contratação é formalmente designada e possui participação técnica de TIC; [IR7]</w:t>
            </w:r>
          </w:p>
        </w:tc>
        <w:tc>
          <w:tcPr>
            <w:tcW w:w="912" w:type="pct"/>
            <w:vAlign w:val="center"/>
          </w:tcPr>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E1: Resposta negativa ou insuficiente sobre processo formal e padronizado para contratações de TIC; [P1]</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E2: Ausência, desatualização ou insuficiência de evidências de fluxo, papéis, responsabilidades, modelos, manuais, checklists ou normativos orientativos; [P2]</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E3: Resposta negativa ou insuficiente sobre análise prévia e aprovação técnica da área de TIC; [P3]</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E4: Quando declarada a adoção da prática, ausência ou insuficiência de norma que estabeleça a análise e aprovação técnica da área de TIC ou de evidência de sua aplicação em caso concreto; [P3]</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E5: Resposta negativa ou insuficiente sobre aderência das contratações ao plano de TIC ou ao plano de contratações; [P4]</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E6: Resposta negativa ou insuficiente sobre equipe de planejamento formalmente designada e com participação técnica de TIC; [P5]</w:t>
            </w:r>
          </w:p>
        </w:tc>
        <w:tc>
          <w:tcPr>
            <w:tcW w:w="1051" w:type="pct"/>
            <w:vAlign w:val="center"/>
          </w:tcPr>
          <w:p ns2:paraId="11118515" ns2:textId="02403B9E" w:rsidR="00E214F9" w:rsidRPr="00E214F9" w:rsidRDefault="181793CF" w:rsidP="00E214F9">
            <w:pPr>
              <w:pStyle w:val="PargrafodaLista"/>
              <w:numPr>
                <w:ilvl w:val="0"/>
                <w:numId w:val="11"/>
              </w:numPr>
              <w:rPr>
                <w:rFonts w:ascii="Arial" w:hAnsi="Arial" w:cs="Arial"/>
                <w:sz w:val="18"/>
                <w:szCs w:val="18"/>
              </w:rPr>
              <w:spacing w:after="80"/>
            </w:pPr>
            <w:r>
              <w:rPr>
                <w:rFonts w:ascii="Arial" w:hAnsi="Arial" w:cs="Arial"/>
                <w:sz w:val="18"/>
                <w:szCs w:val="18"/>
                <w:b/>
                <w:bCs/>
              </w:rPr>
              <w:t>A6: Fragilidades na governança técnica da fase preparatória das contratações de TIC</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S6.1: Inexistência ou fragilidade de processo formal e padronizado para o planejamento das contratações de TIC.; Referências: R6.1, R6.2, P1, E1, P2, E2; Critérios: C1, C3, C10; Encaminhamento: formalize e padronize o processo de planejamento das contratações de TIC, definindo etapas, responsabilidades e artefatos aplicáveis, podendo adotar modelos institucionais ou centralizados já existentes e prevendo fluxos proporcionais à natureza, complexidade e risco da contratação</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S6.2: Contratações de TIC sem análise prévia e aprovação técnica da área de TIC.; Referências: R6.3, P3, E3, E4; Critérios: C1, C5, C8; Encaminhamento: estabeleça a submissão das contratações de TIC à análise prévia da área de TIC, de modo a verificar a compatibilidade da solução com os padrões tecnológicos, os requisitos institucionais e a arquitetura existente, admitindo procedimentos simplificados e proporcionais à natureza, ao risco e ao valor da contratação, preservada análise técnica compatível</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S6.3: Contratações de TIC sem alinhamento ao planejamento de TIC e ao Plano de Contratações Anual.; Referências: R6.3, P4, E5; Critérios: C1, C2, C9; Encaminhamento: assegure que as contratações de TIC sejam compatíveis com os instrumentos de planejamento de TIC e, quando elaborado, com o Plano de Contratações Anual, promovendo os ajustes ou justificativas cabíveis nos casos excepcionais</w:t>
            </w:r>
          </w:p>
          <w:p ns2:paraId="11118515" ns2:textId="02403B9E" w:rsidR="00E214F9" w:rsidRPr="00E214F9" w:rsidRDefault="181793CF" w:rsidP="00E214F9">
            <w:pPr>
              <w:pStyle w:val="PargrafodaLista"/>
              <w:numPr>
                <w:ilvl w:val="0"/>
                <w:numId w:val="11"/>
              </w:numPr>
              <w:rPr>
                <w:rFonts w:ascii="Arial" w:hAnsi="Arial" w:cs="Arial"/>
                <w:sz w:val="18"/>
                <w:szCs w:val="18"/>
              </w:rPr>
              <w:ind w:left="360"/>
              <w:spacing w:after="120"/>
            </w:pPr>
            <w:r>
              <w:rPr>
                <w:rFonts w:ascii="Arial" w:hAnsi="Arial" w:cs="Arial"/>
                <w:sz w:val="18"/>
                <w:szCs w:val="18"/>
              </w:rPr>
              <w:t>- S6.4: Contratações de TIC sem designação de equipe de planejamento com integrante técnico da área de TIC.; Referências: R6.4, P5, E6; Critérios: C1, C4, C8; Encaminhamento: designe formalmente equipe de planejamento para as contratações de TIC, atentando-se, minimamente, em assegurar a participação de integrante da área requisitante e da área técnica de TIC, com definição das responsabilidades de seus integrantes</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510AF5" w:rsidRPr="00636B72" ns2:paraId="57D6716F" ns2:textId="77777777" w:rsidTr="6D09F7BC">
        <w:trPr>
          <w:tblHeader/>
        </w:trPr>
        <w:tc>
          <w:tcPr>
            <w:tcW w:w="5000" w:type="pct"/>
            <w:gridSpan w:val="6"/>
          </w:tcPr>
          <w:p ns2:paraId="7D29FCBB" ns2:textId="4EC62946" w:rsidR="005D66B0" w:rsidRDefault="48870B08" w:rsidP="005D66B0">
            <w:pPr>
              <w:spacing w:after="120"/>
              <w:rPr>
                <w:rFonts w:ascii="Arial" w:hAnsi="Arial" w:cs="Arial"/>
                <w:sz w:val="20"/>
                <w:szCs w:val="20"/>
              </w:rPr>
            </w:pPr>
            <w:r>
              <w:rPr>
                <w:rFonts w:ascii="Arial" w:hAnsi="Arial" w:cs="Arial"/>
                <w:b/>
                <w:bCs/>
                <w:sz w:val="20"/>
                <w:szCs w:val="20"/>
              </w:rPr>
              <w:t>QTD: Qual é o grau de adoção das práticas de governança e gestão de TIC pelas organizações avaliadas no iGovTI 2026, globalmente e por componente e dimensão? (levantamento)</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Como se distribuem os resultados do iGovTI 2026 entre as faixas de maturidade definidas na metodologia?</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Qual é o desempenho agregado das organizações nos componentes Governança de TIC e Gestão de TIC e nas dimensões que compõem o índice?</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Há diferenças relevantes nos resultados entre segmentos institucionais com quantidade suficiente de organizações para análise?</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Quais práticas avaliadas apresentam os maiores e os menores graus de adoção?</w:t>
            </w:r>
          </w:p>
        </w:tc>
      </w:tr>
      <w:tr w:rsidR="00A20BFA" w:rsidRPr="00636B72" ns2:paraId="6C956695" ns2:textId="77777777" w:rsidTr="6D09F7BC">
        <w:trPr>
          <w:tblHeader/>
        </w:trPr>
        <w:tc>
          <w:tcPr>
            <w:tcW w:w="5000" w:type="pct"/>
            <w:gridSpan w:val="6"/>
            <w:shd w:val="clear" w:color="auto" w:fill="BDD6EE" w:themeFill="accent5" w:themeFillTint="66"/>
          </w:tcPr>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Não se aplica: questão de levantamento, sem formulação de risco de achado.</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1A774B" w:rsidRPr="00636B72" ns2:paraId="4D48342C" ns2:textId="77777777" w:rsidTr="6D09F7BC">
        <w:trPr>
          <w:tblHeader/>
        </w:trPr>
        <w:tc>
          <w:tcPr>
            <w:tcW w:w="505" w:type="pct"/>
            <w:vAlign w:val="center"/>
          </w:tcPr>
          <w:p ns2:paraId="5C2D7232" ns2:textId="280A56F4"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FONTES DE INFORMAÇÃO</w:t>
            </w:r>
          </w:p>
        </w:tc>
        <w:tc>
          <w:tcPr>
            <w:tcW w:w="709" w:type="pct"/>
            <w:vAlign w:val="center"/>
          </w:tcPr>
          <w:p ns2:paraId="7208CA25" ns2:textId="5376F66C"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INFORMAÇÕES REQUERIDAS</w:t>
            </w:r>
          </w:p>
        </w:tc>
        <w:tc>
          <w:tcPr>
            <w:tcW w:w="810" w:type="pct"/>
            <w:vAlign w:val="center"/>
          </w:tcPr>
          <w:p ns2:paraId="563FD7FD" ns2:textId="77777777" w:rsidR="00282E61" w:rsidRPr="00636B72" w:rsidRDefault="7AB3FDF1" w:rsidP="6D09F7BC">
            <w:pPr>
              <w:spacing w:before="40" w:after="0"/>
              <w:jc w:val="center"/>
              <w:rPr>
                <w:rFonts w:ascii="Arial" w:hAnsi="Arial" w:cs="Arial"/>
                <w:b/>
                <w:bCs/>
                <w:sz w:val="16"/>
                <w:szCs w:val="16"/>
              </w:rPr>
            </w:pPr>
            <w:r>
              <w:rPr>
                <w:rFonts w:ascii="Arial" w:hAnsi="Arial" w:cs="Arial"/>
                <w:b/>
                <w:bCs/>
                <w:sz w:val="16"/>
                <w:szCs w:val="16"/>
              </w:rPr>
              <w:t>CRITÉRIOS</w:t>
            </w:r>
          </w:p>
        </w:tc>
        <w:tc>
          <w:tcPr>
            <w:tcW w:w="1013" w:type="pct"/>
            <w:vAlign w:val="center"/>
          </w:tcPr>
          <w:p ns2:paraId="6A4DEA23" ns2:textId="77777777" w:rsidR="00282E61" w:rsidRPr="00636B72" w:rsidRDefault="00282E61" w:rsidP="000A6618">
            <w:pPr>
              <w:spacing w:before="40" w:after="0"/>
              <w:jc w:val="center"/>
              <w:rPr>
                <w:rFonts w:ascii="Arial" w:hAnsi="Arial" w:cs="Arial"/>
                <w:b/>
                <w:bCs/>
                <w:strike/>
                <w:sz w:val="16"/>
                <w:szCs w:val="16"/>
              </w:rPr>
            </w:pPr>
            <w:r>
              <w:rPr>
                <w:rFonts w:ascii="Arial" w:hAnsi="Arial" w:cs="Arial"/>
                <w:b/>
                <w:bCs/>
                <w:sz w:val="16"/>
                <w:szCs w:val="16"/>
              </w:rPr>
              <w:t>PROCEDIMENTO DE AUDITORIA</w:t>
            </w:r>
          </w:p>
        </w:tc>
        <w:tc>
          <w:tcPr>
            <w:tcW w:w="912" w:type="pct"/>
            <w:vAlign w:val="center"/>
          </w:tcPr>
          <w:p ns2:paraId="4A1C29C4"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EVIDÊNCIAS</w:t>
            </w:r>
          </w:p>
        </w:tc>
        <w:tc>
          <w:tcPr>
            <w:tcW w:w="1051" w:type="pct"/>
            <w:vAlign w:val="center"/>
          </w:tcPr>
          <w:p ns2:paraId="357B1101"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ANÁLISE / RESULTADOS</w:t>
            </w:r>
          </w:p>
        </w:tc>
      </w:tr>
      <w:tr w:rsidR="00EF385F" w:rsidRPr="00636B72" ns2:paraId="70A91EBB" ns2:textId="77777777" w:rsidTr="6D09F7BC">
        <w:tc>
          <w:tcPr>
            <w:tcW w:w="505" w:type="pct"/>
            <w:vAlign w:val="center"/>
          </w:tcPr>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F1: Respostas válidas e processadas do questionário eletrônico iGovTI 2026.</w:t>
            </w:r>
          </w:p>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F2: Metodologia de cálculo e estrutura do índice iGovTI 2026.</w:t>
            </w:r>
          </w:p>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F3: Resultados individuais e agregados calculados para o iGovTI 2026, seus componentes e suas dimensões.</w:t>
            </w:r>
          </w:p>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F4: Cadastro das organizações avaliadas, com os atributos institucionais necessários aos recortes analíticos.</w:t>
            </w:r>
          </w:p>
        </w:tc>
        <w:tc>
          <w:tcPr>
            <w:tcW w:w="709" w:type="pct"/>
            <w:vAlign w:val="center"/>
          </w:tcPr>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IR1: Universo de organizações avaliadas, respondentes válidos e respectivos atributos institucionais; [F1, F4]</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IR2: Resultado individual do iGovTI 2026, respectiva faixa de maturidade e resultados dos componentes Governança de TIC e Gestão de TIC; [F2, F3]</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IR3: Resultados individuais e agregados das dimensões Planejamento de TIC, Gestão de serviços de TIC, Riscos de TI e de segurança da informação, Estrutura de segurança da informação, Processos de segurança da informação e Gestão de soluções de TIC; [F2, F3]</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IR4: Pontuações normalizadas das práticas e dos itens que compõem o iGovTI 2026, com seus denominadores e regras de tratamento; [F1, F2, F3]</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IR5: Registros de completude, consistência, ajustes e limitações relevantes das bases utilizadas no cálculo; [F1, F2, F3]</w:t>
            </w:r>
          </w:p>
        </w:tc>
        <w:tc>
          <w:tcPr>
            <w:tcW w:w="810" w:type="pct"/>
            <w:vAlign w:val="center"/>
          </w:tcPr>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Não se aplica como critério de conformidade: análise orientada pelas fontes e pelos procedimentos definidos.</w:t>
            </w:r>
          </w:p>
        </w:tc>
        <w:tc>
          <w:tcPr>
            <w:tcW w:w="1013" w:type="pct"/>
            <w:vAlign w:val="center"/>
          </w:tcPr>
          <w:p ns2:paraId="4C6E5B2E" ns2:textId="42100C78" w:rsidR="00163D04" w:rsidRDefault="00873041" w:rsidP="00EC7681">
            <w:pPr>
              <w:pStyle w:val="Default"/>
              <w:jc w:val="both"/>
              <w:rPr>
                <w:b/>
                <w:bCs/>
                <w:color w:val="auto"/>
                <w:sz w:val="18"/>
                <w:szCs w:val="18"/>
              </w:rPr>
              <w:spacing w:after="120"/>
            </w:pPr>
            <w:r>
              <w:rPr>
                <w:color w:val="auto"/>
                <w:sz w:val="18"/>
                <w:szCs w:val="18"/>
              </w:rPr>
              <w:t>P1: Validar o universo de organizações avaliadas e calcular ou conferir, conforme a metodologia do iGovTI 2026, o índice, a faixa de maturidade, os componentes e as dimensões de cada organização; [IR1, IR2, IR3]</w:t>
            </w:r>
          </w:p>
          <w:p ns2:paraId="4C6E5B2E" ns2:textId="42100C78" w:rsidR="00163D04" w:rsidRDefault="00873041" w:rsidP="00EC7681">
            <w:pPr>
              <w:pStyle w:val="Default"/>
              <w:jc w:val="both"/>
              <w:rPr>
                <w:b/>
                <w:bCs/>
                <w:color w:val="auto"/>
                <w:sz w:val="18"/>
                <w:szCs w:val="18"/>
              </w:rPr>
              <w:spacing w:after="120"/>
            </w:pPr>
            <w:r>
              <w:rPr>
                <w:color w:val="auto"/>
                <w:sz w:val="18"/>
                <w:szCs w:val="18"/>
              </w:rPr>
              <w:t>P2: Consolidar a distribuição das organizações por faixa de maturidade e calcular medidas descritivas do iGovTI 2026 para o universo avaliado; [IR1, IR2]</w:t>
            </w:r>
          </w:p>
          <w:p ns2:paraId="4C6E5B2E" ns2:textId="42100C78" w:rsidR="00163D04" w:rsidRDefault="00873041" w:rsidP="00EC7681">
            <w:pPr>
              <w:pStyle w:val="Default"/>
              <w:jc w:val="both"/>
              <w:rPr>
                <w:b/>
                <w:bCs/>
                <w:color w:val="auto"/>
                <w:sz w:val="18"/>
                <w:szCs w:val="18"/>
              </w:rPr>
              <w:spacing w:after="120"/>
            </w:pPr>
            <w:r>
              <w:rPr>
                <w:color w:val="auto"/>
                <w:sz w:val="18"/>
                <w:szCs w:val="18"/>
              </w:rPr>
              <w:t>P3: Consolidar e comparar os resultados dos componentes Governança de TIC e Gestão de TIC e das seis dimensões que compõem o índice; [IR2, IR3]</w:t>
            </w:r>
          </w:p>
          <w:p ns2:paraId="4C6E5B2E" ns2:textId="42100C78" w:rsidR="00163D04" w:rsidRDefault="00873041" w:rsidP="00EC7681">
            <w:pPr>
              <w:pStyle w:val="Default"/>
              <w:jc w:val="both"/>
              <w:rPr>
                <w:b/>
                <w:bCs/>
                <w:color w:val="auto"/>
                <w:sz w:val="18"/>
                <w:szCs w:val="18"/>
              </w:rPr>
              <w:spacing w:after="120"/>
            </w:pPr>
            <w:r>
              <w:rPr>
                <w:color w:val="auto"/>
                <w:sz w:val="18"/>
                <w:szCs w:val="18"/>
              </w:rPr>
              <w:t>P4: Segregar os resultados por Poder, esfera, natureza institucional ou outro segmento pertinente, quando a quantidade e a composição das organizações permitirem comparação descritiva adequada; [IR1, IR2, IR3]</w:t>
            </w:r>
          </w:p>
          <w:p ns2:paraId="4C6E5B2E" ns2:textId="42100C78" w:rsidR="00163D04" w:rsidRDefault="00873041" w:rsidP="00EC7681">
            <w:pPr>
              <w:pStyle w:val="Default"/>
              <w:jc w:val="both"/>
              <w:rPr>
                <w:b/>
                <w:bCs/>
                <w:color w:val="auto"/>
                <w:sz w:val="18"/>
                <w:szCs w:val="18"/>
              </w:rPr>
              <w:spacing w:after="120"/>
            </w:pPr>
            <w:r>
              <w:rPr>
                <w:color w:val="auto"/>
                <w:sz w:val="18"/>
                <w:szCs w:val="18"/>
              </w:rPr>
              <w:t>P5: Identificar as práticas e os itens com maiores e menores graus de adoção, informando a medida utilizada, o número de respostas válidas e o tratamento das respostas não aplicáveis; [IR4]</w:t>
            </w:r>
          </w:p>
          <w:p ns2:paraId="4C6E5B2E" ns2:textId="42100C78" w:rsidR="00163D04" w:rsidRDefault="00873041" w:rsidP="00EC7681">
            <w:pPr>
              <w:pStyle w:val="Default"/>
              <w:jc w:val="both"/>
              <w:rPr>
                <w:b/>
                <w:bCs/>
                <w:color w:val="auto"/>
                <w:sz w:val="18"/>
                <w:szCs w:val="18"/>
              </w:rPr>
              <w:spacing w:after="120"/>
            </w:pPr>
            <w:r>
              <w:rPr>
                <w:color w:val="auto"/>
                <w:sz w:val="18"/>
                <w:szCs w:val="18"/>
              </w:rPr>
              <w:t>P6: Verificar a completude e a consistência das bases e registrar as limitações que afetem o cálculo ou a interpretação dos resultados; [IR5]</w:t>
            </w:r>
          </w:p>
        </w:tc>
        <w:tc>
          <w:tcPr>
            <w:tcW w:w="912" w:type="pct"/>
            <w:vAlign w:val="center"/>
          </w:tcPr>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E1: Relação consolidada das organizações avaliadas, dos respondentes válidos e dos atributos institucionais utilizados na análise; [P1]</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E2: Memória de cálculo ou base de resultados com o iGovTI 2026, a faixa de maturidade, os componentes e as dimensões de cada organização; [P1]</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E3: Tabelas, gráficos ou painéis com a distribuição por faixa de maturidade e as medidas descritivas do iGovTI 2026; [P2]</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E4: Tabelas, gráficos ou painéis com os resultados agregados dos componentes e das dimensões do índice; [P3]</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E5: Quadros comparativos por segmento institucional, acompanhados do quantitativo de organizações de cada grupo; [P4]</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E6: Relação das práticas e dos itens com maiores e menores graus de adoção, acompanhada dos respectivos percentuais, pontuações ou medidas de síntese e denominadores; [P5]</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E7: Registro das verificações de completude e consistência e das limitações relevantes para interpretação dos resultados; [P6]</w:t>
            </w:r>
          </w:p>
        </w:tc>
        <w:tc>
          <w:tcPr>
            <w:tcW w:w="1051" w:type="pct"/>
            <w:vAlign w:val="center"/>
          </w:tcPr>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Não se aplica: questão de levantamento, sem geração de achado individual.</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O que a análise permite dizer:</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Qual é o grau de adoção das práticas de governança e gestão de TIC no universo avaliado em 2026, segundo o índice e as faixas de maturidade definidas na metodologia.</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Como se comportam, em termos agregados, os componentes Governança de TIC e Gestão de TIC e as seis dimensões que compõem o iGovTI 2026.</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Quais segmentos institucionais apresentam resultados distintos, quando houver quantidade e composição adequadas para comparação descritiva.</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Quais práticas e itens do questionário concentram os maiores e os menores graus de adoção.</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Limitações e cautelas:</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A questão tem caráter de levantamento e diagnóstico agregado, não gerando achado ou encaminhamento individual por organização.</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O iGovTI 2026 mensura o grau de adoção segundo as respostas e as regras da metodologia; o resultado não comprova, isoladamente, a efetividade das práticas nem conformidade jurídica.</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Os resultados agregados não substituem a avaliação individualizada das fragilidades abrangidas pelas Questões 1 a 6.</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Médias e demais medidas de síntese devem ser apresentadas com a distribuição dos resultados, para evitar que ocultem diferenças relevantes entre as organizações.</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Comparações entre segmentos institucionais devem considerar o tamanho, a composição e a cobertura de cada grupo e não devem ser tratadas como inferência causal.</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Práticas ou itens com universos de respostas distintos devem ser comparados somente com indicação dos respectivos denominadores e do tratamento das respostas não aplicáveis.</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510AF5" w:rsidRPr="00636B72" ns2:paraId="57D6716F" ns2:textId="77777777" w:rsidTr="6D09F7BC">
        <w:trPr>
          <w:tblHeader/>
        </w:trPr>
        <w:tc>
          <w:tcPr>
            <w:tcW w:w="5000" w:type="pct"/>
            <w:gridSpan w:val="6"/>
          </w:tcPr>
          <w:p ns2:paraId="7D29FCBB" ns2:textId="4EC62946" w:rsidR="005D66B0" w:rsidRDefault="48870B08" w:rsidP="005D66B0">
            <w:pPr>
              <w:spacing w:after="120"/>
              <w:rPr>
                <w:rFonts w:ascii="Arial" w:hAnsi="Arial" w:cs="Arial"/>
                <w:sz w:val="20"/>
                <w:szCs w:val="20"/>
              </w:rPr>
            </w:pPr>
            <w:r>
              <w:rPr>
                <w:rFonts w:ascii="Arial" w:hAnsi="Arial" w:cs="Arial"/>
                <w:b/>
                <w:bCs/>
                <w:sz w:val="20"/>
                <w:szCs w:val="20"/>
              </w:rPr>
              <w:t>QT: As organizações anteriormente avaliadas apresentaram evolução mensurável, em termos agregados, em governança e gestão de TIC e no atendimento aos encaminhamentos da fiscalização anterior? (levantamento)</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Houve variação agregada positiva, negativa ou estável nos indicadores comparáveis de governança e gestão de TIC?</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Quais dimensões, práticas ou indicadores agregados apresentaram maior evolução?</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Quais dimensões, práticas ou indicadores agregados permaneceram estáveis ou regrediram?</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Qual foi o grau agregado de atendimento aos encaminhamentos propostos na fiscalização anterior?</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Há diferença relevante entre a evolução agregada dos municípios avaliados em 2023 e a evolução agregada das organizações do Poder Executivo?</w:t>
            </w:r>
          </w:p>
          <w:p ns2:paraId="4ED18313" ns2:textId="42BA0AFF" w:rsidR="005D66B0" w:rsidRPr="008F73A8" w:rsidRDefault="005D66B0" w:rsidP="005D66B0">
            <w:pPr>
              <w:pStyle w:val="PargrafodaLista"/>
              <w:numPr>
                <w:ilvl w:val="0"/>
                <w:numId w:val="4"/>
              </w:numPr>
              <w:rPr>
                <w:rFonts w:ascii="Arial" w:hAnsi="Arial" w:cs="Arial"/>
                <w:sz w:val="20"/>
                <w:szCs w:val="20"/>
              </w:rPr>
            </w:pPr>
            <w:r>
              <w:rPr>
                <w:rFonts w:ascii="Arial" w:hAnsi="Arial" w:cs="Arial"/>
                <w:sz w:val="20"/>
                <w:szCs w:val="20"/>
              </w:rPr>
              <w:t>As diferenças metodológicas entre os ciclos limitam a comparabilidade dos resultados?</w:t>
            </w:r>
          </w:p>
        </w:tc>
      </w:tr>
      <w:tr w:rsidR="00A20BFA" w:rsidRPr="00636B72" ns2:paraId="6C956695" ns2:textId="77777777" w:rsidTr="6D09F7BC">
        <w:trPr>
          <w:tblHeader/>
        </w:trPr>
        <w:tc>
          <w:tcPr>
            <w:tcW w:w="5000" w:type="pct"/>
            <w:gridSpan w:val="6"/>
            <w:shd w:val="clear" w:color="auto" w:fill="BDD6EE" w:themeFill="accent5" w:themeFillTint="66"/>
          </w:tcPr>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Critérios de comparabilidade:</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CT1: Comparar apenas organizações presentes nos dois ciclos ou, quando houver alteração de universo, explicitar separadamente o universo comum e o universo total de cada ciclo.</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CT2: Comparar apenas indicadores, dimensões, práticas ou faixas com correspondência metodológica suficiente; quando a correspondência for parcial, registrar a limitação e evitar conclusão categórica.</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CT3: Utilizar quantitativos absolutos e percentuais para descrever variações agregadas, distinguindo evolução, estabilidade e regressão.</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CT4: Distinguir mudança em resultado agregado de atendimento efetivo de encaminhamento; melhoria no indicador não implica, por si só, cumprimento integral da recomendação anterior.</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CT5: Classificar atendimento dos encaminhamentos anteriores em categorias explícitas, como atendido, parcialmente atendido, não atendido e não avaliável, com base em evidências disponíveis nos autos, registros da fiscalização anterior e informações do iGovTI 2026.</w:t>
            </w:r>
          </w:p>
          <w:p ns2:paraId="63566D7E" ns2:textId="69F154AC" w:rsidR="000F7859" w:rsidRPr="00586BDD" w:rsidRDefault="00A45EC8" w:rsidP="00D73576">
            <w:pPr>
              <w:spacing w:after="120"/>
              <w:jc w:val="both"/>
              <w:rPr>
                <w:rFonts w:ascii="Arial" w:hAnsi="Arial" w:cs="Arial"/>
                <w:b/>
                <w:sz w:val="20"/>
                <w:szCs w:val="20"/>
              </w:rPr>
            </w:pPr>
            <w:r>
              <w:rPr>
                <w:rFonts w:ascii="Arial" w:hAnsi="Arial" w:cs="Arial"/>
                <w:b/>
                <w:sz w:val="20"/>
                <w:szCs w:val="20"/>
              </w:rPr>
              <w:t>CT6: Registrar limitações decorrentes de mudanças metodológicas, de diferenças de escopo, de alteração de pesos, de alteração de itens do questionário ou de indisponibilidade de dados históricos.</w:t>
            </w:r>
          </w:p>
        </w:tc>
      </w:tr>
    </w:tbl>
    <w:p/>
    <w:tbl>
      <w:tblPr>
        <w:tblStyle w:val="Tabelacomgrade"/>
        <w:tblW w:w="5000" w:type="pct"/>
        <w:tblLook w:val="04A0" w:firstRow="1" w:lastRow="0" w:firstColumn="1" w:lastColumn="0" w:noHBand="0" w:noVBand="1"/>
      </w:tblPr>
      <w:tblGrid>
        <w:gridCol w:w="2258"/>
        <w:gridCol w:w="3170"/>
        <w:gridCol w:w="3622"/>
        <w:gridCol w:w="4530"/>
        <w:gridCol w:w="4078"/>
        <w:gridCol w:w="4700"/>
      </w:tblGrid>
      <w:tr w:rsidR="001A774B" w:rsidRPr="00636B72" ns2:paraId="4D48342C" ns2:textId="77777777" w:rsidTr="6D09F7BC">
        <w:trPr>
          <w:tblHeader/>
        </w:trPr>
        <w:tc>
          <w:tcPr>
            <w:tcW w:w="505" w:type="pct"/>
            <w:vAlign w:val="center"/>
          </w:tcPr>
          <w:p ns2:paraId="5C2D7232" ns2:textId="280A56F4"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FONTES DE INFORMAÇÃO</w:t>
            </w:r>
          </w:p>
        </w:tc>
        <w:tc>
          <w:tcPr>
            <w:tcW w:w="709" w:type="pct"/>
            <w:vAlign w:val="center"/>
          </w:tcPr>
          <w:p ns2:paraId="7208CA25" ns2:textId="5376F66C" w:rsidR="00282E61" w:rsidRPr="00636B72" w:rsidRDefault="000A6618" w:rsidP="004A61A8">
            <w:pPr>
              <w:autoSpaceDE w:val="0"/>
              <w:autoSpaceDN w:val="0"/>
              <w:adjustRightInd w:val="0"/>
              <w:spacing w:before="40" w:after="0"/>
              <w:jc w:val="center"/>
              <w:rPr>
                <w:rFonts w:ascii="Arial" w:hAnsi="Arial" w:cs="Arial"/>
                <w:b/>
                <w:bCs/>
                <w:sz w:val="16"/>
                <w:szCs w:val="16"/>
              </w:rPr>
            </w:pPr>
            <w:r>
              <w:rPr>
                <w:rFonts w:ascii="Arial" w:hAnsi="Arial" w:cs="Arial"/>
                <w:b/>
                <w:bCs/>
                <w:sz w:val="16"/>
                <w:szCs w:val="16"/>
              </w:rPr>
              <w:t>INFORMAÇÕES REQUERIDAS</w:t>
            </w:r>
          </w:p>
        </w:tc>
        <w:tc>
          <w:tcPr>
            <w:tcW w:w="810" w:type="pct"/>
            <w:vAlign w:val="center"/>
          </w:tcPr>
          <w:p ns2:paraId="563FD7FD" ns2:textId="77777777" w:rsidR="00282E61" w:rsidRPr="00636B72" w:rsidRDefault="7AB3FDF1" w:rsidP="6D09F7BC">
            <w:pPr>
              <w:spacing w:before="40" w:after="0"/>
              <w:jc w:val="center"/>
              <w:rPr>
                <w:rFonts w:ascii="Arial" w:hAnsi="Arial" w:cs="Arial"/>
                <w:b/>
                <w:bCs/>
                <w:sz w:val="16"/>
                <w:szCs w:val="16"/>
              </w:rPr>
            </w:pPr>
            <w:r>
              <w:rPr>
                <w:rFonts w:ascii="Arial" w:hAnsi="Arial" w:cs="Arial"/>
                <w:b/>
                <w:bCs/>
                <w:sz w:val="16"/>
                <w:szCs w:val="16"/>
              </w:rPr>
              <w:t>CRITÉRIOS</w:t>
            </w:r>
          </w:p>
        </w:tc>
        <w:tc>
          <w:tcPr>
            <w:tcW w:w="1013" w:type="pct"/>
            <w:vAlign w:val="center"/>
          </w:tcPr>
          <w:p ns2:paraId="6A4DEA23" ns2:textId="77777777" w:rsidR="00282E61" w:rsidRPr="00636B72" w:rsidRDefault="00282E61" w:rsidP="000A6618">
            <w:pPr>
              <w:spacing w:before="40" w:after="0"/>
              <w:jc w:val="center"/>
              <w:rPr>
                <w:rFonts w:ascii="Arial" w:hAnsi="Arial" w:cs="Arial"/>
                <w:b/>
                <w:bCs/>
                <w:strike/>
                <w:sz w:val="16"/>
                <w:szCs w:val="16"/>
              </w:rPr>
            </w:pPr>
            <w:r>
              <w:rPr>
                <w:rFonts w:ascii="Arial" w:hAnsi="Arial" w:cs="Arial"/>
                <w:b/>
                <w:bCs/>
                <w:sz w:val="16"/>
                <w:szCs w:val="16"/>
              </w:rPr>
              <w:t>PROCEDIMENTO DE AUDITORIA</w:t>
            </w:r>
          </w:p>
        </w:tc>
        <w:tc>
          <w:tcPr>
            <w:tcW w:w="912" w:type="pct"/>
            <w:vAlign w:val="center"/>
          </w:tcPr>
          <w:p ns2:paraId="4A1C29C4"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POSSÍVEIS EVIDÊNCIAS</w:t>
            </w:r>
          </w:p>
        </w:tc>
        <w:tc>
          <w:tcPr>
            <w:tcW w:w="1051" w:type="pct"/>
            <w:vAlign w:val="center"/>
          </w:tcPr>
          <w:p ns2:paraId="357B1101" ns2:textId="77777777" w:rsidR="00282E61" w:rsidRPr="00636B72" w:rsidRDefault="00282E61" w:rsidP="000A6618">
            <w:pPr>
              <w:spacing w:before="40" w:after="0"/>
              <w:jc w:val="center"/>
              <w:rPr>
                <w:rFonts w:ascii="Arial" w:hAnsi="Arial" w:cs="Arial"/>
                <w:b/>
                <w:bCs/>
                <w:sz w:val="16"/>
                <w:szCs w:val="16"/>
              </w:rPr>
            </w:pPr>
            <w:r>
              <w:rPr>
                <w:rFonts w:ascii="Arial" w:hAnsi="Arial" w:cs="Arial"/>
                <w:b/>
                <w:bCs/>
                <w:sz w:val="16"/>
                <w:szCs w:val="16"/>
              </w:rPr>
              <w:t>ANÁLISE / RESULTADOS</w:t>
            </w:r>
          </w:p>
        </w:tc>
      </w:tr>
      <w:tr w:rsidR="00EF385F" w:rsidRPr="00636B72" ns2:paraId="70A91EBB" ns2:textId="77777777" w:rsidTr="6D09F7BC">
        <w:tc>
          <w:tcPr>
            <w:tcW w:w="505" w:type="pct"/>
            <w:vAlign w:val="center"/>
          </w:tcPr>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F1: Resultados, respostas e indicadores calculados no iGovTI 2026 para as organizações também avaliadas na fiscalização anterior.</w:t>
            </w:r>
          </w:p>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F2: Resultados, respostas, indicadores, achados e encaminhamentos da fiscalização anterior de 2023 relativa ao iGovTI em municípios.</w:t>
            </w:r>
          </w:p>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F3: Resultados, respostas, indicadores, achados e encaminhamentos da fiscalização anterior de 2023 relativa ao iGovTI nas organizações do Poder Executivo estadual.</w:t>
            </w:r>
          </w:p>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F4: Metodologias de cálculo, dicionários de variáveis, questionários, planilhas de correspondência e demais registros necessários para compatibilizar os ciclos de avaliação.</w:t>
            </w:r>
          </w:p>
          <w:p ns2:paraId="07477FA7" ns2:textId="4BBAC042" w:rsidR="0024623A" w:rsidRPr="00636B72" w:rsidRDefault="008A6030" w:rsidP="00EC7681">
            <w:pPr>
              <w:jc w:val="both"/>
              <w:rPr>
                <w:rFonts w:ascii="Arial" w:hAnsi="Arial" w:cs="Arial"/>
                <w:sz w:val="18"/>
                <w:szCs w:val="18"/>
              </w:rPr>
              <w:spacing w:after="120"/>
            </w:pPr>
            <w:r>
              <w:rPr>
                <w:rFonts w:ascii="Arial" w:hAnsi="Arial" w:cs="Arial"/>
                <w:sz w:val="18"/>
                <w:szCs w:val="18"/>
              </w:rPr>
              <w:t>F5: Informações, evidências e registros produzidos no iGovTI 2026 que permitam inferir, em termos agregados, atendimento, não atendimento ou atendimento parcial dos encaminhamentos anteriores.</w:t>
            </w:r>
          </w:p>
        </w:tc>
        <w:tc>
          <w:tcPr>
            <w:tcW w:w="709" w:type="pct"/>
            <w:vAlign w:val="center"/>
          </w:tcPr>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IR1: Relação das organizações avaliadas na fiscalização anterior que também integram o iGovTI 2026, segregadas, quando aplicável, entre municípios e organizações do Poder Executivo estadual; [F1, F2, F3]</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IR2: Indicadores, dimensões, práticas, faixas de maturidade ou métricas da fiscalização anterior que sejam comparáveis com os resultados do iGovTI 2026; [F1, F2, F3, F4]</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IR3: Tabela de correspondência entre indicadores, práticas, dimensões ou métricas dos ciclos de avaliação, com indicação do grau de comparabilidade; [F4]</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IR4: Distribuição agregada dos resultados da fiscalização anterior e do iGovTI 2026, incluindo quantitativo e percentual de organizações por nível, faixa, dimensão, prática ou indicador comparável; [F1, F2, F3]</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IR5: Variação agregada entre os ciclos, incluindo evolução, estabilidade ou regressão por indicador, dimensão, prática ou faixa de maturidade comparável; [F1, F2, F3, F4]</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IR6: Relação dos encaminhamentos propostos na fiscalização anterior e sua classificação agregada quanto a atendimento, atendimento parcial, não atendimento ou impossibilidade de avaliação; [F2, F3, F5]</w:t>
            </w:r>
          </w:p>
          <w:p ns2:paraId="1DD0E491" ns2:textId="77777777" w:rsidR="001B2611" w:rsidRDefault="00FE1527" w:rsidP="00EC7681">
            <w:pPr>
              <w:jc w:val="both"/>
              <w:rPr>
                <w:rFonts w:ascii="Arial" w:hAnsi="Arial" w:cs="Arial"/>
                <w:b/>
                <w:bCs/>
                <w:sz w:val="18"/>
                <w:szCs w:val="18"/>
              </w:rPr>
              <w:spacing w:after="120"/>
            </w:pPr>
            <w:r>
              <w:rPr>
                <w:rFonts w:ascii="Arial" w:hAnsi="Arial" w:cs="Arial"/>
                <w:sz w:val="18"/>
                <w:szCs w:val="18"/>
              </w:rPr>
              <w:t>IR7: Limitações metodológicas que afetem a comparação entre os ciclos, incluindo alteração de questionário, pesos, fórmulas, universo avaliado, escala de resposta ou critérios de classificação; [F1, F2, F3, F4]</w:t>
            </w:r>
          </w:p>
        </w:tc>
        <w:tc>
          <w:tcPr>
            <w:tcW w:w="810" w:type="pct"/>
            <w:vAlign w:val="center"/>
          </w:tcPr>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CT1: Comparar apenas organizações presentes nos dois ciclos ou, quando houver alteração de universo, explicitar separadamente o universo comum e o universo total de cada ciclo.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CT2: Comparar apenas indicadores, dimensões, práticas ou faixas com correspondência metodológica suficiente; quando a correspondência for parcial, registrar a limitação e evitar conclusão categórica.</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CT3: Utilizar quantitativos absolutos e percentuais para descrever variações agregadas, distinguindo evolução, estabilidade e regressão.</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CT4: Distinguir mudança em resultado agregado de atendimento efetivo de encaminhamento; melhoria no indicador não implica, por si só, cumprimento integral da recomendação anterior.</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CT5: Classificar atendimento dos encaminhamentos anteriores em categorias explícitas, como atendido, parcialmente atendido, não atendido e não avaliável, com base em evidências disponíveis nos autos, registros da fiscalização anterior e informações do iGovTI 2026.</w:t>
            </w:r>
          </w:p>
          <w:p ns2:paraId="2667BB09" ns2:textId="2C1623C1" w:rsidR="008C3CC7" w:rsidRPr="005D5A01" w:rsidRDefault="005D5A01" w:rsidP="000E5E8E">
            <w:pPr>
              <w:pStyle w:val="Default"/>
              <w:spacing w:after="120"/>
              <w:jc w:val="both"/>
              <w:rPr>
                <w:bCs/>
                <w:color w:val="auto"/>
                <w:sz w:val="18"/>
                <w:szCs w:val="18"/>
                <w:vertAlign w:val="superscript"/>
              </w:rPr>
            </w:pPr>
            <w:r>
              <w:rPr>
                <w:bCs/>
                <w:color w:val="auto"/>
                <w:sz w:val="18"/>
                <w:szCs w:val="18"/>
              </w:rPr>
              <w:t>CT6: Registrar limitações decorrentes de mudanças metodológicas, de diferenças de escopo, de alteração de pesos, de alteração de itens do questionário ou de indisponibilidade de dados históricos.</w:t>
            </w:r>
          </w:p>
        </w:tc>
        <w:tc>
          <w:tcPr>
            <w:tcW w:w="1013" w:type="pct"/>
            <w:vAlign w:val="center"/>
          </w:tcPr>
          <w:p ns2:paraId="4C6E5B2E" ns2:textId="42100C78" w:rsidR="00163D04" w:rsidRDefault="00873041" w:rsidP="00EC7681">
            <w:pPr>
              <w:pStyle w:val="Default"/>
              <w:jc w:val="both"/>
              <w:rPr>
                <w:b/>
                <w:bCs/>
                <w:color w:val="auto"/>
                <w:sz w:val="18"/>
                <w:szCs w:val="18"/>
              </w:rPr>
              <w:spacing w:after="120"/>
            </w:pPr>
            <w:r>
              <w:rPr>
                <w:color w:val="auto"/>
                <w:sz w:val="18"/>
                <w:szCs w:val="18"/>
              </w:rPr>
              <w:t>P1: Identificar o conjunto de organizações avaliadas na fiscalização anterior e cruzá-lo com o universo de organizações respondentes do iGovTI 2026; [IR1]</w:t>
            </w:r>
          </w:p>
          <w:p ns2:paraId="4C6E5B2E" ns2:textId="42100C78" w:rsidR="00163D04" w:rsidRDefault="00873041" w:rsidP="00EC7681">
            <w:pPr>
              <w:pStyle w:val="Default"/>
              <w:jc w:val="both"/>
              <w:rPr>
                <w:b/>
                <w:bCs/>
                <w:color w:val="auto"/>
                <w:sz w:val="18"/>
                <w:szCs w:val="18"/>
              </w:rPr>
              <w:spacing w:after="120"/>
            </w:pPr>
            <w:r>
              <w:rPr>
                <w:color w:val="auto"/>
                <w:sz w:val="18"/>
                <w:szCs w:val="18"/>
              </w:rPr>
              <w:t>P2: Construir tabela de correspondência entre indicadores, dimensões, práticas, faixas de maturidade ou métricas comparáveis entre a fiscalização anterior e o iGovTI 2026; [IR2, IR3]</w:t>
            </w:r>
          </w:p>
          <w:p ns2:paraId="4C6E5B2E" ns2:textId="42100C78" w:rsidR="00163D04" w:rsidRDefault="00873041" w:rsidP="00EC7681">
            <w:pPr>
              <w:pStyle w:val="Default"/>
              <w:jc w:val="both"/>
              <w:rPr>
                <w:b/>
                <w:bCs/>
                <w:color w:val="auto"/>
                <w:sz w:val="18"/>
                <w:szCs w:val="18"/>
              </w:rPr>
              <w:spacing w:after="120"/>
            </w:pPr>
            <w:r>
              <w:rPr>
                <w:color w:val="auto"/>
                <w:sz w:val="18"/>
                <w:szCs w:val="18"/>
              </w:rPr>
              <w:t>P3: Calcular, para o conjunto comum de organizações, a distribuição agregada dos resultados nos dois ciclos, por indicador, dimensão, prática ou faixa de maturidade comparável; [IR4]</w:t>
            </w:r>
          </w:p>
          <w:p ns2:paraId="4C6E5B2E" ns2:textId="42100C78" w:rsidR="00163D04" w:rsidRDefault="00873041" w:rsidP="00EC7681">
            <w:pPr>
              <w:pStyle w:val="Default"/>
              <w:jc w:val="both"/>
              <w:rPr>
                <w:b/>
                <w:bCs/>
                <w:color w:val="auto"/>
                <w:sz w:val="18"/>
                <w:szCs w:val="18"/>
              </w:rPr>
              <w:spacing w:after="120"/>
            </w:pPr>
            <w:r>
              <w:rPr>
                <w:color w:val="auto"/>
                <w:sz w:val="18"/>
                <w:szCs w:val="18"/>
              </w:rPr>
              <w:t>P4: Calcular a variação agregada entre os ciclos, distinguindo evolução, estabilidade e regressão, em quantitativos absolutos e percentuais; [IR5]</w:t>
            </w:r>
          </w:p>
          <w:p ns2:paraId="4C6E5B2E" ns2:textId="42100C78" w:rsidR="00163D04" w:rsidRDefault="00873041" w:rsidP="00EC7681">
            <w:pPr>
              <w:pStyle w:val="Default"/>
              <w:jc w:val="both"/>
              <w:rPr>
                <w:b/>
                <w:bCs/>
                <w:color w:val="auto"/>
                <w:sz w:val="18"/>
                <w:szCs w:val="18"/>
              </w:rPr>
              <w:spacing w:after="120"/>
            </w:pPr>
            <w:r>
              <w:rPr>
                <w:color w:val="auto"/>
                <w:sz w:val="18"/>
                <w:szCs w:val="18"/>
              </w:rPr>
              <w:t>P5: Segregar, quando aplicável, os resultados agregados dos municípios avaliados em 2023 e das organizações do Poder Executivo estadual avaliadas em 2023; [IR1, IR4, IR5]</w:t>
            </w:r>
          </w:p>
          <w:p ns2:paraId="4C6E5B2E" ns2:textId="42100C78" w:rsidR="00163D04" w:rsidRDefault="00873041" w:rsidP="00EC7681">
            <w:pPr>
              <w:pStyle w:val="Default"/>
              <w:jc w:val="both"/>
              <w:rPr>
                <w:b/>
                <w:bCs/>
                <w:color w:val="auto"/>
                <w:sz w:val="18"/>
                <w:szCs w:val="18"/>
              </w:rPr>
              <w:spacing w:after="120"/>
            </w:pPr>
            <w:r>
              <w:rPr>
                <w:color w:val="auto"/>
                <w:sz w:val="18"/>
                <w:szCs w:val="18"/>
              </w:rPr>
              <w:t>P6: Classificar, em termos agregados, o atendimento dos encaminhamentos da fiscalização anterior, com base nos registros disponíveis e nas evidências ou respostas do iGovTI 2026; [IR6]</w:t>
            </w:r>
          </w:p>
          <w:p ns2:paraId="4C6E5B2E" ns2:textId="42100C78" w:rsidR="00163D04" w:rsidRDefault="00873041" w:rsidP="00EC7681">
            <w:pPr>
              <w:pStyle w:val="Default"/>
              <w:jc w:val="both"/>
              <w:rPr>
                <w:b/>
                <w:bCs/>
                <w:color w:val="auto"/>
                <w:sz w:val="18"/>
                <w:szCs w:val="18"/>
              </w:rPr>
              <w:spacing w:after="120"/>
            </w:pPr>
            <w:r>
              <w:rPr>
                <w:color w:val="auto"/>
                <w:sz w:val="18"/>
                <w:szCs w:val="18"/>
              </w:rPr>
              <w:t>P7: Identificar limitações metodológicas da comparação e indicar quais conclusões podem ou não ser extraídas dos dados disponíveis; [IR7]</w:t>
            </w:r>
          </w:p>
        </w:tc>
        <w:tc>
          <w:tcPr>
            <w:tcW w:w="912" w:type="pct"/>
            <w:vAlign w:val="center"/>
          </w:tcPr>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E1: Relação consolidada das organizações presentes nos dois ciclos de avaliação; [P1]</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E2: Tabela de correspondência entre itens, indicadores, dimensões, práticas ou faixas comparáveis entre a fiscalização anterior e o iGovTI 2026; [P2]</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E3: Tabelas, gráficos ou painéis com distribuição agregada dos resultados da fiscalização anterior e do iGovTI 2026; [P3]</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E4: Cálculo da variação agregada dos resultados, em números absolutos e percentuais, indicando evolução, estabilidade ou regressão; [P4]</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E5: Comparativo agregado entre municípios avaliados em 2023 e organizações do Poder Executivo estadual avaliadas em 2023, quando os dados permitirem a segregação; [P5]</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E6: Quadro consolidado de atendimento, atendimento parcial, não atendimento ou impossibilidade de avaliação dos encaminhamentos anteriores; [P6]</w:t>
            </w:r>
          </w:p>
          <w:p ns2:paraId="1E80855F" ns2:textId="1D853748" w:rsidR="00282E61" w:rsidRDefault="00DB20B7" w:rsidP="00EC7681">
            <w:pPr>
              <w:jc w:val="both"/>
              <w:rPr>
                <w:rFonts w:ascii="Arial" w:hAnsi="Arial" w:cs="Arial"/>
                <w:sz w:val="18"/>
                <w:szCs w:val="18"/>
              </w:rPr>
              <w:spacing w:after="120"/>
            </w:pPr>
            <w:r>
              <w:rPr>
                <w:rFonts w:ascii="Arial" w:hAnsi="Arial" w:cs="Arial"/>
                <w:sz w:val="18"/>
                <w:szCs w:val="18"/>
              </w:rPr>
              <w:t>E7: Registro das limitações metodológicas e das cautelas necessárias para interpretação dos resultados comparativos; [P7]</w:t>
            </w:r>
          </w:p>
        </w:tc>
        <w:tc>
          <w:tcPr>
            <w:tcW w:w="1051" w:type="pct"/>
            <w:vAlign w:val="center"/>
          </w:tcPr>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Não se aplica: questão de levantamento, sem geração de achado individual.</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O que a análise permite dizer:</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Se, no conjunto comum de organizações, houve evolução, estabilidade ou regressão agregada em governança e gestão de TIC entre a fiscalização anterior e o iGovTI 2026.</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Quais dimensões, práticas ou indicadores comparáveis concentraram os maiores avanços agregados.</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Quais dimensões, práticas ou indicadores comparáveis permaneceram com baixa evolução, estagnaram ou regrediram em termos agregados.</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Se os encaminhamentos da fiscalização anterior foram atendidos, parcialmente atendidos, não atendidos ou não puderam ser avaliados, em termos agregados.</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Se há diferença relevante entre a evolução agregada dos municípios avaliados em 2023 e das organizações do Poder Executivo estadual avaliadas em 2023.</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Em que medida diferenças metodológicas entre os ciclos limitam a força das conclusões comparativas.</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Limitações e cautelas:</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A questão tem caráter de levantamento e análise longitudinal agregada, não gerando achado individual por organização.</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A comparação não deve ser feita questão a questão quando não houver equivalência metodológica suficiente entre os instrumentos de avaliação.</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A evolução agregada não autoriza, isoladamente, concluir que todas as organizações evoluíram individualmente.</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A regressão agregada não autoriza, isoladamente, concluir descumprimento individual de encaminhamento anterior.</w:t>
            </w:r>
          </w:p>
          <w:p ns2:paraId="11118515" ns2:textId="02403B9E" w:rsidR="00E214F9" w:rsidRPr="00E214F9" w:rsidRDefault="181793CF" w:rsidP="00E214F9">
            <w:pPr>
              <w:pStyle w:val="PargrafodaLista"/>
              <w:numPr>
                <w:ilvl w:val="0"/>
                <w:numId w:val="11"/>
              </w:numPr>
              <w:rPr>
                <w:rFonts w:ascii="Arial" w:hAnsi="Arial" w:cs="Arial"/>
                <w:sz w:val="18"/>
                <w:szCs w:val="18"/>
              </w:rPr>
              <w:spacing w:after="120"/>
            </w:pPr>
            <w:r>
              <w:rPr>
                <w:rFonts w:ascii="Arial" w:hAnsi="Arial" w:cs="Arial"/>
                <w:sz w:val="18"/>
                <w:szCs w:val="18"/>
              </w:rPr>
              <w:t>O atendimento dos encaminhamentos anteriores deve ser analisado conforme o conteúdo de cada encaminhamento, as evidências disponíveis e a compatibilidade com os dados coletados no iGovTI 2026.</w:t>
            </w:r>
          </w:p>
        </w:tc>
      </w:tr>
    </w:tbl>
    <w:p/>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873"/>
        <w:gridCol w:w="10495"/>
      </w:tblGrid>
      <w:tr w:rsidR="00100C4E" w:rsidRPr="00636B72" ns2:paraId="5EC73B82" ns2:textId="77777777">
        <w:tc>
          <w:tcPr>
            <w:tcW w:w="2654" w:type="pct"/>
            <w:tcBorders>
              <w:top w:val="single" w:sz="0" w:space="0" w:color="000000" w:themeColor="text1"/>
              <w:left w:val="single" w:sz="0" w:space="0" w:color="000000" w:themeColor="text1"/>
              <w:bottom w:val="single" w:sz="0" w:space="0" w:color="000000" w:themeColor="text1"/>
              <w:right w:val="single" w:sz="0" w:space="0" w:color="000000" w:themeColor="text1"/>
            </w:tcBorders>
          </w:tcPr>
          <w:p ns2:paraId="27086525" ns2:textId="5BC84706" w:rsidR="00551257" w:rsidRPr="00636B72" w:rsidRDefault="004A6075" w:rsidP="006901C9">
            <w:pPr>
              <w:spacing w:line="276" w:lineRule="auto"/>
              <w:rPr>
                <w:rFonts w:ascii="Arial" w:hAnsi="Arial" w:cs="Arial"/>
                <w:b/>
                <w:bCs/>
              </w:rPr>
            </w:pPr>
            <w:r>
              <w:rPr>
                <w:rFonts w:ascii="Arial" w:hAnsi="Arial" w:cs="Arial"/>
              </w:rPr>
              <w:br w:type="page"/>
            </w:r>
            <w:r w:rsidR="00551257" w:rsidRPr="00636B72">
              <w:rPr>
                <w:rFonts w:ascii="Arial" w:hAnsi="Arial" w:cs="Arial"/>
                <w:b/>
                <w:bCs/>
              </w:rPr>
              <w:t>Equipe de Auditoria</w:t>
            </w:r>
          </w:p>
        </w:tc>
        <w:tc>
          <w:tcPr>
            <w:tcW w:w="2346" w:type="pct"/>
            <w:tcBorders>
              <w:top w:val="single" w:sz="0" w:space="0" w:color="000000" w:themeColor="text1"/>
              <w:left w:val="single" w:sz="0" w:space="0" w:color="000000" w:themeColor="text1"/>
              <w:bottom w:val="single" w:sz="0" w:space="0" w:color="000000" w:themeColor="text1"/>
              <w:right w:val="single" w:sz="0" w:space="0" w:color="000000" w:themeColor="text1"/>
            </w:tcBorders>
          </w:tcPr>
          <w:p ns2:paraId="081D154F" ns2:textId="77777777" w:rsidR="00551257" w:rsidRPr="00636B72" w:rsidRDefault="00551257" w:rsidP="006901C9">
            <w:pPr>
              <w:spacing w:line="276" w:lineRule="auto"/>
              <w:rPr>
                <w:rFonts w:ascii="Arial" w:hAnsi="Arial" w:cs="Arial"/>
                <w:b/>
                <w:bCs/>
              </w:rPr>
            </w:pPr>
            <w:r w:rsidRPr="00636B72">
              <w:rPr>
                <w:rFonts w:ascii="Arial" w:hAnsi="Arial" w:cs="Arial"/>
                <w:b/>
                <w:bCs/>
              </w:rPr>
              <w:t>Supervisor</w:t>
            </w:r>
          </w:p>
        </w:tc>
      </w:tr>
      <w:tr w:rsidR="00100C4E" w:rsidRPr="00636B72" ns2:paraId="4ADF87AF" ns2:textId="77777777">
        <w:tc>
          <w:tcPr>
            <w:tcW w:w="2654" w:type="pct"/>
            <w:tcBorders>
              <w:top w:val="single" w:sz="0" w:space="0" w:color="000000" w:themeColor="text1"/>
              <w:left w:val="single" w:sz="0" w:space="0" w:color="000000" w:themeColor="text1"/>
              <w:bottom w:val="single" w:sz="0" w:space="0" w:color="000000" w:themeColor="text1"/>
              <w:right w:val="single" w:sz="0" w:space="0" w:color="000000" w:themeColor="text1"/>
            </w:tcBorders>
          </w:tcPr>
          <w:p ns2:paraId="1C42D2D4" ns2:textId="44C819D1" w:rsidR="00551257" w:rsidRPr="00636B72" w:rsidRDefault="0010133B" w:rsidP="006901C9">
            <w:pPr>
              <w:spacing w:line="276" w:lineRule="auto"/>
              <w:rPr>
                <w:rFonts w:ascii="Arial" w:hAnsi="Arial" w:cs="Arial"/>
              </w:rPr>
            </w:pPr>
            <w:r>
              <w:rPr>
                <w:rFonts w:ascii="Arial" w:hAnsi="Arial" w:cs="Arial"/>
                <w:color w:val="212529"/>
                <w:shd w:val="clear" w:color="auto" w:fill="FFFFFF"/>
              </w:rPr>
              <w:t>Augusto César Benvenuto de Almeida</w:t>
            </w:r>
            <w:r w:rsidR="00551257" w:rsidRPr="00636B72">
              <w:rPr>
                <w:rFonts w:ascii="Arial" w:hAnsi="Arial" w:cs="Arial"/>
                <w:color w:val="212529"/>
                <w:shd w:val="clear" w:color="auto" w:fill="FFFFFF"/>
              </w:rPr>
              <w:t xml:space="preserve"> - 02/4</w:t>
            </w:r>
            <w:r w:rsidR="00826AD6">
              <w:rPr>
                <w:rFonts w:ascii="Arial" w:hAnsi="Arial" w:cs="Arial"/>
                <w:color w:val="212529"/>
                <w:shd w:val="clear" w:color="auto" w:fill="FFFFFF"/>
              </w:rPr>
              <w:t>823</w:t>
            </w:r>
          </w:p>
        </w:tc>
        <w:tc>
          <w:tcPr>
            <w:tcW w:w="2346" w:type="pct"/>
            <w:tcBorders>
              <w:top w:val="single" w:sz="0" w:space="0" w:color="000000" w:themeColor="text1"/>
              <w:left w:val="single" w:sz="0" w:space="0" w:color="000000" w:themeColor="text1"/>
              <w:bottom w:val="single" w:sz="0" w:space="0" w:color="000000" w:themeColor="text1"/>
              <w:right w:val="single" w:sz="0" w:space="0" w:color="000000" w:themeColor="text1"/>
            </w:tcBorders>
          </w:tcPr>
          <w:p ns2:paraId="4A9ED85F" ns2:textId="2B0DC6CF" w:rsidR="00551257" w:rsidRPr="00636B72" w:rsidRDefault="00F50C15" w:rsidP="006901C9">
            <w:pPr>
              <w:spacing w:line="276" w:lineRule="auto"/>
              <w:rPr>
                <w:rFonts w:ascii="Arial" w:hAnsi="Arial" w:cs="Arial"/>
              </w:rPr>
            </w:pPr>
            <w:r>
              <w:rPr>
                <w:rFonts w:ascii="Arial" w:hAnsi="Arial" w:cs="Arial"/>
                <w:lang w:eastAsia="en-US"/>
              </w:rPr>
              <w:t>Bruno Mattos Souza de Souza Melo</w:t>
            </w:r>
            <w:r w:rsidRPr="00636B72">
              <w:rPr>
                <w:rFonts w:ascii="Arial" w:hAnsi="Arial" w:cs="Arial"/>
              </w:rPr>
              <w:t xml:space="preserve"> </w:t>
            </w:r>
            <w:r w:rsidR="00551257" w:rsidRPr="00636B72">
              <w:rPr>
                <w:rFonts w:ascii="Arial" w:hAnsi="Arial" w:cs="Arial"/>
              </w:rPr>
              <w:t>– 02/42</w:t>
            </w:r>
            <w:r w:rsidR="006901C9">
              <w:rPr>
                <w:rFonts w:ascii="Arial" w:hAnsi="Arial" w:cs="Arial"/>
              </w:rPr>
              <w:t>5</w:t>
            </w:r>
            <w:r w:rsidR="00826AD6">
              <w:rPr>
                <w:rFonts w:ascii="Arial" w:hAnsi="Arial" w:cs="Arial"/>
              </w:rPr>
              <w:t>8</w:t>
            </w:r>
          </w:p>
        </w:tc>
      </w:tr>
      <w:tr w:rsidR="00100C4E" w:rsidRPr="00636B72" ns2:paraId="3400A8BC" ns2:textId="77777777">
        <w:tc>
          <w:tcPr>
            <w:tcW w:w="2654" w:type="pct"/>
            <w:tcBorders>
              <w:top w:val="single" w:sz="0" w:space="0" w:color="000000" w:themeColor="text1"/>
              <w:left w:val="single" w:sz="0" w:space="0" w:color="000000" w:themeColor="text1"/>
              <w:bottom w:val="single" w:sz="0" w:space="0" w:color="000000" w:themeColor="text1"/>
              <w:right w:val="single" w:sz="0" w:space="0" w:color="000000" w:themeColor="text1"/>
            </w:tcBorders>
          </w:tcPr>
          <w:p ns2:paraId="477C9695" ns2:textId="261A00B8" w:rsidR="006901C9" w:rsidRDefault="00644633" w:rsidP="006901C9">
            <w:pPr>
              <w:spacing w:line="276" w:lineRule="auto"/>
              <w:rPr>
                <w:rFonts w:ascii="Arial" w:hAnsi="Arial" w:cs="Arial"/>
                <w:color w:val="212529"/>
                <w:shd w:val="clear" w:color="auto" w:fill="FFFFFF"/>
              </w:rPr>
            </w:pPr>
            <w:r w:rsidRPr="00644633">
              <w:rPr>
                <w:rFonts w:ascii="Arial" w:hAnsi="Arial" w:cs="Arial"/>
                <w:color w:val="212529"/>
                <w:shd w:val="clear" w:color="auto" w:fill="FFFFFF"/>
              </w:rPr>
              <w:t>Fábio Souza Lima</w:t>
            </w:r>
            <w:r>
              <w:rPr>
                <w:rFonts w:ascii="Arial" w:hAnsi="Arial" w:cs="Arial"/>
                <w:color w:val="212529"/>
                <w:shd w:val="clear" w:color="auto" w:fill="FFFFFF"/>
              </w:rPr>
              <w:t xml:space="preserve"> -</w:t>
            </w:r>
            <w:r w:rsidRPr="00644633">
              <w:rPr>
                <w:rFonts w:ascii="Arial" w:hAnsi="Arial" w:cs="Arial"/>
                <w:color w:val="212529"/>
                <w:shd w:val="clear" w:color="auto" w:fill="FFFFFF"/>
              </w:rPr>
              <w:t xml:space="preserve"> 02/4822</w:t>
            </w:r>
          </w:p>
        </w:tc>
        <w:tc>
          <w:tcPr>
            <w:tcW w:w="2346" w:type="pct"/>
            <w:tcBorders>
              <w:top w:val="single" w:sz="0" w:space="0" w:color="000000" w:themeColor="text1"/>
              <w:left w:val="single" w:sz="0" w:space="0" w:color="000000" w:themeColor="text1"/>
              <w:bottom w:val="single" w:sz="0" w:space="0" w:color="000000" w:themeColor="text1"/>
              <w:right w:val="single" w:sz="0" w:space="0" w:color="000000" w:themeColor="text1"/>
            </w:tcBorders>
          </w:tcPr>
          <w:p ns2:paraId="11A9A3E1" ns2:textId="77777777" w:rsidR="006901C9" w:rsidRDefault="006901C9" w:rsidP="006901C9">
            <w:pPr>
              <w:spacing w:line="276" w:lineRule="auto"/>
              <w:rPr>
                <w:rFonts w:ascii="Arial" w:hAnsi="Arial" w:cs="Arial"/>
                <w:lang w:eastAsia="en-US"/>
              </w:rPr>
            </w:pPr>
          </w:p>
        </w:tc>
      </w:tr>
      <w:tr w:rsidR="00100C4E" w:rsidRPr="00636B72" ns2:paraId="5A67714F" ns2:textId="77777777">
        <w:tc>
          <w:tcPr>
            <w:tcW w:w="2654" w:type="pct"/>
            <w:tcBorders>
              <w:top w:val="single" w:sz="0" w:space="0" w:color="000000" w:themeColor="text1"/>
              <w:left w:val="single" w:sz="0" w:space="0" w:color="000000" w:themeColor="text1"/>
              <w:bottom w:val="single" w:sz="0" w:space="0" w:color="000000" w:themeColor="text1"/>
              <w:right w:val="single" w:sz="0" w:space="0" w:color="000000" w:themeColor="text1"/>
            </w:tcBorders>
          </w:tcPr>
          <w:p ns2:paraId="7C650FE0" ns2:textId="156A8C0C" w:rsidR="00551257" w:rsidRPr="00636B72" w:rsidRDefault="00826AD6" w:rsidP="006901C9">
            <w:pPr>
              <w:spacing w:line="276" w:lineRule="auto"/>
              <w:rPr>
                <w:rFonts w:ascii="Arial" w:hAnsi="Arial" w:cs="Arial"/>
              </w:rPr>
            </w:pPr>
            <w:r>
              <w:rPr>
                <w:rFonts w:ascii="Arial" w:hAnsi="Arial" w:cs="Arial"/>
              </w:rPr>
              <w:t xml:space="preserve">João Paulo </w:t>
            </w:r>
            <w:r w:rsidR="00644633">
              <w:rPr>
                <w:rFonts w:ascii="Arial" w:hAnsi="Arial" w:cs="Arial"/>
              </w:rPr>
              <w:t xml:space="preserve">de </w:t>
            </w:r>
            <w:r>
              <w:rPr>
                <w:rFonts w:ascii="Arial" w:hAnsi="Arial" w:cs="Arial"/>
              </w:rPr>
              <w:t>Freitas Ramirez</w:t>
            </w:r>
            <w:r w:rsidR="00551257" w:rsidRPr="00636B72">
              <w:rPr>
                <w:rFonts w:ascii="Arial" w:hAnsi="Arial" w:cs="Arial"/>
              </w:rPr>
              <w:t xml:space="preserve"> - 02/482</w:t>
            </w:r>
            <w:r>
              <w:rPr>
                <w:rFonts w:ascii="Arial" w:hAnsi="Arial" w:cs="Arial"/>
              </w:rPr>
              <w:t>0</w:t>
            </w:r>
          </w:p>
        </w:tc>
        <w:tc>
          <w:tcPr>
            <w:tcW w:w="2346" w:type="pct"/>
            <w:tcBorders>
              <w:top w:val="single" w:sz="0" w:space="0" w:color="000000" w:themeColor="text1"/>
              <w:left w:val="single" w:sz="0" w:space="0" w:color="000000" w:themeColor="text1"/>
              <w:bottom w:val="single" w:sz="0" w:space="0" w:color="000000" w:themeColor="text1"/>
              <w:right w:val="single" w:sz="0" w:space="0" w:color="000000" w:themeColor="text1"/>
            </w:tcBorders>
          </w:tcPr>
          <w:p ns2:paraId="4C1EF345" ns2:textId="77777777" w:rsidR="00551257" w:rsidRPr="00636B72" w:rsidRDefault="00551257" w:rsidP="006901C9">
            <w:pPr>
              <w:spacing w:line="276" w:lineRule="auto"/>
              <w:rPr>
                <w:rFonts w:ascii="Arial" w:hAnsi="Arial" w:cs="Arial"/>
              </w:rPr>
            </w:pPr>
          </w:p>
        </w:tc>
      </w:tr>
    </w:tbl>
    <w:sectPr w:rsidR="00790940" w:rsidRPr="00636B72" w:rsidSect="00E0568D">
      <w:headerReference w:type="default" r:id="rId31"/>
      <w:pgSz w:w="23808" w:h="16840" w:orient="landscape" w:code="8"/>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8211D" w14:textId="77777777" w:rsidR="004822D5" w:rsidRDefault="004822D5" w:rsidP="00E1739A">
      <w:r>
        <w:separator/>
      </w:r>
    </w:p>
  </w:endnote>
  <w:endnote w:type="continuationSeparator" w:id="0">
    <w:p w14:paraId="3475EB2F" w14:textId="77777777" w:rsidR="004822D5" w:rsidRDefault="004822D5" w:rsidP="00E1739A">
      <w:r>
        <w:continuationSeparator/>
      </w:r>
    </w:p>
  </w:endnote>
  <w:endnote w:type="continuationNotice" w:id="1">
    <w:p w14:paraId="7A504E6D" w14:textId="77777777" w:rsidR="004822D5" w:rsidRDefault="004822D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
    <w:altName w:val="Times New Roman"/>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B9FD3" w14:textId="77777777" w:rsidR="004822D5" w:rsidRDefault="004822D5" w:rsidP="00E1739A">
      <w:r>
        <w:separator/>
      </w:r>
    </w:p>
  </w:footnote>
  <w:footnote w:type="continuationSeparator" w:id="0">
    <w:p w14:paraId="3DE19FB1" w14:textId="77777777" w:rsidR="004822D5" w:rsidRDefault="004822D5" w:rsidP="00E1739A">
      <w:r>
        <w:continuationSeparator/>
      </w:r>
    </w:p>
  </w:footnote>
  <w:footnote w:type="continuationNotice" w:id="1">
    <w:p w14:paraId="16EFF2DF" w14:textId="77777777" w:rsidR="004822D5" w:rsidRDefault="004822D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acomgrade"/>
      <w:tblW w:w="223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093"/>
      <w:gridCol w:w="13466"/>
    </w:tblGrid>
    <w:tr w:rsidR="00476021" w14:paraId="260A0D9D" w14:textId="77777777" w:rsidTr="00164EE8">
      <w:tc>
        <w:tcPr>
          <w:tcW w:w="1838" w:type="dxa"/>
        </w:tcPr>
        <w:p w14:paraId="4885B09B" w14:textId="42238352" w:rsidR="009036F0" w:rsidRDefault="009036F0" w:rsidP="009036F0">
          <w:pPr>
            <w:pStyle w:val="Ttulo"/>
            <w:spacing w:before="0"/>
            <w:ind w:left="0"/>
          </w:pPr>
          <w:r>
            <w:rPr>
              <w:noProof/>
            </w:rPr>
            <w:drawing>
              <wp:anchor distT="0" distB="0" distL="114300" distR="114300" simplePos="0" relativeHeight="251658240" behindDoc="0" locked="0" layoutInCell="1" allowOverlap="1" wp14:anchorId="6771BF46" wp14:editId="0782D34F">
                <wp:simplePos x="0" y="0"/>
                <wp:positionH relativeFrom="column">
                  <wp:posOffset>181637</wp:posOffset>
                </wp:positionH>
                <wp:positionV relativeFrom="paragraph">
                  <wp:posOffset>4815</wp:posOffset>
                </wp:positionV>
                <wp:extent cx="903478" cy="381468"/>
                <wp:effectExtent l="0" t="0" r="0" b="0"/>
                <wp:wrapNone/>
                <wp:docPr id="954985232" name="Picture 954985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horizontal-colorida-para_fundo_branco.sv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930644" cy="392938"/>
                        </a:xfrm>
                        <a:prstGeom prst="rect">
                          <a:avLst/>
                        </a:prstGeom>
                      </pic:spPr>
                    </pic:pic>
                  </a:graphicData>
                </a:graphic>
                <wp14:sizeRelH relativeFrom="page">
                  <wp14:pctWidth>0</wp14:pctWidth>
                </wp14:sizeRelH>
                <wp14:sizeRelV relativeFrom="page">
                  <wp14:pctHeight>0</wp14:pctHeight>
                </wp14:sizeRelV>
              </wp:anchor>
            </w:drawing>
          </w:r>
        </w:p>
      </w:tc>
      <w:tc>
        <w:tcPr>
          <w:tcW w:w="7093" w:type="dxa"/>
        </w:tcPr>
        <w:p w14:paraId="7692314E" w14:textId="7732243A" w:rsidR="009036F0" w:rsidRPr="003C6BC3" w:rsidRDefault="009036F0" w:rsidP="003C6BC3">
          <w:pPr>
            <w:pStyle w:val="Cabealho"/>
            <w:rPr>
              <w:rFonts w:ascii="Arial" w:hAnsi="Arial" w:cs="Arial"/>
              <w:sz w:val="16"/>
              <w:szCs w:val="16"/>
            </w:rPr>
          </w:pPr>
          <w:r w:rsidRPr="003C6BC3">
            <w:rPr>
              <w:rFonts w:ascii="Arial" w:hAnsi="Arial" w:cs="Arial"/>
              <w:sz w:val="16"/>
              <w:szCs w:val="16"/>
            </w:rPr>
            <w:t>SECRETARIA-GERAL</w:t>
          </w:r>
          <w:r w:rsidRPr="003C6BC3">
            <w:rPr>
              <w:rFonts w:ascii="Arial" w:hAnsi="Arial" w:cs="Arial"/>
              <w:spacing w:val="-2"/>
              <w:sz w:val="16"/>
              <w:szCs w:val="16"/>
            </w:rPr>
            <w:t xml:space="preserve"> </w:t>
          </w:r>
          <w:r w:rsidRPr="003C6BC3">
            <w:rPr>
              <w:rFonts w:ascii="Arial" w:hAnsi="Arial" w:cs="Arial"/>
              <w:sz w:val="16"/>
              <w:szCs w:val="16"/>
            </w:rPr>
            <w:t>DE</w:t>
          </w:r>
          <w:r w:rsidRPr="003C6BC3">
            <w:rPr>
              <w:rFonts w:ascii="Arial" w:hAnsi="Arial" w:cs="Arial"/>
              <w:spacing w:val="-1"/>
              <w:sz w:val="16"/>
              <w:szCs w:val="16"/>
            </w:rPr>
            <w:t xml:space="preserve"> </w:t>
          </w:r>
          <w:r w:rsidRPr="003C6BC3">
            <w:rPr>
              <w:rFonts w:ascii="Arial" w:hAnsi="Arial" w:cs="Arial"/>
              <w:sz w:val="16"/>
              <w:szCs w:val="16"/>
            </w:rPr>
            <w:t>CONTROLE</w:t>
          </w:r>
          <w:r w:rsidRPr="003C6BC3">
            <w:rPr>
              <w:rFonts w:ascii="Arial" w:hAnsi="Arial" w:cs="Arial"/>
              <w:spacing w:val="-1"/>
              <w:sz w:val="16"/>
              <w:szCs w:val="16"/>
            </w:rPr>
            <w:t xml:space="preserve"> </w:t>
          </w:r>
          <w:r w:rsidRPr="003C6BC3">
            <w:rPr>
              <w:rFonts w:ascii="Arial" w:hAnsi="Arial" w:cs="Arial"/>
              <w:sz w:val="16"/>
              <w:szCs w:val="16"/>
            </w:rPr>
            <w:t>EXTERNO</w:t>
          </w:r>
        </w:p>
        <w:p w14:paraId="617A7E23" w14:textId="59A4ABCC" w:rsidR="009036F0" w:rsidRPr="003C6BC3" w:rsidRDefault="009036F0" w:rsidP="003C6BC3">
          <w:pPr>
            <w:pStyle w:val="Ttulo"/>
            <w:tabs>
              <w:tab w:val="left" w:pos="6105"/>
            </w:tabs>
            <w:spacing w:before="0"/>
            <w:ind w:left="0"/>
            <w:jc w:val="left"/>
            <w:rPr>
              <w:rFonts w:eastAsia="Arial MT"/>
              <w:b w:val="0"/>
              <w:bCs w:val="0"/>
              <w:sz w:val="16"/>
              <w:szCs w:val="16"/>
            </w:rPr>
          </w:pPr>
          <w:r w:rsidRPr="003C6BC3">
            <w:rPr>
              <w:rFonts w:eastAsia="Arial MT"/>
              <w:b w:val="0"/>
              <w:bCs w:val="0"/>
              <w:sz w:val="16"/>
              <w:szCs w:val="16"/>
            </w:rPr>
            <w:t>SUBSECRETARIA DE CONTROLE DE POLÍTICAS DE CIDADANIA</w:t>
          </w:r>
        </w:p>
        <w:p w14:paraId="4BD4FB4E" w14:textId="3216BC59" w:rsidR="009036F0" w:rsidRPr="003C6BC3" w:rsidRDefault="009036F0" w:rsidP="003C6BC3">
          <w:pPr>
            <w:pStyle w:val="Ttulo"/>
            <w:spacing w:before="0"/>
            <w:ind w:left="0"/>
            <w:jc w:val="left"/>
            <w:rPr>
              <w:sz w:val="16"/>
              <w:szCs w:val="16"/>
            </w:rPr>
          </w:pPr>
          <w:r w:rsidRPr="003C6BC3">
            <w:rPr>
              <w:rFonts w:eastAsia="Arial MT"/>
              <w:b w:val="0"/>
              <w:bCs w:val="0"/>
              <w:sz w:val="16"/>
              <w:szCs w:val="16"/>
            </w:rPr>
            <w:t>COORDENADORIA DE AUDITORIA DE POLÍTICAS EM TECNOLOGIA DA INFORMAÇÃO</w:t>
          </w:r>
        </w:p>
      </w:tc>
      <w:tc>
        <w:tcPr>
          <w:tcW w:w="13466" w:type="dxa"/>
        </w:tcPr>
        <w:p w14:paraId="17267BE2" w14:textId="617A7088" w:rsidR="00D62CE9" w:rsidRPr="00F25234" w:rsidRDefault="00D62CE9" w:rsidP="00F42298">
          <w:pPr>
            <w:tabs>
              <w:tab w:val="right" w:pos="14034"/>
            </w:tabs>
            <w:autoSpaceDE w:val="0"/>
            <w:autoSpaceDN w:val="0"/>
            <w:adjustRightInd w:val="0"/>
            <w:spacing w:after="120"/>
            <w:ind w:left="-386" w:firstLine="386"/>
            <w:rPr>
              <w:rFonts w:ascii="Arial" w:hAnsi="Arial" w:cs="Arial"/>
              <w:sz w:val="18"/>
              <w:szCs w:val="18"/>
            </w:rPr>
          </w:pPr>
          <w:r w:rsidRPr="00F25234">
            <w:rPr>
              <w:rFonts w:ascii="Arial" w:hAnsi="Arial" w:cs="Arial"/>
              <w:b/>
              <w:bCs/>
              <w:sz w:val="18"/>
              <w:szCs w:val="18"/>
            </w:rPr>
            <w:t>FISCALIZAÇÃO</w:t>
          </w:r>
          <w:r w:rsidRPr="00F25234">
            <w:rPr>
              <w:rFonts w:ascii="Arial" w:hAnsi="Arial" w:cs="Arial"/>
              <w:sz w:val="18"/>
              <w:szCs w:val="18"/>
            </w:rPr>
            <w:t>: 1</w:t>
          </w:r>
          <w:r w:rsidR="009E60F6">
            <w:rPr>
              <w:rFonts w:ascii="Arial" w:hAnsi="Arial" w:cs="Arial"/>
              <w:sz w:val="18"/>
              <w:szCs w:val="18"/>
            </w:rPr>
            <w:t>8</w:t>
          </w:r>
          <w:r w:rsidRPr="00F25234">
            <w:rPr>
              <w:rFonts w:ascii="Arial" w:hAnsi="Arial" w:cs="Arial"/>
              <w:sz w:val="18"/>
              <w:szCs w:val="18"/>
            </w:rPr>
            <w:t>/202</w:t>
          </w:r>
          <w:r w:rsidR="009E60F6">
            <w:rPr>
              <w:rFonts w:ascii="Arial" w:hAnsi="Arial" w:cs="Arial"/>
              <w:sz w:val="18"/>
              <w:szCs w:val="18"/>
            </w:rPr>
            <w:t>6</w:t>
          </w:r>
        </w:p>
        <w:p w14:paraId="3A6B45F9" w14:textId="6FCBAC11" w:rsidR="00D62CE9" w:rsidRPr="00F25234" w:rsidRDefault="00D62CE9" w:rsidP="00D62CE9">
          <w:pPr>
            <w:autoSpaceDE w:val="0"/>
            <w:autoSpaceDN w:val="0"/>
            <w:adjustRightInd w:val="0"/>
            <w:spacing w:after="120"/>
            <w:jc w:val="both"/>
            <w:rPr>
              <w:rFonts w:ascii="Arial" w:hAnsi="Arial" w:cs="Arial"/>
              <w:sz w:val="18"/>
              <w:szCs w:val="18"/>
            </w:rPr>
          </w:pPr>
          <w:r w:rsidRPr="00F25234">
            <w:rPr>
              <w:rFonts w:ascii="Arial" w:hAnsi="Arial" w:cs="Arial"/>
              <w:b/>
              <w:bCs/>
              <w:sz w:val="18"/>
              <w:szCs w:val="18"/>
            </w:rPr>
            <w:t>JURISDICIONADOS</w:t>
          </w:r>
          <w:r w:rsidRPr="00F25234">
            <w:rPr>
              <w:rFonts w:ascii="Arial" w:hAnsi="Arial" w:cs="Arial"/>
              <w:sz w:val="18"/>
              <w:szCs w:val="18"/>
            </w:rPr>
            <w:t xml:space="preserve">: </w:t>
          </w:r>
          <w:r w:rsidR="001A6023" w:rsidRPr="001A6023">
            <w:rPr>
              <w:rFonts w:ascii="Arial" w:hAnsi="Arial" w:cs="Arial"/>
              <w:sz w:val="18"/>
              <w:szCs w:val="18"/>
            </w:rPr>
            <w:t>AGENERSA, AGERIO, AGETRANSP, CASERJ, CEASA, CECIERJ, CEDAE, CEHAB, CENTRAL, CEPERJ, CODERTE, CODIN, CGE, DEGASE, DERRJ, DETRAN, DETRO, DPGE, DRM, EMATER, EMOP, FAETEC, FAPERJ, FCFB, FIA, FIPERJ, FLXIII, FMIS, FS, FSC, FTM, FUNARJ, GSI, IASERJ, IEEA, INEA, INEPAC, IRM, IO, IPEM, ITERJ, IVB, JUCERJA, LOTERJ, MPE, PESAGRO, PGE, PMAR, PMA, PMAB, PMAC, PMBP, PMBR, PMCF, PMCG, PMCA, PMDC, PMG, PMI, PMJ, PMM, PMM, PMM, PMM, PMN, PMNF, PMNI, PMP, PMP, PMPR, PMQ, PMQ, PMQ, PMRO, PMSJB, PMSJM, PMSPA, PMS, PMS, PMSG, PMT, PMVR, PROCON, PRODERJ, RIOTRILHOS, RJ PREV, SEAP, SEAPA, SECTI, SECEC, SECC, SECID, SEDEC, SEDCON, SEDEICS, SEDSODH, SEEDUC, SEENEMAR, SEENVS, SEELJE, SEFAZ, SEGG, SEGOV, SEHIS, SEIOP, SEPLAG, SEPOL, SEPM, SES, SETD, SETRANS, SETUR, SUDERJ, TCE, TJERJ, TURISRIO, UENF, UERJ, UEZO</w:t>
          </w:r>
          <w:r w:rsidRPr="00F25234">
            <w:rPr>
              <w:rFonts w:ascii="Arial" w:hAnsi="Arial" w:cs="Arial"/>
              <w:sz w:val="16"/>
              <w:szCs w:val="16"/>
            </w:rPr>
            <w:t>.</w:t>
          </w:r>
        </w:p>
        <w:p w14:paraId="44B9C6BD" w14:textId="61CE63E0" w:rsidR="009036F0" w:rsidRPr="003C6BC3" w:rsidRDefault="00D62CE9" w:rsidP="00D62CE9">
          <w:pPr>
            <w:pStyle w:val="Corpodetexto"/>
            <w:spacing w:after="120"/>
            <w:rPr>
              <w:rFonts w:ascii="Arial" w:hAnsi="Arial" w:cs="Arial"/>
            </w:rPr>
          </w:pPr>
          <w:r w:rsidRPr="00F25234">
            <w:rPr>
              <w:rFonts w:ascii="Arial" w:hAnsi="Arial" w:cs="Arial"/>
              <w:b/>
              <w:bCs/>
              <w:sz w:val="18"/>
              <w:szCs w:val="18"/>
            </w:rPr>
            <w:t>OBJETIVO DA AUDITORIA</w:t>
          </w:r>
          <w:r w:rsidRPr="00F25234">
            <w:rPr>
              <w:rFonts w:ascii="Arial" w:hAnsi="Arial" w:cs="Arial"/>
              <w:sz w:val="18"/>
              <w:szCs w:val="18"/>
            </w:rPr>
            <w:t xml:space="preserve">: </w:t>
          </w:r>
          <w:r w:rsidR="009E6A50" w:rsidRPr="009E6A50">
            <w:rPr>
              <w:rFonts w:ascii="Arial" w:hAnsi="Arial" w:cs="Arial"/>
              <w:sz w:val="18"/>
              <w:szCs w:val="18"/>
            </w:rPr>
            <w:t>Avaliar o grau de maturidade e a conformidade das práticas de governança e gestão de Tecnologia da Informação e Comunicação (TIC) adotadas pelos jurisdicionados, identificando evoluções em relação ao ciclo de 2023 e induzindo a adoção de boas práticas internacionais</w:t>
          </w:r>
          <w:r w:rsidRPr="00F25234">
            <w:rPr>
              <w:rFonts w:ascii="Arial" w:hAnsi="Arial" w:cs="Arial"/>
              <w:sz w:val="18"/>
              <w:szCs w:val="18"/>
            </w:rPr>
            <w:t>.</w:t>
          </w:r>
        </w:p>
      </w:tc>
    </w:tr>
  </w:tbl>
  <w:p w14:paraId="3AB268CB" w14:textId="77777777" w:rsidR="0041253F" w:rsidRPr="0041253F" w:rsidRDefault="0041253F" w:rsidP="00ED5C0C">
    <w:pPr>
      <w:jc w:val="center"/>
      <w:rPr>
        <w:bCs/>
        <w:sz w:val="12"/>
        <w:szCs w:val="12"/>
      </w:rPr>
    </w:pPr>
  </w:p>
  <w:p w14:paraId="10951264" w14:textId="77777777" w:rsidR="000A68D2" w:rsidRPr="000A68D2" w:rsidRDefault="000A68D2" w:rsidP="009036F0">
    <w:pPr>
      <w:pStyle w:val="Cabealho"/>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A245D"/>
    <w:multiLevelType w:val="hybridMultilevel"/>
    <w:tmpl w:val="0EC850A0"/>
    <w:lvl w:ilvl="0" w:tplc="04160001">
      <w:start w:val="1"/>
      <w:numFmt w:val="bullet"/>
      <w:lvlText w:val=""/>
      <w:lvlJc w:val="left"/>
      <w:pPr>
        <w:ind w:left="720" w:hanging="360"/>
      </w:pPr>
      <w:rPr>
        <w:rFonts w:ascii="Symbol" w:hAnsi="Symbol"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0FF0906"/>
    <w:multiLevelType w:val="hybridMultilevel"/>
    <w:tmpl w:val="A6D832F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4CD1382"/>
    <w:multiLevelType w:val="hybridMultilevel"/>
    <w:tmpl w:val="221E19C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FD831BD"/>
    <w:multiLevelType w:val="hybridMultilevel"/>
    <w:tmpl w:val="56B6D9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98136D"/>
    <w:multiLevelType w:val="hybridMultilevel"/>
    <w:tmpl w:val="5DE0F044"/>
    <w:lvl w:ilvl="0" w:tplc="0416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2BE16D3"/>
    <w:multiLevelType w:val="hybridMultilevel"/>
    <w:tmpl w:val="AAE2241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78F57FC"/>
    <w:multiLevelType w:val="hybridMultilevel"/>
    <w:tmpl w:val="56B6D9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D4027FB"/>
    <w:multiLevelType w:val="hybridMultilevel"/>
    <w:tmpl w:val="12E8A79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72F56DB6"/>
    <w:multiLevelType w:val="hybridMultilevel"/>
    <w:tmpl w:val="3BF80A9E"/>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9" w15:restartNumberingAfterBreak="0">
    <w:nsid w:val="76AC7162"/>
    <w:multiLevelType w:val="hybridMultilevel"/>
    <w:tmpl w:val="C58040D0"/>
    <w:lvl w:ilvl="0" w:tplc="B4BAB86E">
      <w:start w:val="1"/>
      <w:numFmt w:val="decimal"/>
      <w:lvlText w:val="C%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E4D28B5"/>
    <w:multiLevelType w:val="hybridMultilevel"/>
    <w:tmpl w:val="C25004F8"/>
    <w:lvl w:ilvl="0" w:tplc="04160001">
      <w:start w:val="1"/>
      <w:numFmt w:val="bullet"/>
      <w:lvlText w:val=""/>
      <w:lvlJc w:val="left"/>
      <w:pPr>
        <w:ind w:left="720" w:hanging="360"/>
      </w:pPr>
      <w:rPr>
        <w:rFonts w:ascii="Symbol" w:hAnsi="Symbol"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7F385108"/>
    <w:multiLevelType w:val="hybridMultilevel"/>
    <w:tmpl w:val="BD8C24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355688378">
    <w:abstractNumId w:val="1"/>
  </w:num>
  <w:num w:numId="2" w16cid:durableId="1802962893">
    <w:abstractNumId w:val="11"/>
  </w:num>
  <w:num w:numId="3" w16cid:durableId="828132850">
    <w:abstractNumId w:val="10"/>
  </w:num>
  <w:num w:numId="4" w16cid:durableId="1057122054">
    <w:abstractNumId w:val="0"/>
  </w:num>
  <w:num w:numId="5" w16cid:durableId="56782156">
    <w:abstractNumId w:val="7"/>
  </w:num>
  <w:num w:numId="6" w16cid:durableId="1705597396">
    <w:abstractNumId w:val="3"/>
  </w:num>
  <w:num w:numId="7" w16cid:durableId="462815941">
    <w:abstractNumId w:val="6"/>
  </w:num>
  <w:num w:numId="8" w16cid:durableId="1116830289">
    <w:abstractNumId w:val="5"/>
  </w:num>
  <w:num w:numId="9" w16cid:durableId="1940595995">
    <w:abstractNumId w:val="4"/>
  </w:num>
  <w:num w:numId="10" w16cid:durableId="557208518">
    <w:abstractNumId w:val="2"/>
  </w:num>
  <w:num w:numId="11" w16cid:durableId="2032679892">
    <w:abstractNumId w:val="8"/>
  </w:num>
  <w:num w:numId="12" w16cid:durableId="15579380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39A"/>
    <w:rsid w:val="00000009"/>
    <w:rsid w:val="000009DD"/>
    <w:rsid w:val="00001C78"/>
    <w:rsid w:val="00002542"/>
    <w:rsid w:val="00002785"/>
    <w:rsid w:val="00002F98"/>
    <w:rsid w:val="00003A1C"/>
    <w:rsid w:val="00003BA1"/>
    <w:rsid w:val="00003CA5"/>
    <w:rsid w:val="0000415B"/>
    <w:rsid w:val="00005867"/>
    <w:rsid w:val="00005909"/>
    <w:rsid w:val="00005E5B"/>
    <w:rsid w:val="00005FC6"/>
    <w:rsid w:val="000070A6"/>
    <w:rsid w:val="000071E2"/>
    <w:rsid w:val="00007D3E"/>
    <w:rsid w:val="00007D68"/>
    <w:rsid w:val="0001093D"/>
    <w:rsid w:val="00010B84"/>
    <w:rsid w:val="00010B94"/>
    <w:rsid w:val="00010F94"/>
    <w:rsid w:val="00011064"/>
    <w:rsid w:val="00011793"/>
    <w:rsid w:val="00011A33"/>
    <w:rsid w:val="00011B33"/>
    <w:rsid w:val="00011F5F"/>
    <w:rsid w:val="00012102"/>
    <w:rsid w:val="00013547"/>
    <w:rsid w:val="000137FD"/>
    <w:rsid w:val="00014894"/>
    <w:rsid w:val="0001504C"/>
    <w:rsid w:val="00015A9E"/>
    <w:rsid w:val="00016143"/>
    <w:rsid w:val="0001648E"/>
    <w:rsid w:val="00017401"/>
    <w:rsid w:val="0001764B"/>
    <w:rsid w:val="00020202"/>
    <w:rsid w:val="0002081B"/>
    <w:rsid w:val="000230D8"/>
    <w:rsid w:val="00023BC3"/>
    <w:rsid w:val="00024774"/>
    <w:rsid w:val="00024FD9"/>
    <w:rsid w:val="0002518A"/>
    <w:rsid w:val="0002538F"/>
    <w:rsid w:val="00025A8F"/>
    <w:rsid w:val="00025EA0"/>
    <w:rsid w:val="0002600B"/>
    <w:rsid w:val="000269EB"/>
    <w:rsid w:val="00026BC5"/>
    <w:rsid w:val="00027AB9"/>
    <w:rsid w:val="000308EA"/>
    <w:rsid w:val="000310C3"/>
    <w:rsid w:val="000315A3"/>
    <w:rsid w:val="00031B7B"/>
    <w:rsid w:val="00033072"/>
    <w:rsid w:val="000335BC"/>
    <w:rsid w:val="00033E16"/>
    <w:rsid w:val="00033FC1"/>
    <w:rsid w:val="0003409C"/>
    <w:rsid w:val="00034D38"/>
    <w:rsid w:val="00036758"/>
    <w:rsid w:val="00036A32"/>
    <w:rsid w:val="00036B64"/>
    <w:rsid w:val="00037B57"/>
    <w:rsid w:val="00037F47"/>
    <w:rsid w:val="000406B0"/>
    <w:rsid w:val="00040832"/>
    <w:rsid w:val="00040A57"/>
    <w:rsid w:val="00040F90"/>
    <w:rsid w:val="0004101E"/>
    <w:rsid w:val="0004134E"/>
    <w:rsid w:val="0004144D"/>
    <w:rsid w:val="00041D78"/>
    <w:rsid w:val="00041FBD"/>
    <w:rsid w:val="00042B16"/>
    <w:rsid w:val="000434B2"/>
    <w:rsid w:val="00043A06"/>
    <w:rsid w:val="0004477A"/>
    <w:rsid w:val="0004543E"/>
    <w:rsid w:val="00045966"/>
    <w:rsid w:val="00045D00"/>
    <w:rsid w:val="00046FF2"/>
    <w:rsid w:val="0005089E"/>
    <w:rsid w:val="00050ACE"/>
    <w:rsid w:val="00051731"/>
    <w:rsid w:val="00051DBA"/>
    <w:rsid w:val="00052375"/>
    <w:rsid w:val="0005249E"/>
    <w:rsid w:val="00052B40"/>
    <w:rsid w:val="00052B98"/>
    <w:rsid w:val="0005310A"/>
    <w:rsid w:val="000533C5"/>
    <w:rsid w:val="00053C0D"/>
    <w:rsid w:val="00056E0B"/>
    <w:rsid w:val="0005798B"/>
    <w:rsid w:val="00060D42"/>
    <w:rsid w:val="000610EF"/>
    <w:rsid w:val="0006135D"/>
    <w:rsid w:val="0006169D"/>
    <w:rsid w:val="00061BA6"/>
    <w:rsid w:val="0006306A"/>
    <w:rsid w:val="000632A7"/>
    <w:rsid w:val="00063707"/>
    <w:rsid w:val="00064637"/>
    <w:rsid w:val="000650FA"/>
    <w:rsid w:val="000651FB"/>
    <w:rsid w:val="00065428"/>
    <w:rsid w:val="00065DF2"/>
    <w:rsid w:val="00066E80"/>
    <w:rsid w:val="00067795"/>
    <w:rsid w:val="000678A3"/>
    <w:rsid w:val="00067933"/>
    <w:rsid w:val="00072225"/>
    <w:rsid w:val="0007378B"/>
    <w:rsid w:val="00073EDB"/>
    <w:rsid w:val="000743D7"/>
    <w:rsid w:val="00074E65"/>
    <w:rsid w:val="00075AE5"/>
    <w:rsid w:val="000761FF"/>
    <w:rsid w:val="00076244"/>
    <w:rsid w:val="00077113"/>
    <w:rsid w:val="0007781D"/>
    <w:rsid w:val="00077F74"/>
    <w:rsid w:val="000800E0"/>
    <w:rsid w:val="00080F6C"/>
    <w:rsid w:val="00082523"/>
    <w:rsid w:val="0008253A"/>
    <w:rsid w:val="000825D5"/>
    <w:rsid w:val="00083207"/>
    <w:rsid w:val="00083597"/>
    <w:rsid w:val="00083A63"/>
    <w:rsid w:val="00083BAE"/>
    <w:rsid w:val="00084D33"/>
    <w:rsid w:val="00085B13"/>
    <w:rsid w:val="000860A1"/>
    <w:rsid w:val="00086B7F"/>
    <w:rsid w:val="0008706D"/>
    <w:rsid w:val="000909F2"/>
    <w:rsid w:val="00091F06"/>
    <w:rsid w:val="000925E6"/>
    <w:rsid w:val="000927A3"/>
    <w:rsid w:val="00092D66"/>
    <w:rsid w:val="00094067"/>
    <w:rsid w:val="0009439B"/>
    <w:rsid w:val="00094BCE"/>
    <w:rsid w:val="00096DEF"/>
    <w:rsid w:val="00097268"/>
    <w:rsid w:val="000A0C75"/>
    <w:rsid w:val="000A10D3"/>
    <w:rsid w:val="000A1729"/>
    <w:rsid w:val="000A1792"/>
    <w:rsid w:val="000A2B23"/>
    <w:rsid w:val="000A2B4E"/>
    <w:rsid w:val="000A33AE"/>
    <w:rsid w:val="000A36B1"/>
    <w:rsid w:val="000A3C50"/>
    <w:rsid w:val="000A3F5F"/>
    <w:rsid w:val="000A588A"/>
    <w:rsid w:val="000A624A"/>
    <w:rsid w:val="000A6618"/>
    <w:rsid w:val="000A68D2"/>
    <w:rsid w:val="000B04FA"/>
    <w:rsid w:val="000B09C5"/>
    <w:rsid w:val="000B0D68"/>
    <w:rsid w:val="000B0FAE"/>
    <w:rsid w:val="000B1794"/>
    <w:rsid w:val="000B2BE1"/>
    <w:rsid w:val="000B425C"/>
    <w:rsid w:val="000B4649"/>
    <w:rsid w:val="000B4E5B"/>
    <w:rsid w:val="000B4EB7"/>
    <w:rsid w:val="000B53C5"/>
    <w:rsid w:val="000B53C8"/>
    <w:rsid w:val="000B56A3"/>
    <w:rsid w:val="000B5E73"/>
    <w:rsid w:val="000B6819"/>
    <w:rsid w:val="000B7A3F"/>
    <w:rsid w:val="000C2252"/>
    <w:rsid w:val="000C23CC"/>
    <w:rsid w:val="000C2C67"/>
    <w:rsid w:val="000C34AA"/>
    <w:rsid w:val="000C468B"/>
    <w:rsid w:val="000C675A"/>
    <w:rsid w:val="000C67D5"/>
    <w:rsid w:val="000C693D"/>
    <w:rsid w:val="000C700D"/>
    <w:rsid w:val="000C7881"/>
    <w:rsid w:val="000D0A9A"/>
    <w:rsid w:val="000D1AE6"/>
    <w:rsid w:val="000D1EA8"/>
    <w:rsid w:val="000D3D36"/>
    <w:rsid w:val="000D4C1D"/>
    <w:rsid w:val="000D5743"/>
    <w:rsid w:val="000D5EB4"/>
    <w:rsid w:val="000D6BF7"/>
    <w:rsid w:val="000D6E72"/>
    <w:rsid w:val="000E00EC"/>
    <w:rsid w:val="000E0978"/>
    <w:rsid w:val="000E0B92"/>
    <w:rsid w:val="000E0BAF"/>
    <w:rsid w:val="000E244A"/>
    <w:rsid w:val="000E2C23"/>
    <w:rsid w:val="000E2CDE"/>
    <w:rsid w:val="000E3C38"/>
    <w:rsid w:val="000E4775"/>
    <w:rsid w:val="000E516E"/>
    <w:rsid w:val="000E56CB"/>
    <w:rsid w:val="000E5E8E"/>
    <w:rsid w:val="000E6420"/>
    <w:rsid w:val="000E6A95"/>
    <w:rsid w:val="000E6E19"/>
    <w:rsid w:val="000E78D6"/>
    <w:rsid w:val="000F02D3"/>
    <w:rsid w:val="000F05D8"/>
    <w:rsid w:val="000F0DB0"/>
    <w:rsid w:val="000F0EB9"/>
    <w:rsid w:val="000F1445"/>
    <w:rsid w:val="000F2FA3"/>
    <w:rsid w:val="000F4DC8"/>
    <w:rsid w:val="000F571A"/>
    <w:rsid w:val="000F5727"/>
    <w:rsid w:val="000F6298"/>
    <w:rsid w:val="000F640C"/>
    <w:rsid w:val="000F655B"/>
    <w:rsid w:val="000F6A18"/>
    <w:rsid w:val="000F7859"/>
    <w:rsid w:val="00100C4E"/>
    <w:rsid w:val="00101170"/>
    <w:rsid w:val="0010133B"/>
    <w:rsid w:val="00101D07"/>
    <w:rsid w:val="00101E48"/>
    <w:rsid w:val="00102037"/>
    <w:rsid w:val="0010281A"/>
    <w:rsid w:val="00102A7D"/>
    <w:rsid w:val="001031D7"/>
    <w:rsid w:val="00103423"/>
    <w:rsid w:val="00104322"/>
    <w:rsid w:val="00104BD4"/>
    <w:rsid w:val="00106398"/>
    <w:rsid w:val="00106582"/>
    <w:rsid w:val="00106AF2"/>
    <w:rsid w:val="0011017D"/>
    <w:rsid w:val="00111BB7"/>
    <w:rsid w:val="00112CF1"/>
    <w:rsid w:val="00112F81"/>
    <w:rsid w:val="00113F4A"/>
    <w:rsid w:val="001146A5"/>
    <w:rsid w:val="00114C51"/>
    <w:rsid w:val="00115B90"/>
    <w:rsid w:val="001163B0"/>
    <w:rsid w:val="001165A8"/>
    <w:rsid w:val="00117235"/>
    <w:rsid w:val="001173F3"/>
    <w:rsid w:val="001176B6"/>
    <w:rsid w:val="00120BF1"/>
    <w:rsid w:val="001211CB"/>
    <w:rsid w:val="00121282"/>
    <w:rsid w:val="001212B0"/>
    <w:rsid w:val="001216C5"/>
    <w:rsid w:val="00121DC0"/>
    <w:rsid w:val="001220FE"/>
    <w:rsid w:val="00122A8D"/>
    <w:rsid w:val="00124F1F"/>
    <w:rsid w:val="00125383"/>
    <w:rsid w:val="00127435"/>
    <w:rsid w:val="00131949"/>
    <w:rsid w:val="00131A78"/>
    <w:rsid w:val="00133F35"/>
    <w:rsid w:val="00134847"/>
    <w:rsid w:val="00134ED7"/>
    <w:rsid w:val="00134F8C"/>
    <w:rsid w:val="001357E9"/>
    <w:rsid w:val="0013597B"/>
    <w:rsid w:val="00135A71"/>
    <w:rsid w:val="0013614A"/>
    <w:rsid w:val="0013624B"/>
    <w:rsid w:val="00136487"/>
    <w:rsid w:val="0013661E"/>
    <w:rsid w:val="0013674C"/>
    <w:rsid w:val="00136C81"/>
    <w:rsid w:val="00137034"/>
    <w:rsid w:val="0013738A"/>
    <w:rsid w:val="0013747F"/>
    <w:rsid w:val="0013763B"/>
    <w:rsid w:val="00137BC8"/>
    <w:rsid w:val="001420BD"/>
    <w:rsid w:val="001420EB"/>
    <w:rsid w:val="0014258E"/>
    <w:rsid w:val="00142699"/>
    <w:rsid w:val="00142BFE"/>
    <w:rsid w:val="00142C1C"/>
    <w:rsid w:val="00142F0B"/>
    <w:rsid w:val="00143A4E"/>
    <w:rsid w:val="00143D3D"/>
    <w:rsid w:val="00143E2D"/>
    <w:rsid w:val="00144523"/>
    <w:rsid w:val="001445B6"/>
    <w:rsid w:val="001475ED"/>
    <w:rsid w:val="00150F7E"/>
    <w:rsid w:val="001511CA"/>
    <w:rsid w:val="00151844"/>
    <w:rsid w:val="00151869"/>
    <w:rsid w:val="001528C5"/>
    <w:rsid w:val="00153482"/>
    <w:rsid w:val="001553E4"/>
    <w:rsid w:val="00155DA2"/>
    <w:rsid w:val="001561C7"/>
    <w:rsid w:val="001561D3"/>
    <w:rsid w:val="001563E2"/>
    <w:rsid w:val="001565D8"/>
    <w:rsid w:val="00156902"/>
    <w:rsid w:val="00156E91"/>
    <w:rsid w:val="00156EAE"/>
    <w:rsid w:val="001575CC"/>
    <w:rsid w:val="00157679"/>
    <w:rsid w:val="001576B5"/>
    <w:rsid w:val="0016094C"/>
    <w:rsid w:val="0016138E"/>
    <w:rsid w:val="0016159C"/>
    <w:rsid w:val="0016182A"/>
    <w:rsid w:val="00161C1C"/>
    <w:rsid w:val="001621FF"/>
    <w:rsid w:val="00162254"/>
    <w:rsid w:val="001622D6"/>
    <w:rsid w:val="00162570"/>
    <w:rsid w:val="001625CE"/>
    <w:rsid w:val="001626F9"/>
    <w:rsid w:val="0016297C"/>
    <w:rsid w:val="00162AFC"/>
    <w:rsid w:val="001635A6"/>
    <w:rsid w:val="00163D04"/>
    <w:rsid w:val="00163F56"/>
    <w:rsid w:val="00164D76"/>
    <w:rsid w:val="00164EE8"/>
    <w:rsid w:val="0016598F"/>
    <w:rsid w:val="00166B34"/>
    <w:rsid w:val="00166E3A"/>
    <w:rsid w:val="001674B1"/>
    <w:rsid w:val="00167600"/>
    <w:rsid w:val="00167E32"/>
    <w:rsid w:val="001701AD"/>
    <w:rsid w:val="0017090A"/>
    <w:rsid w:val="00170ABE"/>
    <w:rsid w:val="00171CAC"/>
    <w:rsid w:val="00172222"/>
    <w:rsid w:val="00172A64"/>
    <w:rsid w:val="001732EF"/>
    <w:rsid w:val="00174521"/>
    <w:rsid w:val="00174C30"/>
    <w:rsid w:val="001759AA"/>
    <w:rsid w:val="00175D60"/>
    <w:rsid w:val="00175E21"/>
    <w:rsid w:val="00176317"/>
    <w:rsid w:val="00176A1C"/>
    <w:rsid w:val="00176C58"/>
    <w:rsid w:val="00177AEA"/>
    <w:rsid w:val="00180301"/>
    <w:rsid w:val="001807F0"/>
    <w:rsid w:val="00180E5D"/>
    <w:rsid w:val="00181C6C"/>
    <w:rsid w:val="00182819"/>
    <w:rsid w:val="00183399"/>
    <w:rsid w:val="00183E8B"/>
    <w:rsid w:val="001849F1"/>
    <w:rsid w:val="001850FF"/>
    <w:rsid w:val="0018524F"/>
    <w:rsid w:val="0018759C"/>
    <w:rsid w:val="0019009C"/>
    <w:rsid w:val="00192944"/>
    <w:rsid w:val="001942E2"/>
    <w:rsid w:val="0019494C"/>
    <w:rsid w:val="00195E2F"/>
    <w:rsid w:val="00196854"/>
    <w:rsid w:val="00196C6E"/>
    <w:rsid w:val="001977AE"/>
    <w:rsid w:val="001A0165"/>
    <w:rsid w:val="001A01DB"/>
    <w:rsid w:val="001A03FD"/>
    <w:rsid w:val="001A0710"/>
    <w:rsid w:val="001A1605"/>
    <w:rsid w:val="001A1AE1"/>
    <w:rsid w:val="001A1F10"/>
    <w:rsid w:val="001A3226"/>
    <w:rsid w:val="001A326F"/>
    <w:rsid w:val="001A3AB2"/>
    <w:rsid w:val="001A4005"/>
    <w:rsid w:val="001A4460"/>
    <w:rsid w:val="001A455A"/>
    <w:rsid w:val="001A46E3"/>
    <w:rsid w:val="001A55A7"/>
    <w:rsid w:val="001A6023"/>
    <w:rsid w:val="001A625B"/>
    <w:rsid w:val="001A6A14"/>
    <w:rsid w:val="001A7283"/>
    <w:rsid w:val="001A774B"/>
    <w:rsid w:val="001B11B6"/>
    <w:rsid w:val="001B2611"/>
    <w:rsid w:val="001B278B"/>
    <w:rsid w:val="001B394D"/>
    <w:rsid w:val="001B4AFF"/>
    <w:rsid w:val="001B5647"/>
    <w:rsid w:val="001B5FA7"/>
    <w:rsid w:val="001B64B7"/>
    <w:rsid w:val="001B708D"/>
    <w:rsid w:val="001B7815"/>
    <w:rsid w:val="001C0BE2"/>
    <w:rsid w:val="001C2188"/>
    <w:rsid w:val="001C3D2E"/>
    <w:rsid w:val="001C44A7"/>
    <w:rsid w:val="001C479D"/>
    <w:rsid w:val="001C5465"/>
    <w:rsid w:val="001C5D6C"/>
    <w:rsid w:val="001C6048"/>
    <w:rsid w:val="001C6A96"/>
    <w:rsid w:val="001C6EE3"/>
    <w:rsid w:val="001C7CA6"/>
    <w:rsid w:val="001D04D4"/>
    <w:rsid w:val="001D05C9"/>
    <w:rsid w:val="001D1121"/>
    <w:rsid w:val="001D13CF"/>
    <w:rsid w:val="001D192B"/>
    <w:rsid w:val="001D3404"/>
    <w:rsid w:val="001D3C2C"/>
    <w:rsid w:val="001D4F02"/>
    <w:rsid w:val="001D563D"/>
    <w:rsid w:val="001D5FAF"/>
    <w:rsid w:val="001D5FF9"/>
    <w:rsid w:val="001D626D"/>
    <w:rsid w:val="001D72D8"/>
    <w:rsid w:val="001D7766"/>
    <w:rsid w:val="001E1235"/>
    <w:rsid w:val="001E12A0"/>
    <w:rsid w:val="001E1439"/>
    <w:rsid w:val="001E18A1"/>
    <w:rsid w:val="001E1D25"/>
    <w:rsid w:val="001E21A3"/>
    <w:rsid w:val="001E3B81"/>
    <w:rsid w:val="001E3E00"/>
    <w:rsid w:val="001E4471"/>
    <w:rsid w:val="001E4AED"/>
    <w:rsid w:val="001E4CDB"/>
    <w:rsid w:val="001E4ED5"/>
    <w:rsid w:val="001E5349"/>
    <w:rsid w:val="001E5C16"/>
    <w:rsid w:val="001E5D3D"/>
    <w:rsid w:val="001E62C9"/>
    <w:rsid w:val="001E6730"/>
    <w:rsid w:val="001F176A"/>
    <w:rsid w:val="001F1FCB"/>
    <w:rsid w:val="001F2A34"/>
    <w:rsid w:val="001F34E0"/>
    <w:rsid w:val="001F36B7"/>
    <w:rsid w:val="001F3D8D"/>
    <w:rsid w:val="001F416B"/>
    <w:rsid w:val="001F4775"/>
    <w:rsid w:val="001F48CD"/>
    <w:rsid w:val="001F4ACB"/>
    <w:rsid w:val="001F4F44"/>
    <w:rsid w:val="001F57E4"/>
    <w:rsid w:val="001F6928"/>
    <w:rsid w:val="001F6F68"/>
    <w:rsid w:val="001F7BE1"/>
    <w:rsid w:val="001F7D57"/>
    <w:rsid w:val="001F7EEF"/>
    <w:rsid w:val="002001BE"/>
    <w:rsid w:val="002010F3"/>
    <w:rsid w:val="00201C29"/>
    <w:rsid w:val="002034F6"/>
    <w:rsid w:val="00203E1C"/>
    <w:rsid w:val="002040D8"/>
    <w:rsid w:val="00205054"/>
    <w:rsid w:val="002050B7"/>
    <w:rsid w:val="00206019"/>
    <w:rsid w:val="00206375"/>
    <w:rsid w:val="00206AB0"/>
    <w:rsid w:val="00206BF5"/>
    <w:rsid w:val="00207B4E"/>
    <w:rsid w:val="00207D41"/>
    <w:rsid w:val="00210224"/>
    <w:rsid w:val="0021056F"/>
    <w:rsid w:val="00210879"/>
    <w:rsid w:val="00211D87"/>
    <w:rsid w:val="0021252A"/>
    <w:rsid w:val="00212646"/>
    <w:rsid w:val="002128C4"/>
    <w:rsid w:val="00212F12"/>
    <w:rsid w:val="00213FDF"/>
    <w:rsid w:val="0021404E"/>
    <w:rsid w:val="002149A8"/>
    <w:rsid w:val="00214F60"/>
    <w:rsid w:val="00215616"/>
    <w:rsid w:val="002157F1"/>
    <w:rsid w:val="002161FB"/>
    <w:rsid w:val="00216486"/>
    <w:rsid w:val="00216DBF"/>
    <w:rsid w:val="002171FD"/>
    <w:rsid w:val="002173BC"/>
    <w:rsid w:val="00217786"/>
    <w:rsid w:val="002208B4"/>
    <w:rsid w:val="002213DC"/>
    <w:rsid w:val="00221712"/>
    <w:rsid w:val="0022189F"/>
    <w:rsid w:val="002226E0"/>
    <w:rsid w:val="00222A23"/>
    <w:rsid w:val="00223588"/>
    <w:rsid w:val="00223A26"/>
    <w:rsid w:val="00224452"/>
    <w:rsid w:val="0022448A"/>
    <w:rsid w:val="00224BCD"/>
    <w:rsid w:val="00225A39"/>
    <w:rsid w:val="00225E91"/>
    <w:rsid w:val="00225F42"/>
    <w:rsid w:val="002263AE"/>
    <w:rsid w:val="0022667F"/>
    <w:rsid w:val="00227138"/>
    <w:rsid w:val="00227281"/>
    <w:rsid w:val="002279FA"/>
    <w:rsid w:val="0023131C"/>
    <w:rsid w:val="00231765"/>
    <w:rsid w:val="00231B6E"/>
    <w:rsid w:val="002326E8"/>
    <w:rsid w:val="00232CB5"/>
    <w:rsid w:val="00232F3C"/>
    <w:rsid w:val="0023302B"/>
    <w:rsid w:val="00233BDE"/>
    <w:rsid w:val="00234BA8"/>
    <w:rsid w:val="00234C98"/>
    <w:rsid w:val="00234ED1"/>
    <w:rsid w:val="00235C0D"/>
    <w:rsid w:val="00235E74"/>
    <w:rsid w:val="0023611D"/>
    <w:rsid w:val="002367C4"/>
    <w:rsid w:val="0023681C"/>
    <w:rsid w:val="00236A6B"/>
    <w:rsid w:val="00237931"/>
    <w:rsid w:val="00240072"/>
    <w:rsid w:val="00240187"/>
    <w:rsid w:val="002407D6"/>
    <w:rsid w:val="002413F3"/>
    <w:rsid w:val="002416DC"/>
    <w:rsid w:val="00241D31"/>
    <w:rsid w:val="0024509F"/>
    <w:rsid w:val="00245F05"/>
    <w:rsid w:val="0024623A"/>
    <w:rsid w:val="00247180"/>
    <w:rsid w:val="00247328"/>
    <w:rsid w:val="002479BD"/>
    <w:rsid w:val="002501BB"/>
    <w:rsid w:val="00250870"/>
    <w:rsid w:val="00251589"/>
    <w:rsid w:val="00251CDE"/>
    <w:rsid w:val="0025207F"/>
    <w:rsid w:val="002524C1"/>
    <w:rsid w:val="00253846"/>
    <w:rsid w:val="00253852"/>
    <w:rsid w:val="00253B1A"/>
    <w:rsid w:val="00255108"/>
    <w:rsid w:val="002555FA"/>
    <w:rsid w:val="002556F1"/>
    <w:rsid w:val="00256870"/>
    <w:rsid w:val="00257FCB"/>
    <w:rsid w:val="00260B3F"/>
    <w:rsid w:val="00260D29"/>
    <w:rsid w:val="00260EB1"/>
    <w:rsid w:val="00261067"/>
    <w:rsid w:val="00262247"/>
    <w:rsid w:val="002632D8"/>
    <w:rsid w:val="00263BED"/>
    <w:rsid w:val="00264E3C"/>
    <w:rsid w:val="00264F68"/>
    <w:rsid w:val="002651E2"/>
    <w:rsid w:val="00265AE8"/>
    <w:rsid w:val="00265DCC"/>
    <w:rsid w:val="00266EBB"/>
    <w:rsid w:val="002678ED"/>
    <w:rsid w:val="00267929"/>
    <w:rsid w:val="00270853"/>
    <w:rsid w:val="00270959"/>
    <w:rsid w:val="00271030"/>
    <w:rsid w:val="002711B2"/>
    <w:rsid w:val="00271BF4"/>
    <w:rsid w:val="00274354"/>
    <w:rsid w:val="00275411"/>
    <w:rsid w:val="0027604E"/>
    <w:rsid w:val="002767D6"/>
    <w:rsid w:val="002769AE"/>
    <w:rsid w:val="00276C12"/>
    <w:rsid w:val="00280562"/>
    <w:rsid w:val="0028140B"/>
    <w:rsid w:val="00281E49"/>
    <w:rsid w:val="00282E61"/>
    <w:rsid w:val="00283756"/>
    <w:rsid w:val="0028474B"/>
    <w:rsid w:val="002848DB"/>
    <w:rsid w:val="00284F7A"/>
    <w:rsid w:val="00285269"/>
    <w:rsid w:val="002856BD"/>
    <w:rsid w:val="002859B7"/>
    <w:rsid w:val="00285C64"/>
    <w:rsid w:val="002873EC"/>
    <w:rsid w:val="0029007A"/>
    <w:rsid w:val="0029069F"/>
    <w:rsid w:val="002908C4"/>
    <w:rsid w:val="00290EEC"/>
    <w:rsid w:val="0029158E"/>
    <w:rsid w:val="0029171D"/>
    <w:rsid w:val="00291B6A"/>
    <w:rsid w:val="00291B90"/>
    <w:rsid w:val="0029632E"/>
    <w:rsid w:val="002968E0"/>
    <w:rsid w:val="00297488"/>
    <w:rsid w:val="00297679"/>
    <w:rsid w:val="002A06A2"/>
    <w:rsid w:val="002A1097"/>
    <w:rsid w:val="002A13D1"/>
    <w:rsid w:val="002A27E0"/>
    <w:rsid w:val="002A2E6A"/>
    <w:rsid w:val="002A3E12"/>
    <w:rsid w:val="002A462E"/>
    <w:rsid w:val="002A4B4D"/>
    <w:rsid w:val="002A5258"/>
    <w:rsid w:val="002A5B44"/>
    <w:rsid w:val="002A5F22"/>
    <w:rsid w:val="002A661D"/>
    <w:rsid w:val="002A76C6"/>
    <w:rsid w:val="002A7720"/>
    <w:rsid w:val="002A7D23"/>
    <w:rsid w:val="002B035D"/>
    <w:rsid w:val="002B0CF6"/>
    <w:rsid w:val="002B16FD"/>
    <w:rsid w:val="002B3A1C"/>
    <w:rsid w:val="002B3C7B"/>
    <w:rsid w:val="002B4062"/>
    <w:rsid w:val="002B437E"/>
    <w:rsid w:val="002B4825"/>
    <w:rsid w:val="002B4B69"/>
    <w:rsid w:val="002B5095"/>
    <w:rsid w:val="002B53AC"/>
    <w:rsid w:val="002B6D2B"/>
    <w:rsid w:val="002B7421"/>
    <w:rsid w:val="002B7A0D"/>
    <w:rsid w:val="002B7B83"/>
    <w:rsid w:val="002C03BB"/>
    <w:rsid w:val="002C094B"/>
    <w:rsid w:val="002C1B8A"/>
    <w:rsid w:val="002C29BB"/>
    <w:rsid w:val="002C2D8F"/>
    <w:rsid w:val="002C34E3"/>
    <w:rsid w:val="002C5F4D"/>
    <w:rsid w:val="002C6CE1"/>
    <w:rsid w:val="002C6D06"/>
    <w:rsid w:val="002C6FC8"/>
    <w:rsid w:val="002D0267"/>
    <w:rsid w:val="002D06BA"/>
    <w:rsid w:val="002D123E"/>
    <w:rsid w:val="002D27F3"/>
    <w:rsid w:val="002D2960"/>
    <w:rsid w:val="002D2F01"/>
    <w:rsid w:val="002D2F16"/>
    <w:rsid w:val="002D30A8"/>
    <w:rsid w:val="002D4556"/>
    <w:rsid w:val="002D499A"/>
    <w:rsid w:val="002D4AA1"/>
    <w:rsid w:val="002D563A"/>
    <w:rsid w:val="002D5BF8"/>
    <w:rsid w:val="002E11CF"/>
    <w:rsid w:val="002E3C59"/>
    <w:rsid w:val="002E42CD"/>
    <w:rsid w:val="002E45FA"/>
    <w:rsid w:val="002E532D"/>
    <w:rsid w:val="002E65C2"/>
    <w:rsid w:val="002E6DF7"/>
    <w:rsid w:val="002E6EC7"/>
    <w:rsid w:val="002E77D2"/>
    <w:rsid w:val="002E7D62"/>
    <w:rsid w:val="002F1127"/>
    <w:rsid w:val="002F2761"/>
    <w:rsid w:val="002F32CB"/>
    <w:rsid w:val="002F347D"/>
    <w:rsid w:val="002F4656"/>
    <w:rsid w:val="002F492B"/>
    <w:rsid w:val="002F4AEB"/>
    <w:rsid w:val="002F51E8"/>
    <w:rsid w:val="002F5F7D"/>
    <w:rsid w:val="002F79B9"/>
    <w:rsid w:val="003017D2"/>
    <w:rsid w:val="00301C30"/>
    <w:rsid w:val="00301E49"/>
    <w:rsid w:val="003024B6"/>
    <w:rsid w:val="00302EA7"/>
    <w:rsid w:val="003030EB"/>
    <w:rsid w:val="0030359C"/>
    <w:rsid w:val="00304C98"/>
    <w:rsid w:val="00304D39"/>
    <w:rsid w:val="00305E56"/>
    <w:rsid w:val="003071F7"/>
    <w:rsid w:val="00307301"/>
    <w:rsid w:val="0031007B"/>
    <w:rsid w:val="003102DF"/>
    <w:rsid w:val="003110CF"/>
    <w:rsid w:val="003113C9"/>
    <w:rsid w:val="00312484"/>
    <w:rsid w:val="00312747"/>
    <w:rsid w:val="00313363"/>
    <w:rsid w:val="003134B5"/>
    <w:rsid w:val="00313F72"/>
    <w:rsid w:val="00314561"/>
    <w:rsid w:val="00314D29"/>
    <w:rsid w:val="00315A50"/>
    <w:rsid w:val="00315B8B"/>
    <w:rsid w:val="00315BFB"/>
    <w:rsid w:val="00316A0B"/>
    <w:rsid w:val="00316DE4"/>
    <w:rsid w:val="00317DDD"/>
    <w:rsid w:val="00320763"/>
    <w:rsid w:val="00320B1D"/>
    <w:rsid w:val="00320C39"/>
    <w:rsid w:val="00322E66"/>
    <w:rsid w:val="00323D33"/>
    <w:rsid w:val="00324056"/>
    <w:rsid w:val="0033065E"/>
    <w:rsid w:val="00330BF1"/>
    <w:rsid w:val="003312A3"/>
    <w:rsid w:val="00334BD3"/>
    <w:rsid w:val="003351F8"/>
    <w:rsid w:val="0033660C"/>
    <w:rsid w:val="00336E19"/>
    <w:rsid w:val="00337970"/>
    <w:rsid w:val="00337DA1"/>
    <w:rsid w:val="00337F4F"/>
    <w:rsid w:val="003404C4"/>
    <w:rsid w:val="0034065E"/>
    <w:rsid w:val="00340905"/>
    <w:rsid w:val="00340D59"/>
    <w:rsid w:val="00341FBC"/>
    <w:rsid w:val="00342C44"/>
    <w:rsid w:val="003438A9"/>
    <w:rsid w:val="00343C7C"/>
    <w:rsid w:val="003464D8"/>
    <w:rsid w:val="003465B9"/>
    <w:rsid w:val="00347391"/>
    <w:rsid w:val="00350919"/>
    <w:rsid w:val="00351812"/>
    <w:rsid w:val="00354088"/>
    <w:rsid w:val="0035475D"/>
    <w:rsid w:val="00354DC7"/>
    <w:rsid w:val="00356CC1"/>
    <w:rsid w:val="00357ACF"/>
    <w:rsid w:val="003603A3"/>
    <w:rsid w:val="00360DE5"/>
    <w:rsid w:val="00361526"/>
    <w:rsid w:val="003615A6"/>
    <w:rsid w:val="003617E1"/>
    <w:rsid w:val="003619F1"/>
    <w:rsid w:val="00361C47"/>
    <w:rsid w:val="00363A1D"/>
    <w:rsid w:val="00363B9B"/>
    <w:rsid w:val="00364A90"/>
    <w:rsid w:val="00364FBD"/>
    <w:rsid w:val="0036526C"/>
    <w:rsid w:val="00365C01"/>
    <w:rsid w:val="00366CDE"/>
    <w:rsid w:val="003670B0"/>
    <w:rsid w:val="003674B6"/>
    <w:rsid w:val="003712C6"/>
    <w:rsid w:val="003713A9"/>
    <w:rsid w:val="0037158A"/>
    <w:rsid w:val="00371874"/>
    <w:rsid w:val="003723D6"/>
    <w:rsid w:val="00372DB7"/>
    <w:rsid w:val="00372E24"/>
    <w:rsid w:val="00374555"/>
    <w:rsid w:val="00375030"/>
    <w:rsid w:val="0037695D"/>
    <w:rsid w:val="00376F51"/>
    <w:rsid w:val="00377F58"/>
    <w:rsid w:val="00380403"/>
    <w:rsid w:val="003812FB"/>
    <w:rsid w:val="00381761"/>
    <w:rsid w:val="003821F6"/>
    <w:rsid w:val="003829FF"/>
    <w:rsid w:val="00382E97"/>
    <w:rsid w:val="00382F53"/>
    <w:rsid w:val="0038342B"/>
    <w:rsid w:val="003838D9"/>
    <w:rsid w:val="003842EB"/>
    <w:rsid w:val="00384D42"/>
    <w:rsid w:val="00384FCA"/>
    <w:rsid w:val="003857F8"/>
    <w:rsid w:val="0038604D"/>
    <w:rsid w:val="0038623D"/>
    <w:rsid w:val="0038628C"/>
    <w:rsid w:val="00387240"/>
    <w:rsid w:val="00387714"/>
    <w:rsid w:val="00390F26"/>
    <w:rsid w:val="00391876"/>
    <w:rsid w:val="00392878"/>
    <w:rsid w:val="003932E0"/>
    <w:rsid w:val="00395F63"/>
    <w:rsid w:val="003961EF"/>
    <w:rsid w:val="003A0CBF"/>
    <w:rsid w:val="003A179B"/>
    <w:rsid w:val="003A2209"/>
    <w:rsid w:val="003A2469"/>
    <w:rsid w:val="003A27EB"/>
    <w:rsid w:val="003A3269"/>
    <w:rsid w:val="003A3F71"/>
    <w:rsid w:val="003A4550"/>
    <w:rsid w:val="003A48B1"/>
    <w:rsid w:val="003A48C8"/>
    <w:rsid w:val="003A5117"/>
    <w:rsid w:val="003A5EF9"/>
    <w:rsid w:val="003A6468"/>
    <w:rsid w:val="003A6DE8"/>
    <w:rsid w:val="003A7657"/>
    <w:rsid w:val="003A7C6F"/>
    <w:rsid w:val="003B0BD4"/>
    <w:rsid w:val="003B0E20"/>
    <w:rsid w:val="003B18AC"/>
    <w:rsid w:val="003B1DB4"/>
    <w:rsid w:val="003B2240"/>
    <w:rsid w:val="003B3180"/>
    <w:rsid w:val="003B3773"/>
    <w:rsid w:val="003B3A57"/>
    <w:rsid w:val="003B3C4B"/>
    <w:rsid w:val="003B4675"/>
    <w:rsid w:val="003B46F5"/>
    <w:rsid w:val="003B55AA"/>
    <w:rsid w:val="003B74BA"/>
    <w:rsid w:val="003C1248"/>
    <w:rsid w:val="003C1389"/>
    <w:rsid w:val="003C1AE2"/>
    <w:rsid w:val="003C33A9"/>
    <w:rsid w:val="003C3F9D"/>
    <w:rsid w:val="003C470E"/>
    <w:rsid w:val="003C4F68"/>
    <w:rsid w:val="003C57FE"/>
    <w:rsid w:val="003C6BC3"/>
    <w:rsid w:val="003C7275"/>
    <w:rsid w:val="003C7BDB"/>
    <w:rsid w:val="003D0FF4"/>
    <w:rsid w:val="003D146B"/>
    <w:rsid w:val="003D1559"/>
    <w:rsid w:val="003D2A4C"/>
    <w:rsid w:val="003D41FA"/>
    <w:rsid w:val="003D4905"/>
    <w:rsid w:val="003D4DA0"/>
    <w:rsid w:val="003D4E1F"/>
    <w:rsid w:val="003D4E4E"/>
    <w:rsid w:val="003D5044"/>
    <w:rsid w:val="003D57B8"/>
    <w:rsid w:val="003D5B89"/>
    <w:rsid w:val="003D5F48"/>
    <w:rsid w:val="003D676D"/>
    <w:rsid w:val="003D68CD"/>
    <w:rsid w:val="003D6FB4"/>
    <w:rsid w:val="003D7D8C"/>
    <w:rsid w:val="003E0131"/>
    <w:rsid w:val="003E015E"/>
    <w:rsid w:val="003E02FC"/>
    <w:rsid w:val="003E03C0"/>
    <w:rsid w:val="003E0A16"/>
    <w:rsid w:val="003E1705"/>
    <w:rsid w:val="003E207C"/>
    <w:rsid w:val="003E2666"/>
    <w:rsid w:val="003E2D3B"/>
    <w:rsid w:val="003E5CB3"/>
    <w:rsid w:val="003E6178"/>
    <w:rsid w:val="003E7AD9"/>
    <w:rsid w:val="003F0CC6"/>
    <w:rsid w:val="003F14E1"/>
    <w:rsid w:val="003F16B0"/>
    <w:rsid w:val="003F1DA9"/>
    <w:rsid w:val="003F1FF2"/>
    <w:rsid w:val="003F3462"/>
    <w:rsid w:val="003F49B0"/>
    <w:rsid w:val="003F5088"/>
    <w:rsid w:val="003F5989"/>
    <w:rsid w:val="003F689E"/>
    <w:rsid w:val="003F715A"/>
    <w:rsid w:val="003F736A"/>
    <w:rsid w:val="003F7381"/>
    <w:rsid w:val="003F77BD"/>
    <w:rsid w:val="003F7B47"/>
    <w:rsid w:val="004002FB"/>
    <w:rsid w:val="00400719"/>
    <w:rsid w:val="004008E7"/>
    <w:rsid w:val="00400AD1"/>
    <w:rsid w:val="00401030"/>
    <w:rsid w:val="00401BE3"/>
    <w:rsid w:val="0040216D"/>
    <w:rsid w:val="00402E87"/>
    <w:rsid w:val="00403EE9"/>
    <w:rsid w:val="00403F53"/>
    <w:rsid w:val="00404B63"/>
    <w:rsid w:val="004070DC"/>
    <w:rsid w:val="00410799"/>
    <w:rsid w:val="00410FA6"/>
    <w:rsid w:val="00411998"/>
    <w:rsid w:val="00411C7F"/>
    <w:rsid w:val="0041253F"/>
    <w:rsid w:val="0041306D"/>
    <w:rsid w:val="0041338E"/>
    <w:rsid w:val="00413EC5"/>
    <w:rsid w:val="00415C56"/>
    <w:rsid w:val="00420624"/>
    <w:rsid w:val="00423018"/>
    <w:rsid w:val="00423A78"/>
    <w:rsid w:val="004251BB"/>
    <w:rsid w:val="004271AA"/>
    <w:rsid w:val="00427563"/>
    <w:rsid w:val="004278CA"/>
    <w:rsid w:val="004302A5"/>
    <w:rsid w:val="004305E0"/>
    <w:rsid w:val="004306DD"/>
    <w:rsid w:val="004318A1"/>
    <w:rsid w:val="00431900"/>
    <w:rsid w:val="00432F6B"/>
    <w:rsid w:val="004337D9"/>
    <w:rsid w:val="0043493F"/>
    <w:rsid w:val="004350CF"/>
    <w:rsid w:val="00435F4A"/>
    <w:rsid w:val="00436BCB"/>
    <w:rsid w:val="00437BB9"/>
    <w:rsid w:val="004401CE"/>
    <w:rsid w:val="004405F2"/>
    <w:rsid w:val="00440AC0"/>
    <w:rsid w:val="00441FAA"/>
    <w:rsid w:val="00443399"/>
    <w:rsid w:val="0044392B"/>
    <w:rsid w:val="004444D9"/>
    <w:rsid w:val="00445801"/>
    <w:rsid w:val="00445EF3"/>
    <w:rsid w:val="0044675A"/>
    <w:rsid w:val="00446DBA"/>
    <w:rsid w:val="004476B8"/>
    <w:rsid w:val="00450115"/>
    <w:rsid w:val="00450354"/>
    <w:rsid w:val="00450E71"/>
    <w:rsid w:val="004519AD"/>
    <w:rsid w:val="00452F5B"/>
    <w:rsid w:val="00455B60"/>
    <w:rsid w:val="00456547"/>
    <w:rsid w:val="0045662C"/>
    <w:rsid w:val="00456705"/>
    <w:rsid w:val="00456C60"/>
    <w:rsid w:val="0045780C"/>
    <w:rsid w:val="00457B68"/>
    <w:rsid w:val="0046023F"/>
    <w:rsid w:val="00460472"/>
    <w:rsid w:val="00460D2C"/>
    <w:rsid w:val="00460D39"/>
    <w:rsid w:val="004632E1"/>
    <w:rsid w:val="00463A33"/>
    <w:rsid w:val="00463CFC"/>
    <w:rsid w:val="0046406E"/>
    <w:rsid w:val="004643AC"/>
    <w:rsid w:val="004652E6"/>
    <w:rsid w:val="00465DE3"/>
    <w:rsid w:val="0046739D"/>
    <w:rsid w:val="00467B3A"/>
    <w:rsid w:val="004703FB"/>
    <w:rsid w:val="004704AA"/>
    <w:rsid w:val="00470CFB"/>
    <w:rsid w:val="004718A5"/>
    <w:rsid w:val="00473049"/>
    <w:rsid w:val="00473D69"/>
    <w:rsid w:val="00474AFC"/>
    <w:rsid w:val="00474D3F"/>
    <w:rsid w:val="00475072"/>
    <w:rsid w:val="00475365"/>
    <w:rsid w:val="00475AF8"/>
    <w:rsid w:val="0047601C"/>
    <w:rsid w:val="00476021"/>
    <w:rsid w:val="004761D7"/>
    <w:rsid w:val="00476A67"/>
    <w:rsid w:val="00476CE6"/>
    <w:rsid w:val="00477926"/>
    <w:rsid w:val="0048046B"/>
    <w:rsid w:val="00480477"/>
    <w:rsid w:val="0048051F"/>
    <w:rsid w:val="00480D11"/>
    <w:rsid w:val="00480E6C"/>
    <w:rsid w:val="00481433"/>
    <w:rsid w:val="00481D76"/>
    <w:rsid w:val="00481E55"/>
    <w:rsid w:val="00481FC7"/>
    <w:rsid w:val="004822D5"/>
    <w:rsid w:val="00482685"/>
    <w:rsid w:val="00482DEB"/>
    <w:rsid w:val="004830F1"/>
    <w:rsid w:val="00485CCC"/>
    <w:rsid w:val="00485D1A"/>
    <w:rsid w:val="00486378"/>
    <w:rsid w:val="004863D4"/>
    <w:rsid w:val="00486B13"/>
    <w:rsid w:val="0048774E"/>
    <w:rsid w:val="0049059C"/>
    <w:rsid w:val="0049103A"/>
    <w:rsid w:val="00491094"/>
    <w:rsid w:val="00491C75"/>
    <w:rsid w:val="00491E28"/>
    <w:rsid w:val="00492670"/>
    <w:rsid w:val="004927B7"/>
    <w:rsid w:val="00492B1F"/>
    <w:rsid w:val="00492BDB"/>
    <w:rsid w:val="004934F1"/>
    <w:rsid w:val="00494412"/>
    <w:rsid w:val="004944F8"/>
    <w:rsid w:val="0049456F"/>
    <w:rsid w:val="00494866"/>
    <w:rsid w:val="00494A92"/>
    <w:rsid w:val="0049556B"/>
    <w:rsid w:val="0049625B"/>
    <w:rsid w:val="004966FA"/>
    <w:rsid w:val="00497269"/>
    <w:rsid w:val="004975F7"/>
    <w:rsid w:val="00497B80"/>
    <w:rsid w:val="004A0184"/>
    <w:rsid w:val="004A0350"/>
    <w:rsid w:val="004A0BB9"/>
    <w:rsid w:val="004A0E26"/>
    <w:rsid w:val="004A12F7"/>
    <w:rsid w:val="004A1671"/>
    <w:rsid w:val="004A31A4"/>
    <w:rsid w:val="004A33C4"/>
    <w:rsid w:val="004A3562"/>
    <w:rsid w:val="004A3BB2"/>
    <w:rsid w:val="004A3CB8"/>
    <w:rsid w:val="004A440C"/>
    <w:rsid w:val="004A44F7"/>
    <w:rsid w:val="004A477B"/>
    <w:rsid w:val="004A4919"/>
    <w:rsid w:val="004A6075"/>
    <w:rsid w:val="004A61A8"/>
    <w:rsid w:val="004A7020"/>
    <w:rsid w:val="004A706B"/>
    <w:rsid w:val="004A752B"/>
    <w:rsid w:val="004B0235"/>
    <w:rsid w:val="004B050C"/>
    <w:rsid w:val="004B0F56"/>
    <w:rsid w:val="004B39D6"/>
    <w:rsid w:val="004B3E86"/>
    <w:rsid w:val="004B56C9"/>
    <w:rsid w:val="004B5927"/>
    <w:rsid w:val="004B5C3C"/>
    <w:rsid w:val="004B6562"/>
    <w:rsid w:val="004B67C3"/>
    <w:rsid w:val="004B67D0"/>
    <w:rsid w:val="004B78A0"/>
    <w:rsid w:val="004C05FA"/>
    <w:rsid w:val="004C0E49"/>
    <w:rsid w:val="004C0F26"/>
    <w:rsid w:val="004C163F"/>
    <w:rsid w:val="004C20CB"/>
    <w:rsid w:val="004C22EB"/>
    <w:rsid w:val="004C27AA"/>
    <w:rsid w:val="004C2DF2"/>
    <w:rsid w:val="004C3058"/>
    <w:rsid w:val="004C377D"/>
    <w:rsid w:val="004C5F7A"/>
    <w:rsid w:val="004C6EE6"/>
    <w:rsid w:val="004C7AA8"/>
    <w:rsid w:val="004D0206"/>
    <w:rsid w:val="004D09BA"/>
    <w:rsid w:val="004D1018"/>
    <w:rsid w:val="004D2856"/>
    <w:rsid w:val="004D3C4B"/>
    <w:rsid w:val="004D3EA5"/>
    <w:rsid w:val="004D418D"/>
    <w:rsid w:val="004D7B71"/>
    <w:rsid w:val="004E053E"/>
    <w:rsid w:val="004E17BC"/>
    <w:rsid w:val="004E1A2C"/>
    <w:rsid w:val="004E1DD9"/>
    <w:rsid w:val="004E2406"/>
    <w:rsid w:val="004E2E09"/>
    <w:rsid w:val="004E342B"/>
    <w:rsid w:val="004E5E42"/>
    <w:rsid w:val="004E60B7"/>
    <w:rsid w:val="004E6258"/>
    <w:rsid w:val="004F0649"/>
    <w:rsid w:val="004F1658"/>
    <w:rsid w:val="004F166D"/>
    <w:rsid w:val="004F1EE7"/>
    <w:rsid w:val="004F2064"/>
    <w:rsid w:val="004F267D"/>
    <w:rsid w:val="004F2C0B"/>
    <w:rsid w:val="004F37C8"/>
    <w:rsid w:val="004F47AA"/>
    <w:rsid w:val="004F535A"/>
    <w:rsid w:val="004F5459"/>
    <w:rsid w:val="004F5C61"/>
    <w:rsid w:val="004F65D9"/>
    <w:rsid w:val="004F6749"/>
    <w:rsid w:val="00500B17"/>
    <w:rsid w:val="00501070"/>
    <w:rsid w:val="005011D4"/>
    <w:rsid w:val="005015D7"/>
    <w:rsid w:val="0050186D"/>
    <w:rsid w:val="00501ACA"/>
    <w:rsid w:val="00501B57"/>
    <w:rsid w:val="00501C96"/>
    <w:rsid w:val="00502542"/>
    <w:rsid w:val="005026B4"/>
    <w:rsid w:val="00502A0D"/>
    <w:rsid w:val="00502B81"/>
    <w:rsid w:val="00503493"/>
    <w:rsid w:val="00503CB6"/>
    <w:rsid w:val="005045FE"/>
    <w:rsid w:val="00507046"/>
    <w:rsid w:val="005071A4"/>
    <w:rsid w:val="00507490"/>
    <w:rsid w:val="00507700"/>
    <w:rsid w:val="00510A37"/>
    <w:rsid w:val="00510AF5"/>
    <w:rsid w:val="00511044"/>
    <w:rsid w:val="0051164A"/>
    <w:rsid w:val="00511EB1"/>
    <w:rsid w:val="00512AFC"/>
    <w:rsid w:val="00512BA3"/>
    <w:rsid w:val="00513B9B"/>
    <w:rsid w:val="00513CCD"/>
    <w:rsid w:val="00514CC9"/>
    <w:rsid w:val="00515198"/>
    <w:rsid w:val="00515389"/>
    <w:rsid w:val="00516DED"/>
    <w:rsid w:val="00517B1A"/>
    <w:rsid w:val="0052032E"/>
    <w:rsid w:val="00520983"/>
    <w:rsid w:val="005209D9"/>
    <w:rsid w:val="00522712"/>
    <w:rsid w:val="00522E98"/>
    <w:rsid w:val="00523694"/>
    <w:rsid w:val="00523E23"/>
    <w:rsid w:val="00524187"/>
    <w:rsid w:val="005242FC"/>
    <w:rsid w:val="0052473E"/>
    <w:rsid w:val="0052686C"/>
    <w:rsid w:val="005271CB"/>
    <w:rsid w:val="005277C5"/>
    <w:rsid w:val="005277DF"/>
    <w:rsid w:val="0053087B"/>
    <w:rsid w:val="00530CF5"/>
    <w:rsid w:val="005312A3"/>
    <w:rsid w:val="0053146F"/>
    <w:rsid w:val="00532625"/>
    <w:rsid w:val="0053266E"/>
    <w:rsid w:val="0053346F"/>
    <w:rsid w:val="00533BE2"/>
    <w:rsid w:val="005357AF"/>
    <w:rsid w:val="00536073"/>
    <w:rsid w:val="0053612F"/>
    <w:rsid w:val="00536904"/>
    <w:rsid w:val="0053775A"/>
    <w:rsid w:val="00541967"/>
    <w:rsid w:val="0054201B"/>
    <w:rsid w:val="005433DE"/>
    <w:rsid w:val="00543794"/>
    <w:rsid w:val="00543F60"/>
    <w:rsid w:val="00544691"/>
    <w:rsid w:val="0054535C"/>
    <w:rsid w:val="0054599E"/>
    <w:rsid w:val="00545DD1"/>
    <w:rsid w:val="00546D21"/>
    <w:rsid w:val="00546F22"/>
    <w:rsid w:val="005472AC"/>
    <w:rsid w:val="00550025"/>
    <w:rsid w:val="00550152"/>
    <w:rsid w:val="00550EA2"/>
    <w:rsid w:val="00551257"/>
    <w:rsid w:val="005512A7"/>
    <w:rsid w:val="0055146E"/>
    <w:rsid w:val="005521EC"/>
    <w:rsid w:val="00552589"/>
    <w:rsid w:val="00552C4B"/>
    <w:rsid w:val="00552D9D"/>
    <w:rsid w:val="00552DEC"/>
    <w:rsid w:val="00553082"/>
    <w:rsid w:val="00553445"/>
    <w:rsid w:val="00554E2A"/>
    <w:rsid w:val="005558BF"/>
    <w:rsid w:val="00556D6B"/>
    <w:rsid w:val="0055748C"/>
    <w:rsid w:val="00557766"/>
    <w:rsid w:val="00557E36"/>
    <w:rsid w:val="0056071C"/>
    <w:rsid w:val="00560E3A"/>
    <w:rsid w:val="005616DD"/>
    <w:rsid w:val="0056187C"/>
    <w:rsid w:val="00562619"/>
    <w:rsid w:val="005640CD"/>
    <w:rsid w:val="00564124"/>
    <w:rsid w:val="0056436F"/>
    <w:rsid w:val="00564740"/>
    <w:rsid w:val="005647C1"/>
    <w:rsid w:val="00564D7F"/>
    <w:rsid w:val="00565074"/>
    <w:rsid w:val="005652FD"/>
    <w:rsid w:val="00565637"/>
    <w:rsid w:val="00565664"/>
    <w:rsid w:val="00565D4B"/>
    <w:rsid w:val="00567FDC"/>
    <w:rsid w:val="005708FF"/>
    <w:rsid w:val="00571799"/>
    <w:rsid w:val="005719B7"/>
    <w:rsid w:val="005723EB"/>
    <w:rsid w:val="0057254C"/>
    <w:rsid w:val="005727D1"/>
    <w:rsid w:val="0057287E"/>
    <w:rsid w:val="0057299F"/>
    <w:rsid w:val="00572E8E"/>
    <w:rsid w:val="00572FCA"/>
    <w:rsid w:val="005733B8"/>
    <w:rsid w:val="00575977"/>
    <w:rsid w:val="00576CDF"/>
    <w:rsid w:val="0057782C"/>
    <w:rsid w:val="005779D8"/>
    <w:rsid w:val="00577EA3"/>
    <w:rsid w:val="005803A0"/>
    <w:rsid w:val="00580D96"/>
    <w:rsid w:val="00583259"/>
    <w:rsid w:val="00583BB9"/>
    <w:rsid w:val="00583C85"/>
    <w:rsid w:val="005840BD"/>
    <w:rsid w:val="005846DB"/>
    <w:rsid w:val="00584E73"/>
    <w:rsid w:val="00585C57"/>
    <w:rsid w:val="00585ECA"/>
    <w:rsid w:val="00586BDD"/>
    <w:rsid w:val="00586F25"/>
    <w:rsid w:val="00586F8E"/>
    <w:rsid w:val="00587FD9"/>
    <w:rsid w:val="00590944"/>
    <w:rsid w:val="00591A5A"/>
    <w:rsid w:val="00592EDB"/>
    <w:rsid w:val="00594AA8"/>
    <w:rsid w:val="00595268"/>
    <w:rsid w:val="00595343"/>
    <w:rsid w:val="00595464"/>
    <w:rsid w:val="0059714E"/>
    <w:rsid w:val="00597484"/>
    <w:rsid w:val="00597786"/>
    <w:rsid w:val="005978DB"/>
    <w:rsid w:val="005A0046"/>
    <w:rsid w:val="005A0E95"/>
    <w:rsid w:val="005A0FCC"/>
    <w:rsid w:val="005A1398"/>
    <w:rsid w:val="005A1BE4"/>
    <w:rsid w:val="005A23DF"/>
    <w:rsid w:val="005A27CD"/>
    <w:rsid w:val="005A3531"/>
    <w:rsid w:val="005A3742"/>
    <w:rsid w:val="005A3FF0"/>
    <w:rsid w:val="005A4F0D"/>
    <w:rsid w:val="005A54D3"/>
    <w:rsid w:val="005A5866"/>
    <w:rsid w:val="005A59A4"/>
    <w:rsid w:val="005A7123"/>
    <w:rsid w:val="005B0446"/>
    <w:rsid w:val="005B04B7"/>
    <w:rsid w:val="005B0E2F"/>
    <w:rsid w:val="005B1BF1"/>
    <w:rsid w:val="005B33C2"/>
    <w:rsid w:val="005B3836"/>
    <w:rsid w:val="005B38C9"/>
    <w:rsid w:val="005B6714"/>
    <w:rsid w:val="005B715C"/>
    <w:rsid w:val="005B7283"/>
    <w:rsid w:val="005C0100"/>
    <w:rsid w:val="005C0B42"/>
    <w:rsid w:val="005C145B"/>
    <w:rsid w:val="005C1DF3"/>
    <w:rsid w:val="005C28A7"/>
    <w:rsid w:val="005C34D2"/>
    <w:rsid w:val="005C38AF"/>
    <w:rsid w:val="005C40D4"/>
    <w:rsid w:val="005C44F5"/>
    <w:rsid w:val="005C4F4B"/>
    <w:rsid w:val="005C5EB8"/>
    <w:rsid w:val="005C6B4D"/>
    <w:rsid w:val="005D0070"/>
    <w:rsid w:val="005D12D8"/>
    <w:rsid w:val="005D1A8F"/>
    <w:rsid w:val="005D2879"/>
    <w:rsid w:val="005D3671"/>
    <w:rsid w:val="005D375F"/>
    <w:rsid w:val="005D3B76"/>
    <w:rsid w:val="005D3D5C"/>
    <w:rsid w:val="005D5A01"/>
    <w:rsid w:val="005D5A14"/>
    <w:rsid w:val="005D62B0"/>
    <w:rsid w:val="005D66B0"/>
    <w:rsid w:val="005D73D5"/>
    <w:rsid w:val="005D7F76"/>
    <w:rsid w:val="005E0FD3"/>
    <w:rsid w:val="005E1B0A"/>
    <w:rsid w:val="005E2985"/>
    <w:rsid w:val="005E31C1"/>
    <w:rsid w:val="005E4D96"/>
    <w:rsid w:val="005E5FF4"/>
    <w:rsid w:val="005E74FD"/>
    <w:rsid w:val="005F03FD"/>
    <w:rsid w:val="005F138E"/>
    <w:rsid w:val="005F1843"/>
    <w:rsid w:val="005F1867"/>
    <w:rsid w:val="005F1B62"/>
    <w:rsid w:val="005F1BFD"/>
    <w:rsid w:val="005F3C8A"/>
    <w:rsid w:val="005F43D9"/>
    <w:rsid w:val="005F44BE"/>
    <w:rsid w:val="005F4DB8"/>
    <w:rsid w:val="005F578D"/>
    <w:rsid w:val="005F5A23"/>
    <w:rsid w:val="005F66BA"/>
    <w:rsid w:val="005F7256"/>
    <w:rsid w:val="005F72E6"/>
    <w:rsid w:val="005F73DF"/>
    <w:rsid w:val="005F7950"/>
    <w:rsid w:val="005F7BC3"/>
    <w:rsid w:val="00600BFA"/>
    <w:rsid w:val="00600E52"/>
    <w:rsid w:val="00602498"/>
    <w:rsid w:val="006024B5"/>
    <w:rsid w:val="0060338B"/>
    <w:rsid w:val="00603832"/>
    <w:rsid w:val="006040FB"/>
    <w:rsid w:val="00604822"/>
    <w:rsid w:val="00604A45"/>
    <w:rsid w:val="00605E3E"/>
    <w:rsid w:val="00606349"/>
    <w:rsid w:val="00607B01"/>
    <w:rsid w:val="00610604"/>
    <w:rsid w:val="006124D6"/>
    <w:rsid w:val="00612700"/>
    <w:rsid w:val="006129E5"/>
    <w:rsid w:val="0061371E"/>
    <w:rsid w:val="00613A41"/>
    <w:rsid w:val="006144D6"/>
    <w:rsid w:val="0061479E"/>
    <w:rsid w:val="00614882"/>
    <w:rsid w:val="00615AFA"/>
    <w:rsid w:val="00615EAD"/>
    <w:rsid w:val="00616542"/>
    <w:rsid w:val="00616C61"/>
    <w:rsid w:val="006200B1"/>
    <w:rsid w:val="00620D4C"/>
    <w:rsid w:val="006217D7"/>
    <w:rsid w:val="006221CB"/>
    <w:rsid w:val="006221E5"/>
    <w:rsid w:val="00622D1D"/>
    <w:rsid w:val="00622F7C"/>
    <w:rsid w:val="0062338C"/>
    <w:rsid w:val="0062356A"/>
    <w:rsid w:val="006256FE"/>
    <w:rsid w:val="0062599A"/>
    <w:rsid w:val="00626962"/>
    <w:rsid w:val="00626CF7"/>
    <w:rsid w:val="006275C2"/>
    <w:rsid w:val="00627F02"/>
    <w:rsid w:val="0063065D"/>
    <w:rsid w:val="00630F91"/>
    <w:rsid w:val="00631FF2"/>
    <w:rsid w:val="006320E2"/>
    <w:rsid w:val="006321A2"/>
    <w:rsid w:val="0063294F"/>
    <w:rsid w:val="00632E14"/>
    <w:rsid w:val="006330D8"/>
    <w:rsid w:val="00633303"/>
    <w:rsid w:val="00634059"/>
    <w:rsid w:val="00634196"/>
    <w:rsid w:val="006345EE"/>
    <w:rsid w:val="006352BC"/>
    <w:rsid w:val="00635776"/>
    <w:rsid w:val="00635BC6"/>
    <w:rsid w:val="006363C5"/>
    <w:rsid w:val="00636B72"/>
    <w:rsid w:val="00636E56"/>
    <w:rsid w:val="00636FE9"/>
    <w:rsid w:val="0063750C"/>
    <w:rsid w:val="006378B7"/>
    <w:rsid w:val="00640035"/>
    <w:rsid w:val="00641028"/>
    <w:rsid w:val="00642406"/>
    <w:rsid w:val="00642516"/>
    <w:rsid w:val="006442A1"/>
    <w:rsid w:val="00644633"/>
    <w:rsid w:val="006449F2"/>
    <w:rsid w:val="00645273"/>
    <w:rsid w:val="00645A9E"/>
    <w:rsid w:val="00645BBD"/>
    <w:rsid w:val="00645CEE"/>
    <w:rsid w:val="006472EE"/>
    <w:rsid w:val="00647438"/>
    <w:rsid w:val="00650CEF"/>
    <w:rsid w:val="00650E9D"/>
    <w:rsid w:val="00650EA0"/>
    <w:rsid w:val="00650FE4"/>
    <w:rsid w:val="00651D07"/>
    <w:rsid w:val="006523D2"/>
    <w:rsid w:val="00652EC5"/>
    <w:rsid w:val="006542A5"/>
    <w:rsid w:val="006575A8"/>
    <w:rsid w:val="00657AB8"/>
    <w:rsid w:val="00657FF6"/>
    <w:rsid w:val="006609FA"/>
    <w:rsid w:val="006610E5"/>
    <w:rsid w:val="00661A01"/>
    <w:rsid w:val="006646BC"/>
    <w:rsid w:val="006648B9"/>
    <w:rsid w:val="00665C38"/>
    <w:rsid w:val="00665E54"/>
    <w:rsid w:val="00665FB8"/>
    <w:rsid w:val="00666155"/>
    <w:rsid w:val="00666889"/>
    <w:rsid w:val="00666A71"/>
    <w:rsid w:val="00666AB1"/>
    <w:rsid w:val="00666B3E"/>
    <w:rsid w:val="00667B91"/>
    <w:rsid w:val="00667BF8"/>
    <w:rsid w:val="00667D59"/>
    <w:rsid w:val="006712D6"/>
    <w:rsid w:val="00672551"/>
    <w:rsid w:val="00674355"/>
    <w:rsid w:val="00674441"/>
    <w:rsid w:val="006753C3"/>
    <w:rsid w:val="0067581C"/>
    <w:rsid w:val="00675AD0"/>
    <w:rsid w:val="00675E10"/>
    <w:rsid w:val="00676E50"/>
    <w:rsid w:val="00680436"/>
    <w:rsid w:val="006809BA"/>
    <w:rsid w:val="00680A8C"/>
    <w:rsid w:val="006821B5"/>
    <w:rsid w:val="006828FB"/>
    <w:rsid w:val="00684CDA"/>
    <w:rsid w:val="00686211"/>
    <w:rsid w:val="00686A18"/>
    <w:rsid w:val="00687ACC"/>
    <w:rsid w:val="00690003"/>
    <w:rsid w:val="006901C9"/>
    <w:rsid w:val="00691C0D"/>
    <w:rsid w:val="00692BF6"/>
    <w:rsid w:val="006941C5"/>
    <w:rsid w:val="0069483C"/>
    <w:rsid w:val="006952E7"/>
    <w:rsid w:val="00695512"/>
    <w:rsid w:val="00696582"/>
    <w:rsid w:val="006966A4"/>
    <w:rsid w:val="0069731A"/>
    <w:rsid w:val="00697A33"/>
    <w:rsid w:val="00697D64"/>
    <w:rsid w:val="006A099C"/>
    <w:rsid w:val="006A0DA0"/>
    <w:rsid w:val="006A1596"/>
    <w:rsid w:val="006A21E9"/>
    <w:rsid w:val="006A2758"/>
    <w:rsid w:val="006A3EB4"/>
    <w:rsid w:val="006A462F"/>
    <w:rsid w:val="006A47F4"/>
    <w:rsid w:val="006A5396"/>
    <w:rsid w:val="006A5BE5"/>
    <w:rsid w:val="006A736E"/>
    <w:rsid w:val="006B09D2"/>
    <w:rsid w:val="006B0DBD"/>
    <w:rsid w:val="006B10B5"/>
    <w:rsid w:val="006B1E8F"/>
    <w:rsid w:val="006B2A90"/>
    <w:rsid w:val="006B3E0C"/>
    <w:rsid w:val="006B4B9E"/>
    <w:rsid w:val="006B5B6C"/>
    <w:rsid w:val="006B5CBB"/>
    <w:rsid w:val="006B6121"/>
    <w:rsid w:val="006B622E"/>
    <w:rsid w:val="006B7482"/>
    <w:rsid w:val="006B7D13"/>
    <w:rsid w:val="006B7F06"/>
    <w:rsid w:val="006B7FED"/>
    <w:rsid w:val="006C02CF"/>
    <w:rsid w:val="006C0698"/>
    <w:rsid w:val="006C0CB1"/>
    <w:rsid w:val="006C1671"/>
    <w:rsid w:val="006C1A02"/>
    <w:rsid w:val="006C1E13"/>
    <w:rsid w:val="006C1E4F"/>
    <w:rsid w:val="006C3450"/>
    <w:rsid w:val="006C363B"/>
    <w:rsid w:val="006C3725"/>
    <w:rsid w:val="006C443C"/>
    <w:rsid w:val="006C492C"/>
    <w:rsid w:val="006C4DBD"/>
    <w:rsid w:val="006C507B"/>
    <w:rsid w:val="006C518C"/>
    <w:rsid w:val="006D07C5"/>
    <w:rsid w:val="006D13CA"/>
    <w:rsid w:val="006D17C6"/>
    <w:rsid w:val="006D238A"/>
    <w:rsid w:val="006D50D8"/>
    <w:rsid w:val="006D5636"/>
    <w:rsid w:val="006D63B0"/>
    <w:rsid w:val="006D7A4E"/>
    <w:rsid w:val="006E0388"/>
    <w:rsid w:val="006E054A"/>
    <w:rsid w:val="006E0D39"/>
    <w:rsid w:val="006E0EDC"/>
    <w:rsid w:val="006E13F7"/>
    <w:rsid w:val="006E1F04"/>
    <w:rsid w:val="006E26BE"/>
    <w:rsid w:val="006E2E59"/>
    <w:rsid w:val="006E3265"/>
    <w:rsid w:val="006E49D6"/>
    <w:rsid w:val="006E4FCA"/>
    <w:rsid w:val="006F0114"/>
    <w:rsid w:val="006F0F96"/>
    <w:rsid w:val="006F1741"/>
    <w:rsid w:val="006F2864"/>
    <w:rsid w:val="006F2DF4"/>
    <w:rsid w:val="006F5CE9"/>
    <w:rsid w:val="006F5CED"/>
    <w:rsid w:val="006F663B"/>
    <w:rsid w:val="006F75FC"/>
    <w:rsid w:val="006F7889"/>
    <w:rsid w:val="0070109A"/>
    <w:rsid w:val="007024DC"/>
    <w:rsid w:val="007027F5"/>
    <w:rsid w:val="0070360E"/>
    <w:rsid w:val="007036B1"/>
    <w:rsid w:val="007040BD"/>
    <w:rsid w:val="00705415"/>
    <w:rsid w:val="007056ED"/>
    <w:rsid w:val="00705A51"/>
    <w:rsid w:val="007110D8"/>
    <w:rsid w:val="00711797"/>
    <w:rsid w:val="007117E3"/>
    <w:rsid w:val="00711DC8"/>
    <w:rsid w:val="00711E30"/>
    <w:rsid w:val="00712D05"/>
    <w:rsid w:val="00712F96"/>
    <w:rsid w:val="007137B0"/>
    <w:rsid w:val="007141AB"/>
    <w:rsid w:val="00714FB6"/>
    <w:rsid w:val="007150FC"/>
    <w:rsid w:val="00715A5A"/>
    <w:rsid w:val="00715E79"/>
    <w:rsid w:val="007163FA"/>
    <w:rsid w:val="00716A9C"/>
    <w:rsid w:val="007175CD"/>
    <w:rsid w:val="00717C77"/>
    <w:rsid w:val="00721699"/>
    <w:rsid w:val="00721768"/>
    <w:rsid w:val="00723A49"/>
    <w:rsid w:val="00724D3B"/>
    <w:rsid w:val="00725148"/>
    <w:rsid w:val="00725F08"/>
    <w:rsid w:val="00732334"/>
    <w:rsid w:val="0073239C"/>
    <w:rsid w:val="00732671"/>
    <w:rsid w:val="0073326A"/>
    <w:rsid w:val="007336EA"/>
    <w:rsid w:val="00733ADA"/>
    <w:rsid w:val="00734A51"/>
    <w:rsid w:val="00734B3E"/>
    <w:rsid w:val="00734F74"/>
    <w:rsid w:val="0073539E"/>
    <w:rsid w:val="00735939"/>
    <w:rsid w:val="00735E43"/>
    <w:rsid w:val="00735FC7"/>
    <w:rsid w:val="00737221"/>
    <w:rsid w:val="00737ED1"/>
    <w:rsid w:val="007401CE"/>
    <w:rsid w:val="007402DD"/>
    <w:rsid w:val="007404B8"/>
    <w:rsid w:val="00740EC6"/>
    <w:rsid w:val="00741FE1"/>
    <w:rsid w:val="00743095"/>
    <w:rsid w:val="007443CD"/>
    <w:rsid w:val="00744448"/>
    <w:rsid w:val="007450AC"/>
    <w:rsid w:val="00745EE8"/>
    <w:rsid w:val="00746A69"/>
    <w:rsid w:val="00746E28"/>
    <w:rsid w:val="00747277"/>
    <w:rsid w:val="00747827"/>
    <w:rsid w:val="00747C5A"/>
    <w:rsid w:val="007503E2"/>
    <w:rsid w:val="00750B12"/>
    <w:rsid w:val="00750C65"/>
    <w:rsid w:val="007527DE"/>
    <w:rsid w:val="00752B52"/>
    <w:rsid w:val="00752EE7"/>
    <w:rsid w:val="00754A55"/>
    <w:rsid w:val="007553C3"/>
    <w:rsid w:val="00756590"/>
    <w:rsid w:val="00757626"/>
    <w:rsid w:val="007602DC"/>
    <w:rsid w:val="007613B1"/>
    <w:rsid w:val="0076172F"/>
    <w:rsid w:val="00761843"/>
    <w:rsid w:val="007625C9"/>
    <w:rsid w:val="007637EB"/>
    <w:rsid w:val="00763BD6"/>
    <w:rsid w:val="00763CC0"/>
    <w:rsid w:val="0076432B"/>
    <w:rsid w:val="00764DEA"/>
    <w:rsid w:val="00764FC2"/>
    <w:rsid w:val="00765389"/>
    <w:rsid w:val="007654E6"/>
    <w:rsid w:val="00765585"/>
    <w:rsid w:val="00765998"/>
    <w:rsid w:val="00767867"/>
    <w:rsid w:val="007706BC"/>
    <w:rsid w:val="0077119E"/>
    <w:rsid w:val="00771332"/>
    <w:rsid w:val="0077392B"/>
    <w:rsid w:val="00775436"/>
    <w:rsid w:val="00776958"/>
    <w:rsid w:val="007773C5"/>
    <w:rsid w:val="00780AE3"/>
    <w:rsid w:val="00781893"/>
    <w:rsid w:val="00782282"/>
    <w:rsid w:val="00782AB7"/>
    <w:rsid w:val="00782CAA"/>
    <w:rsid w:val="007831B5"/>
    <w:rsid w:val="00783315"/>
    <w:rsid w:val="0078391A"/>
    <w:rsid w:val="00783A5E"/>
    <w:rsid w:val="00784342"/>
    <w:rsid w:val="007844EE"/>
    <w:rsid w:val="00784C4B"/>
    <w:rsid w:val="0078545A"/>
    <w:rsid w:val="00785C50"/>
    <w:rsid w:val="00785E84"/>
    <w:rsid w:val="00786120"/>
    <w:rsid w:val="00786220"/>
    <w:rsid w:val="007863F7"/>
    <w:rsid w:val="00787305"/>
    <w:rsid w:val="00790128"/>
    <w:rsid w:val="0079069A"/>
    <w:rsid w:val="00790940"/>
    <w:rsid w:val="00791A2D"/>
    <w:rsid w:val="00792CA7"/>
    <w:rsid w:val="00793207"/>
    <w:rsid w:val="0079399B"/>
    <w:rsid w:val="00793E48"/>
    <w:rsid w:val="007943E4"/>
    <w:rsid w:val="007958D9"/>
    <w:rsid w:val="00797053"/>
    <w:rsid w:val="007972EA"/>
    <w:rsid w:val="00797A86"/>
    <w:rsid w:val="00797B93"/>
    <w:rsid w:val="00797FD9"/>
    <w:rsid w:val="007A06E7"/>
    <w:rsid w:val="007A219C"/>
    <w:rsid w:val="007A259A"/>
    <w:rsid w:val="007A2AD3"/>
    <w:rsid w:val="007A3DCD"/>
    <w:rsid w:val="007A3EBA"/>
    <w:rsid w:val="007A44D0"/>
    <w:rsid w:val="007A5B29"/>
    <w:rsid w:val="007A5B44"/>
    <w:rsid w:val="007A686F"/>
    <w:rsid w:val="007A68E7"/>
    <w:rsid w:val="007A7CFB"/>
    <w:rsid w:val="007A7E89"/>
    <w:rsid w:val="007B0838"/>
    <w:rsid w:val="007B095A"/>
    <w:rsid w:val="007B095C"/>
    <w:rsid w:val="007B0D1E"/>
    <w:rsid w:val="007B0F16"/>
    <w:rsid w:val="007B15FF"/>
    <w:rsid w:val="007B3FEB"/>
    <w:rsid w:val="007B44CD"/>
    <w:rsid w:val="007B52F1"/>
    <w:rsid w:val="007B53A7"/>
    <w:rsid w:val="007B5AB0"/>
    <w:rsid w:val="007B6720"/>
    <w:rsid w:val="007B6DF9"/>
    <w:rsid w:val="007B74B7"/>
    <w:rsid w:val="007B798A"/>
    <w:rsid w:val="007B7E1D"/>
    <w:rsid w:val="007C05B4"/>
    <w:rsid w:val="007C0E4B"/>
    <w:rsid w:val="007C1875"/>
    <w:rsid w:val="007C19D0"/>
    <w:rsid w:val="007C1D0A"/>
    <w:rsid w:val="007C22CC"/>
    <w:rsid w:val="007C22D9"/>
    <w:rsid w:val="007C2B10"/>
    <w:rsid w:val="007C31FB"/>
    <w:rsid w:val="007C3567"/>
    <w:rsid w:val="007C40DC"/>
    <w:rsid w:val="007C43A7"/>
    <w:rsid w:val="007C44CD"/>
    <w:rsid w:val="007C4996"/>
    <w:rsid w:val="007C4F8B"/>
    <w:rsid w:val="007C58FD"/>
    <w:rsid w:val="007C66F8"/>
    <w:rsid w:val="007C6D7C"/>
    <w:rsid w:val="007C728A"/>
    <w:rsid w:val="007C752A"/>
    <w:rsid w:val="007C77A2"/>
    <w:rsid w:val="007C7D36"/>
    <w:rsid w:val="007C7EF5"/>
    <w:rsid w:val="007D0A6B"/>
    <w:rsid w:val="007D34FD"/>
    <w:rsid w:val="007D3CB6"/>
    <w:rsid w:val="007D3ED6"/>
    <w:rsid w:val="007D4BEA"/>
    <w:rsid w:val="007D54D5"/>
    <w:rsid w:val="007D557A"/>
    <w:rsid w:val="007D5931"/>
    <w:rsid w:val="007D63F0"/>
    <w:rsid w:val="007D79E1"/>
    <w:rsid w:val="007E024E"/>
    <w:rsid w:val="007E0492"/>
    <w:rsid w:val="007E33F7"/>
    <w:rsid w:val="007E42F9"/>
    <w:rsid w:val="007E4745"/>
    <w:rsid w:val="007E4C40"/>
    <w:rsid w:val="007E4DC5"/>
    <w:rsid w:val="007E4E7E"/>
    <w:rsid w:val="007E4EB2"/>
    <w:rsid w:val="007E5339"/>
    <w:rsid w:val="007E5BB2"/>
    <w:rsid w:val="007E5F23"/>
    <w:rsid w:val="007E60E8"/>
    <w:rsid w:val="007E683B"/>
    <w:rsid w:val="007E6976"/>
    <w:rsid w:val="007E6A9F"/>
    <w:rsid w:val="007E7FE6"/>
    <w:rsid w:val="007F02B7"/>
    <w:rsid w:val="007F18DC"/>
    <w:rsid w:val="007F271B"/>
    <w:rsid w:val="007F31BD"/>
    <w:rsid w:val="007F3A75"/>
    <w:rsid w:val="007F4780"/>
    <w:rsid w:val="007F57FD"/>
    <w:rsid w:val="007F5B71"/>
    <w:rsid w:val="007F6385"/>
    <w:rsid w:val="007F6738"/>
    <w:rsid w:val="007F6A75"/>
    <w:rsid w:val="007F70ED"/>
    <w:rsid w:val="007F7DE0"/>
    <w:rsid w:val="0080097F"/>
    <w:rsid w:val="00800F49"/>
    <w:rsid w:val="008015DD"/>
    <w:rsid w:val="00801621"/>
    <w:rsid w:val="00801A6E"/>
    <w:rsid w:val="00801EA9"/>
    <w:rsid w:val="00801F40"/>
    <w:rsid w:val="008022FA"/>
    <w:rsid w:val="008023BD"/>
    <w:rsid w:val="00802475"/>
    <w:rsid w:val="0080274C"/>
    <w:rsid w:val="00802938"/>
    <w:rsid w:val="00802AAA"/>
    <w:rsid w:val="008030D0"/>
    <w:rsid w:val="00803748"/>
    <w:rsid w:val="008046CC"/>
    <w:rsid w:val="00804D2E"/>
    <w:rsid w:val="0080603D"/>
    <w:rsid w:val="0080702B"/>
    <w:rsid w:val="0081036A"/>
    <w:rsid w:val="00810CCC"/>
    <w:rsid w:val="008116E7"/>
    <w:rsid w:val="008123E5"/>
    <w:rsid w:val="008126B8"/>
    <w:rsid w:val="00813116"/>
    <w:rsid w:val="008132F8"/>
    <w:rsid w:val="00813404"/>
    <w:rsid w:val="00814151"/>
    <w:rsid w:val="00814B22"/>
    <w:rsid w:val="00814EED"/>
    <w:rsid w:val="00815153"/>
    <w:rsid w:val="0081526E"/>
    <w:rsid w:val="008156BF"/>
    <w:rsid w:val="00815881"/>
    <w:rsid w:val="00815B81"/>
    <w:rsid w:val="00816AF0"/>
    <w:rsid w:val="00817981"/>
    <w:rsid w:val="008200CF"/>
    <w:rsid w:val="00820203"/>
    <w:rsid w:val="00820530"/>
    <w:rsid w:val="00821401"/>
    <w:rsid w:val="00821503"/>
    <w:rsid w:val="00822D89"/>
    <w:rsid w:val="00823311"/>
    <w:rsid w:val="008236AD"/>
    <w:rsid w:val="0082371E"/>
    <w:rsid w:val="0082420D"/>
    <w:rsid w:val="00824EF0"/>
    <w:rsid w:val="008254DB"/>
    <w:rsid w:val="0082603A"/>
    <w:rsid w:val="008263AE"/>
    <w:rsid w:val="00826AD6"/>
    <w:rsid w:val="00827CD2"/>
    <w:rsid w:val="008302B6"/>
    <w:rsid w:val="00830D5B"/>
    <w:rsid w:val="00830DEB"/>
    <w:rsid w:val="00832577"/>
    <w:rsid w:val="008329FB"/>
    <w:rsid w:val="00832C51"/>
    <w:rsid w:val="00833274"/>
    <w:rsid w:val="008337E5"/>
    <w:rsid w:val="008339CD"/>
    <w:rsid w:val="00833B84"/>
    <w:rsid w:val="00834A9A"/>
    <w:rsid w:val="00835B2C"/>
    <w:rsid w:val="00835EF6"/>
    <w:rsid w:val="00835F3F"/>
    <w:rsid w:val="00836870"/>
    <w:rsid w:val="008369AA"/>
    <w:rsid w:val="00836F61"/>
    <w:rsid w:val="00837919"/>
    <w:rsid w:val="00837CCF"/>
    <w:rsid w:val="00841307"/>
    <w:rsid w:val="00841C3D"/>
    <w:rsid w:val="00842ECC"/>
    <w:rsid w:val="00842EE8"/>
    <w:rsid w:val="008430A0"/>
    <w:rsid w:val="00843345"/>
    <w:rsid w:val="00843D36"/>
    <w:rsid w:val="00843F50"/>
    <w:rsid w:val="00843FA8"/>
    <w:rsid w:val="00844AC7"/>
    <w:rsid w:val="00845440"/>
    <w:rsid w:val="00845B03"/>
    <w:rsid w:val="00845F9F"/>
    <w:rsid w:val="00846809"/>
    <w:rsid w:val="00846E06"/>
    <w:rsid w:val="00852130"/>
    <w:rsid w:val="0085252C"/>
    <w:rsid w:val="00853BD7"/>
    <w:rsid w:val="00853F56"/>
    <w:rsid w:val="0085475E"/>
    <w:rsid w:val="00854AA3"/>
    <w:rsid w:val="008551C7"/>
    <w:rsid w:val="00855AA9"/>
    <w:rsid w:val="00855B30"/>
    <w:rsid w:val="0085628B"/>
    <w:rsid w:val="008565E7"/>
    <w:rsid w:val="008615E4"/>
    <w:rsid w:val="00862CDB"/>
    <w:rsid w:val="00863791"/>
    <w:rsid w:val="00865056"/>
    <w:rsid w:val="00865915"/>
    <w:rsid w:val="00866D94"/>
    <w:rsid w:val="00867968"/>
    <w:rsid w:val="0087079F"/>
    <w:rsid w:val="00870976"/>
    <w:rsid w:val="00871FA3"/>
    <w:rsid w:val="0087293E"/>
    <w:rsid w:val="00873041"/>
    <w:rsid w:val="00873876"/>
    <w:rsid w:val="00873C7B"/>
    <w:rsid w:val="00874111"/>
    <w:rsid w:val="00874560"/>
    <w:rsid w:val="008745D0"/>
    <w:rsid w:val="00875397"/>
    <w:rsid w:val="00875481"/>
    <w:rsid w:val="0087611C"/>
    <w:rsid w:val="0087652F"/>
    <w:rsid w:val="00876599"/>
    <w:rsid w:val="00876C79"/>
    <w:rsid w:val="00881F0D"/>
    <w:rsid w:val="008827FC"/>
    <w:rsid w:val="00883E10"/>
    <w:rsid w:val="0088484E"/>
    <w:rsid w:val="008848EF"/>
    <w:rsid w:val="0088498F"/>
    <w:rsid w:val="00884FB9"/>
    <w:rsid w:val="008858DC"/>
    <w:rsid w:val="008864AD"/>
    <w:rsid w:val="008869AF"/>
    <w:rsid w:val="00886D3A"/>
    <w:rsid w:val="0089028D"/>
    <w:rsid w:val="008902F8"/>
    <w:rsid w:val="0089294F"/>
    <w:rsid w:val="00892D3B"/>
    <w:rsid w:val="00892E56"/>
    <w:rsid w:val="0089341D"/>
    <w:rsid w:val="00893EBD"/>
    <w:rsid w:val="0089432F"/>
    <w:rsid w:val="00895696"/>
    <w:rsid w:val="00895D6D"/>
    <w:rsid w:val="0089691C"/>
    <w:rsid w:val="00896B96"/>
    <w:rsid w:val="00896BD7"/>
    <w:rsid w:val="0089779A"/>
    <w:rsid w:val="008A0442"/>
    <w:rsid w:val="008A05A8"/>
    <w:rsid w:val="008A169F"/>
    <w:rsid w:val="008A187A"/>
    <w:rsid w:val="008A1B0A"/>
    <w:rsid w:val="008A1C13"/>
    <w:rsid w:val="008A212B"/>
    <w:rsid w:val="008A2238"/>
    <w:rsid w:val="008A32CF"/>
    <w:rsid w:val="008A3CA5"/>
    <w:rsid w:val="008A3D5D"/>
    <w:rsid w:val="008A3F6D"/>
    <w:rsid w:val="008A43FF"/>
    <w:rsid w:val="008A5B8D"/>
    <w:rsid w:val="008A6030"/>
    <w:rsid w:val="008A75C2"/>
    <w:rsid w:val="008B00FC"/>
    <w:rsid w:val="008B0259"/>
    <w:rsid w:val="008B028A"/>
    <w:rsid w:val="008B0E6C"/>
    <w:rsid w:val="008B222F"/>
    <w:rsid w:val="008B2AEF"/>
    <w:rsid w:val="008B33BB"/>
    <w:rsid w:val="008B3B36"/>
    <w:rsid w:val="008B44D7"/>
    <w:rsid w:val="008B484C"/>
    <w:rsid w:val="008B493B"/>
    <w:rsid w:val="008B5B05"/>
    <w:rsid w:val="008B6C8D"/>
    <w:rsid w:val="008B79AD"/>
    <w:rsid w:val="008B7AD8"/>
    <w:rsid w:val="008B7D9F"/>
    <w:rsid w:val="008C0BF5"/>
    <w:rsid w:val="008C0D2A"/>
    <w:rsid w:val="008C1009"/>
    <w:rsid w:val="008C11B2"/>
    <w:rsid w:val="008C1BB9"/>
    <w:rsid w:val="008C299E"/>
    <w:rsid w:val="008C3CC7"/>
    <w:rsid w:val="008C3E99"/>
    <w:rsid w:val="008C55D0"/>
    <w:rsid w:val="008C5687"/>
    <w:rsid w:val="008C5EA1"/>
    <w:rsid w:val="008C63A0"/>
    <w:rsid w:val="008C726E"/>
    <w:rsid w:val="008D011F"/>
    <w:rsid w:val="008D1A7D"/>
    <w:rsid w:val="008D1D3F"/>
    <w:rsid w:val="008D2037"/>
    <w:rsid w:val="008D2A0C"/>
    <w:rsid w:val="008D319D"/>
    <w:rsid w:val="008D3503"/>
    <w:rsid w:val="008D38FC"/>
    <w:rsid w:val="008D3FA0"/>
    <w:rsid w:val="008D451B"/>
    <w:rsid w:val="008D484E"/>
    <w:rsid w:val="008D4E3A"/>
    <w:rsid w:val="008D55C7"/>
    <w:rsid w:val="008D5949"/>
    <w:rsid w:val="008D5E43"/>
    <w:rsid w:val="008D73CF"/>
    <w:rsid w:val="008D78CC"/>
    <w:rsid w:val="008D7CB3"/>
    <w:rsid w:val="008E04FB"/>
    <w:rsid w:val="008E144E"/>
    <w:rsid w:val="008E1540"/>
    <w:rsid w:val="008E2EC9"/>
    <w:rsid w:val="008E3192"/>
    <w:rsid w:val="008E3921"/>
    <w:rsid w:val="008E39E7"/>
    <w:rsid w:val="008E3FFB"/>
    <w:rsid w:val="008E4F8A"/>
    <w:rsid w:val="008E6547"/>
    <w:rsid w:val="008E74AA"/>
    <w:rsid w:val="008E7744"/>
    <w:rsid w:val="008E7B5A"/>
    <w:rsid w:val="008F0F92"/>
    <w:rsid w:val="008F12D6"/>
    <w:rsid w:val="008F149D"/>
    <w:rsid w:val="008F23B1"/>
    <w:rsid w:val="008F2C13"/>
    <w:rsid w:val="008F3304"/>
    <w:rsid w:val="008F3C0C"/>
    <w:rsid w:val="008F4B7E"/>
    <w:rsid w:val="008F52D3"/>
    <w:rsid w:val="008F5BF1"/>
    <w:rsid w:val="008F663B"/>
    <w:rsid w:val="008F73A8"/>
    <w:rsid w:val="008F7935"/>
    <w:rsid w:val="00900EBB"/>
    <w:rsid w:val="00900FD4"/>
    <w:rsid w:val="009013FD"/>
    <w:rsid w:val="0090172E"/>
    <w:rsid w:val="00901C93"/>
    <w:rsid w:val="00902DE6"/>
    <w:rsid w:val="00902FF1"/>
    <w:rsid w:val="009036F0"/>
    <w:rsid w:val="00903D36"/>
    <w:rsid w:val="00903E89"/>
    <w:rsid w:val="00904485"/>
    <w:rsid w:val="00904B45"/>
    <w:rsid w:val="009051FF"/>
    <w:rsid w:val="00905886"/>
    <w:rsid w:val="00906B89"/>
    <w:rsid w:val="00911FD3"/>
    <w:rsid w:val="00914305"/>
    <w:rsid w:val="009143D9"/>
    <w:rsid w:val="00914720"/>
    <w:rsid w:val="009148D5"/>
    <w:rsid w:val="0091571D"/>
    <w:rsid w:val="00915841"/>
    <w:rsid w:val="00916234"/>
    <w:rsid w:val="00917244"/>
    <w:rsid w:val="00917487"/>
    <w:rsid w:val="00917730"/>
    <w:rsid w:val="0092004A"/>
    <w:rsid w:val="009201CA"/>
    <w:rsid w:val="009205BB"/>
    <w:rsid w:val="00920676"/>
    <w:rsid w:val="0092103F"/>
    <w:rsid w:val="00921CC7"/>
    <w:rsid w:val="00922A50"/>
    <w:rsid w:val="00922A74"/>
    <w:rsid w:val="0092393F"/>
    <w:rsid w:val="00923FD9"/>
    <w:rsid w:val="0092457A"/>
    <w:rsid w:val="0092459C"/>
    <w:rsid w:val="00924B20"/>
    <w:rsid w:val="00924C52"/>
    <w:rsid w:val="0092519B"/>
    <w:rsid w:val="00925902"/>
    <w:rsid w:val="009259FF"/>
    <w:rsid w:val="00925BD4"/>
    <w:rsid w:val="00925F03"/>
    <w:rsid w:val="0092668A"/>
    <w:rsid w:val="00926C84"/>
    <w:rsid w:val="00926CBC"/>
    <w:rsid w:val="00927118"/>
    <w:rsid w:val="0093115D"/>
    <w:rsid w:val="00931267"/>
    <w:rsid w:val="00931825"/>
    <w:rsid w:val="00932E32"/>
    <w:rsid w:val="00933288"/>
    <w:rsid w:val="00933BFE"/>
    <w:rsid w:val="00933DC9"/>
    <w:rsid w:val="00934192"/>
    <w:rsid w:val="00934B40"/>
    <w:rsid w:val="0093567B"/>
    <w:rsid w:val="00935FCD"/>
    <w:rsid w:val="00936027"/>
    <w:rsid w:val="009372F0"/>
    <w:rsid w:val="00937373"/>
    <w:rsid w:val="009378BF"/>
    <w:rsid w:val="009407E1"/>
    <w:rsid w:val="00940CFC"/>
    <w:rsid w:val="009417BB"/>
    <w:rsid w:val="00943D37"/>
    <w:rsid w:val="00943ED1"/>
    <w:rsid w:val="009446A5"/>
    <w:rsid w:val="00944F20"/>
    <w:rsid w:val="00945251"/>
    <w:rsid w:val="009452B3"/>
    <w:rsid w:val="00945681"/>
    <w:rsid w:val="00946A55"/>
    <w:rsid w:val="00946B64"/>
    <w:rsid w:val="009472CD"/>
    <w:rsid w:val="00947798"/>
    <w:rsid w:val="009478F5"/>
    <w:rsid w:val="0095021D"/>
    <w:rsid w:val="00950DE7"/>
    <w:rsid w:val="00951514"/>
    <w:rsid w:val="009526FD"/>
    <w:rsid w:val="0095408D"/>
    <w:rsid w:val="0095664D"/>
    <w:rsid w:val="00957387"/>
    <w:rsid w:val="00962873"/>
    <w:rsid w:val="00963C5C"/>
    <w:rsid w:val="00964641"/>
    <w:rsid w:val="009656F2"/>
    <w:rsid w:val="00965A2C"/>
    <w:rsid w:val="0096662A"/>
    <w:rsid w:val="00966D45"/>
    <w:rsid w:val="009672B9"/>
    <w:rsid w:val="00967D69"/>
    <w:rsid w:val="00967E23"/>
    <w:rsid w:val="009716D7"/>
    <w:rsid w:val="00971FE4"/>
    <w:rsid w:val="00972845"/>
    <w:rsid w:val="009767C7"/>
    <w:rsid w:val="0097771C"/>
    <w:rsid w:val="00977A3A"/>
    <w:rsid w:val="00977E8B"/>
    <w:rsid w:val="00980BCD"/>
    <w:rsid w:val="00980F93"/>
    <w:rsid w:val="009812FE"/>
    <w:rsid w:val="00981C2F"/>
    <w:rsid w:val="00981EF8"/>
    <w:rsid w:val="00984018"/>
    <w:rsid w:val="00984D4A"/>
    <w:rsid w:val="009858C4"/>
    <w:rsid w:val="009869E6"/>
    <w:rsid w:val="00986A80"/>
    <w:rsid w:val="00987CBA"/>
    <w:rsid w:val="009905BC"/>
    <w:rsid w:val="009908DE"/>
    <w:rsid w:val="00990ECC"/>
    <w:rsid w:val="00991702"/>
    <w:rsid w:val="00991E91"/>
    <w:rsid w:val="00992825"/>
    <w:rsid w:val="00992B13"/>
    <w:rsid w:val="00992E35"/>
    <w:rsid w:val="00993661"/>
    <w:rsid w:val="009938BC"/>
    <w:rsid w:val="009951AF"/>
    <w:rsid w:val="0099553A"/>
    <w:rsid w:val="009957EF"/>
    <w:rsid w:val="0099581B"/>
    <w:rsid w:val="00995BB4"/>
    <w:rsid w:val="00997696"/>
    <w:rsid w:val="00997824"/>
    <w:rsid w:val="009A0B80"/>
    <w:rsid w:val="009A149A"/>
    <w:rsid w:val="009A33F4"/>
    <w:rsid w:val="009A34D1"/>
    <w:rsid w:val="009A4D2D"/>
    <w:rsid w:val="009A4E64"/>
    <w:rsid w:val="009A5041"/>
    <w:rsid w:val="009A5785"/>
    <w:rsid w:val="009A5E40"/>
    <w:rsid w:val="009A6F13"/>
    <w:rsid w:val="009B1A0E"/>
    <w:rsid w:val="009B21B0"/>
    <w:rsid w:val="009B3502"/>
    <w:rsid w:val="009B53F5"/>
    <w:rsid w:val="009B6F49"/>
    <w:rsid w:val="009B708D"/>
    <w:rsid w:val="009B790C"/>
    <w:rsid w:val="009C0448"/>
    <w:rsid w:val="009C0BEC"/>
    <w:rsid w:val="009C2191"/>
    <w:rsid w:val="009C49B1"/>
    <w:rsid w:val="009C5202"/>
    <w:rsid w:val="009C5AA7"/>
    <w:rsid w:val="009C747B"/>
    <w:rsid w:val="009C748A"/>
    <w:rsid w:val="009C7796"/>
    <w:rsid w:val="009C78BC"/>
    <w:rsid w:val="009C7950"/>
    <w:rsid w:val="009D06C8"/>
    <w:rsid w:val="009D0AFA"/>
    <w:rsid w:val="009D0D3A"/>
    <w:rsid w:val="009D1256"/>
    <w:rsid w:val="009D2387"/>
    <w:rsid w:val="009D256B"/>
    <w:rsid w:val="009D25B6"/>
    <w:rsid w:val="009D3787"/>
    <w:rsid w:val="009D38F3"/>
    <w:rsid w:val="009D4739"/>
    <w:rsid w:val="009D5E86"/>
    <w:rsid w:val="009D6985"/>
    <w:rsid w:val="009D6A66"/>
    <w:rsid w:val="009D6D30"/>
    <w:rsid w:val="009D7CBB"/>
    <w:rsid w:val="009E023C"/>
    <w:rsid w:val="009E0608"/>
    <w:rsid w:val="009E08BC"/>
    <w:rsid w:val="009E09DE"/>
    <w:rsid w:val="009E10AD"/>
    <w:rsid w:val="009E3273"/>
    <w:rsid w:val="009E397B"/>
    <w:rsid w:val="009E3FEC"/>
    <w:rsid w:val="009E412C"/>
    <w:rsid w:val="009E4786"/>
    <w:rsid w:val="009E4C39"/>
    <w:rsid w:val="009E4DD6"/>
    <w:rsid w:val="009E5259"/>
    <w:rsid w:val="009E536F"/>
    <w:rsid w:val="009E5DB6"/>
    <w:rsid w:val="009E60F6"/>
    <w:rsid w:val="009E6A50"/>
    <w:rsid w:val="009E78E0"/>
    <w:rsid w:val="009E7AAD"/>
    <w:rsid w:val="009F0303"/>
    <w:rsid w:val="009F0FD2"/>
    <w:rsid w:val="009F12BA"/>
    <w:rsid w:val="009F1AD8"/>
    <w:rsid w:val="009F2191"/>
    <w:rsid w:val="009F22EE"/>
    <w:rsid w:val="009F356C"/>
    <w:rsid w:val="009F469F"/>
    <w:rsid w:val="009F4B20"/>
    <w:rsid w:val="009F5350"/>
    <w:rsid w:val="009F5DFC"/>
    <w:rsid w:val="009F7A36"/>
    <w:rsid w:val="009F7A63"/>
    <w:rsid w:val="009F7B4A"/>
    <w:rsid w:val="009F7CA1"/>
    <w:rsid w:val="00A0034A"/>
    <w:rsid w:val="00A007A5"/>
    <w:rsid w:val="00A00EAE"/>
    <w:rsid w:val="00A01C3E"/>
    <w:rsid w:val="00A01C8C"/>
    <w:rsid w:val="00A01E76"/>
    <w:rsid w:val="00A02BDB"/>
    <w:rsid w:val="00A02D89"/>
    <w:rsid w:val="00A03071"/>
    <w:rsid w:val="00A04AF2"/>
    <w:rsid w:val="00A04D75"/>
    <w:rsid w:val="00A06928"/>
    <w:rsid w:val="00A0785F"/>
    <w:rsid w:val="00A1070D"/>
    <w:rsid w:val="00A127B7"/>
    <w:rsid w:val="00A1354E"/>
    <w:rsid w:val="00A13CA7"/>
    <w:rsid w:val="00A13E4D"/>
    <w:rsid w:val="00A14951"/>
    <w:rsid w:val="00A149B6"/>
    <w:rsid w:val="00A152AC"/>
    <w:rsid w:val="00A153A9"/>
    <w:rsid w:val="00A155B4"/>
    <w:rsid w:val="00A16082"/>
    <w:rsid w:val="00A16DBE"/>
    <w:rsid w:val="00A175FF"/>
    <w:rsid w:val="00A206CA"/>
    <w:rsid w:val="00A20BFA"/>
    <w:rsid w:val="00A213D0"/>
    <w:rsid w:val="00A220A6"/>
    <w:rsid w:val="00A2288E"/>
    <w:rsid w:val="00A22C87"/>
    <w:rsid w:val="00A241E3"/>
    <w:rsid w:val="00A244C7"/>
    <w:rsid w:val="00A249A7"/>
    <w:rsid w:val="00A25013"/>
    <w:rsid w:val="00A251E8"/>
    <w:rsid w:val="00A259EF"/>
    <w:rsid w:val="00A26080"/>
    <w:rsid w:val="00A30528"/>
    <w:rsid w:val="00A307C1"/>
    <w:rsid w:val="00A30A02"/>
    <w:rsid w:val="00A3106F"/>
    <w:rsid w:val="00A311B0"/>
    <w:rsid w:val="00A31DE0"/>
    <w:rsid w:val="00A327A9"/>
    <w:rsid w:val="00A327AE"/>
    <w:rsid w:val="00A331AA"/>
    <w:rsid w:val="00A336E2"/>
    <w:rsid w:val="00A33986"/>
    <w:rsid w:val="00A34098"/>
    <w:rsid w:val="00A344F3"/>
    <w:rsid w:val="00A34794"/>
    <w:rsid w:val="00A34D1B"/>
    <w:rsid w:val="00A359AC"/>
    <w:rsid w:val="00A35D20"/>
    <w:rsid w:val="00A36BA5"/>
    <w:rsid w:val="00A36DE6"/>
    <w:rsid w:val="00A377C8"/>
    <w:rsid w:val="00A3797A"/>
    <w:rsid w:val="00A37E94"/>
    <w:rsid w:val="00A40593"/>
    <w:rsid w:val="00A40AFE"/>
    <w:rsid w:val="00A40ED5"/>
    <w:rsid w:val="00A41707"/>
    <w:rsid w:val="00A41DDB"/>
    <w:rsid w:val="00A42994"/>
    <w:rsid w:val="00A42B4F"/>
    <w:rsid w:val="00A42BBB"/>
    <w:rsid w:val="00A43377"/>
    <w:rsid w:val="00A4371A"/>
    <w:rsid w:val="00A442A2"/>
    <w:rsid w:val="00A44D32"/>
    <w:rsid w:val="00A45D1C"/>
    <w:rsid w:val="00A45EC8"/>
    <w:rsid w:val="00A465C5"/>
    <w:rsid w:val="00A4707F"/>
    <w:rsid w:val="00A47660"/>
    <w:rsid w:val="00A47BE9"/>
    <w:rsid w:val="00A47CE3"/>
    <w:rsid w:val="00A51C2A"/>
    <w:rsid w:val="00A53608"/>
    <w:rsid w:val="00A53E29"/>
    <w:rsid w:val="00A53FB0"/>
    <w:rsid w:val="00A55391"/>
    <w:rsid w:val="00A55F21"/>
    <w:rsid w:val="00A5671F"/>
    <w:rsid w:val="00A6010F"/>
    <w:rsid w:val="00A60CC0"/>
    <w:rsid w:val="00A60F52"/>
    <w:rsid w:val="00A615AB"/>
    <w:rsid w:val="00A61871"/>
    <w:rsid w:val="00A61E60"/>
    <w:rsid w:val="00A639D7"/>
    <w:rsid w:val="00A6458C"/>
    <w:rsid w:val="00A67191"/>
    <w:rsid w:val="00A71AF4"/>
    <w:rsid w:val="00A72EA2"/>
    <w:rsid w:val="00A73D77"/>
    <w:rsid w:val="00A73DCA"/>
    <w:rsid w:val="00A740F1"/>
    <w:rsid w:val="00A7416C"/>
    <w:rsid w:val="00A74356"/>
    <w:rsid w:val="00A756F2"/>
    <w:rsid w:val="00A75A88"/>
    <w:rsid w:val="00A75BC2"/>
    <w:rsid w:val="00A75F04"/>
    <w:rsid w:val="00A75F9E"/>
    <w:rsid w:val="00A760CD"/>
    <w:rsid w:val="00A77181"/>
    <w:rsid w:val="00A807FC"/>
    <w:rsid w:val="00A80D60"/>
    <w:rsid w:val="00A82120"/>
    <w:rsid w:val="00A8248D"/>
    <w:rsid w:val="00A83425"/>
    <w:rsid w:val="00A83800"/>
    <w:rsid w:val="00A83F44"/>
    <w:rsid w:val="00A840EA"/>
    <w:rsid w:val="00A84632"/>
    <w:rsid w:val="00A84D91"/>
    <w:rsid w:val="00A85084"/>
    <w:rsid w:val="00A852A6"/>
    <w:rsid w:val="00A85E8B"/>
    <w:rsid w:val="00A860AF"/>
    <w:rsid w:val="00A860E9"/>
    <w:rsid w:val="00A861C2"/>
    <w:rsid w:val="00A87A0D"/>
    <w:rsid w:val="00A87ACE"/>
    <w:rsid w:val="00A87B98"/>
    <w:rsid w:val="00A90577"/>
    <w:rsid w:val="00A90C05"/>
    <w:rsid w:val="00A92511"/>
    <w:rsid w:val="00A92548"/>
    <w:rsid w:val="00A93167"/>
    <w:rsid w:val="00A93933"/>
    <w:rsid w:val="00A94F03"/>
    <w:rsid w:val="00A954F1"/>
    <w:rsid w:val="00A95735"/>
    <w:rsid w:val="00A95E72"/>
    <w:rsid w:val="00A95F5F"/>
    <w:rsid w:val="00A973B6"/>
    <w:rsid w:val="00A9740D"/>
    <w:rsid w:val="00A97A6F"/>
    <w:rsid w:val="00AA0435"/>
    <w:rsid w:val="00AA0BEB"/>
    <w:rsid w:val="00AA0C44"/>
    <w:rsid w:val="00AA0C5C"/>
    <w:rsid w:val="00AA1414"/>
    <w:rsid w:val="00AA27FE"/>
    <w:rsid w:val="00AA32DA"/>
    <w:rsid w:val="00AA373A"/>
    <w:rsid w:val="00AA385A"/>
    <w:rsid w:val="00AA404C"/>
    <w:rsid w:val="00AA4857"/>
    <w:rsid w:val="00AA5773"/>
    <w:rsid w:val="00AA58F3"/>
    <w:rsid w:val="00AA6786"/>
    <w:rsid w:val="00AA6BCA"/>
    <w:rsid w:val="00AA6F6D"/>
    <w:rsid w:val="00AA790C"/>
    <w:rsid w:val="00AA7CC8"/>
    <w:rsid w:val="00AB0EC5"/>
    <w:rsid w:val="00AB1478"/>
    <w:rsid w:val="00AB19C1"/>
    <w:rsid w:val="00AB29A0"/>
    <w:rsid w:val="00AB2E84"/>
    <w:rsid w:val="00AB4037"/>
    <w:rsid w:val="00AB6D78"/>
    <w:rsid w:val="00AB70E8"/>
    <w:rsid w:val="00AB7163"/>
    <w:rsid w:val="00AB73AD"/>
    <w:rsid w:val="00AC08C0"/>
    <w:rsid w:val="00AC0DE5"/>
    <w:rsid w:val="00AC16BC"/>
    <w:rsid w:val="00AC2514"/>
    <w:rsid w:val="00AC2624"/>
    <w:rsid w:val="00AC2E08"/>
    <w:rsid w:val="00AC3817"/>
    <w:rsid w:val="00AC387A"/>
    <w:rsid w:val="00AC4272"/>
    <w:rsid w:val="00AC4596"/>
    <w:rsid w:val="00AC6A46"/>
    <w:rsid w:val="00AC6BA4"/>
    <w:rsid w:val="00AC6BB9"/>
    <w:rsid w:val="00AC7294"/>
    <w:rsid w:val="00AD00D7"/>
    <w:rsid w:val="00AD06E2"/>
    <w:rsid w:val="00AD0AB7"/>
    <w:rsid w:val="00AD1A3E"/>
    <w:rsid w:val="00AD2FB2"/>
    <w:rsid w:val="00AD3243"/>
    <w:rsid w:val="00AD3483"/>
    <w:rsid w:val="00AD390F"/>
    <w:rsid w:val="00AD45E3"/>
    <w:rsid w:val="00AD5D43"/>
    <w:rsid w:val="00AD6CB8"/>
    <w:rsid w:val="00AD6CEA"/>
    <w:rsid w:val="00AD6FEB"/>
    <w:rsid w:val="00AE1542"/>
    <w:rsid w:val="00AE1A2A"/>
    <w:rsid w:val="00AE1D28"/>
    <w:rsid w:val="00AE1D44"/>
    <w:rsid w:val="00AE30AA"/>
    <w:rsid w:val="00AE3B19"/>
    <w:rsid w:val="00AE3CA8"/>
    <w:rsid w:val="00AE6099"/>
    <w:rsid w:val="00AE71EC"/>
    <w:rsid w:val="00AE7776"/>
    <w:rsid w:val="00AF22F5"/>
    <w:rsid w:val="00AF2D3D"/>
    <w:rsid w:val="00AF3D1D"/>
    <w:rsid w:val="00AF3F95"/>
    <w:rsid w:val="00AF51E2"/>
    <w:rsid w:val="00AF532E"/>
    <w:rsid w:val="00AF5A0F"/>
    <w:rsid w:val="00AF60B5"/>
    <w:rsid w:val="00AF700D"/>
    <w:rsid w:val="00AF7B0B"/>
    <w:rsid w:val="00B006EB"/>
    <w:rsid w:val="00B011C7"/>
    <w:rsid w:val="00B016A0"/>
    <w:rsid w:val="00B0317B"/>
    <w:rsid w:val="00B0327B"/>
    <w:rsid w:val="00B04406"/>
    <w:rsid w:val="00B04661"/>
    <w:rsid w:val="00B0487F"/>
    <w:rsid w:val="00B0562B"/>
    <w:rsid w:val="00B0597B"/>
    <w:rsid w:val="00B060C9"/>
    <w:rsid w:val="00B06C37"/>
    <w:rsid w:val="00B072B0"/>
    <w:rsid w:val="00B0798C"/>
    <w:rsid w:val="00B10808"/>
    <w:rsid w:val="00B10A77"/>
    <w:rsid w:val="00B11436"/>
    <w:rsid w:val="00B117A9"/>
    <w:rsid w:val="00B12569"/>
    <w:rsid w:val="00B1275E"/>
    <w:rsid w:val="00B1340A"/>
    <w:rsid w:val="00B1395B"/>
    <w:rsid w:val="00B13BAE"/>
    <w:rsid w:val="00B13E56"/>
    <w:rsid w:val="00B1492A"/>
    <w:rsid w:val="00B15687"/>
    <w:rsid w:val="00B15A4F"/>
    <w:rsid w:val="00B15C37"/>
    <w:rsid w:val="00B1740C"/>
    <w:rsid w:val="00B2126D"/>
    <w:rsid w:val="00B22014"/>
    <w:rsid w:val="00B22016"/>
    <w:rsid w:val="00B227DE"/>
    <w:rsid w:val="00B23F64"/>
    <w:rsid w:val="00B24099"/>
    <w:rsid w:val="00B250B7"/>
    <w:rsid w:val="00B25959"/>
    <w:rsid w:val="00B263E3"/>
    <w:rsid w:val="00B2712C"/>
    <w:rsid w:val="00B273E7"/>
    <w:rsid w:val="00B27BC4"/>
    <w:rsid w:val="00B30AD3"/>
    <w:rsid w:val="00B317BC"/>
    <w:rsid w:val="00B32656"/>
    <w:rsid w:val="00B32B3B"/>
    <w:rsid w:val="00B332DF"/>
    <w:rsid w:val="00B334BA"/>
    <w:rsid w:val="00B3357C"/>
    <w:rsid w:val="00B34E03"/>
    <w:rsid w:val="00B35C7C"/>
    <w:rsid w:val="00B36802"/>
    <w:rsid w:val="00B369A6"/>
    <w:rsid w:val="00B36DB8"/>
    <w:rsid w:val="00B3738D"/>
    <w:rsid w:val="00B373BE"/>
    <w:rsid w:val="00B373E4"/>
    <w:rsid w:val="00B37BBF"/>
    <w:rsid w:val="00B40EDC"/>
    <w:rsid w:val="00B41EE1"/>
    <w:rsid w:val="00B423A8"/>
    <w:rsid w:val="00B424CA"/>
    <w:rsid w:val="00B43023"/>
    <w:rsid w:val="00B45140"/>
    <w:rsid w:val="00B457DF"/>
    <w:rsid w:val="00B45AF1"/>
    <w:rsid w:val="00B460D8"/>
    <w:rsid w:val="00B46709"/>
    <w:rsid w:val="00B46728"/>
    <w:rsid w:val="00B46877"/>
    <w:rsid w:val="00B46B99"/>
    <w:rsid w:val="00B46E86"/>
    <w:rsid w:val="00B474DF"/>
    <w:rsid w:val="00B505BB"/>
    <w:rsid w:val="00B50B77"/>
    <w:rsid w:val="00B50E3D"/>
    <w:rsid w:val="00B50E7A"/>
    <w:rsid w:val="00B513D4"/>
    <w:rsid w:val="00B51A2B"/>
    <w:rsid w:val="00B51E88"/>
    <w:rsid w:val="00B51F0F"/>
    <w:rsid w:val="00B52390"/>
    <w:rsid w:val="00B5469E"/>
    <w:rsid w:val="00B548EA"/>
    <w:rsid w:val="00B56063"/>
    <w:rsid w:val="00B56DDA"/>
    <w:rsid w:val="00B605AA"/>
    <w:rsid w:val="00B617DE"/>
    <w:rsid w:val="00B622FE"/>
    <w:rsid w:val="00B62732"/>
    <w:rsid w:val="00B62D65"/>
    <w:rsid w:val="00B634A6"/>
    <w:rsid w:val="00B63755"/>
    <w:rsid w:val="00B6393F"/>
    <w:rsid w:val="00B643B4"/>
    <w:rsid w:val="00B64EF1"/>
    <w:rsid w:val="00B64F4B"/>
    <w:rsid w:val="00B64FE3"/>
    <w:rsid w:val="00B65D6E"/>
    <w:rsid w:val="00B660C3"/>
    <w:rsid w:val="00B668AD"/>
    <w:rsid w:val="00B703FE"/>
    <w:rsid w:val="00B71788"/>
    <w:rsid w:val="00B71A06"/>
    <w:rsid w:val="00B71C89"/>
    <w:rsid w:val="00B726C7"/>
    <w:rsid w:val="00B72C46"/>
    <w:rsid w:val="00B73748"/>
    <w:rsid w:val="00B73B44"/>
    <w:rsid w:val="00B73CD3"/>
    <w:rsid w:val="00B73D40"/>
    <w:rsid w:val="00B7404E"/>
    <w:rsid w:val="00B747A5"/>
    <w:rsid w:val="00B7484D"/>
    <w:rsid w:val="00B75511"/>
    <w:rsid w:val="00B75845"/>
    <w:rsid w:val="00B75D1D"/>
    <w:rsid w:val="00B7617C"/>
    <w:rsid w:val="00B777CB"/>
    <w:rsid w:val="00B803E3"/>
    <w:rsid w:val="00B80910"/>
    <w:rsid w:val="00B8261D"/>
    <w:rsid w:val="00B82B7B"/>
    <w:rsid w:val="00B83B24"/>
    <w:rsid w:val="00B84872"/>
    <w:rsid w:val="00B86471"/>
    <w:rsid w:val="00B87142"/>
    <w:rsid w:val="00B90E45"/>
    <w:rsid w:val="00B912D1"/>
    <w:rsid w:val="00B92237"/>
    <w:rsid w:val="00B93A52"/>
    <w:rsid w:val="00B93CF8"/>
    <w:rsid w:val="00B944B1"/>
    <w:rsid w:val="00B9476B"/>
    <w:rsid w:val="00B94F49"/>
    <w:rsid w:val="00B95572"/>
    <w:rsid w:val="00B97102"/>
    <w:rsid w:val="00BA0F4F"/>
    <w:rsid w:val="00BA27BB"/>
    <w:rsid w:val="00BA2853"/>
    <w:rsid w:val="00BA2BFE"/>
    <w:rsid w:val="00BA2D31"/>
    <w:rsid w:val="00BA426A"/>
    <w:rsid w:val="00BA5097"/>
    <w:rsid w:val="00BA70A4"/>
    <w:rsid w:val="00BA7857"/>
    <w:rsid w:val="00BB0D6E"/>
    <w:rsid w:val="00BB1760"/>
    <w:rsid w:val="00BB1946"/>
    <w:rsid w:val="00BB1D60"/>
    <w:rsid w:val="00BB2803"/>
    <w:rsid w:val="00BB2973"/>
    <w:rsid w:val="00BB2CF7"/>
    <w:rsid w:val="00BB369C"/>
    <w:rsid w:val="00BB370F"/>
    <w:rsid w:val="00BB434B"/>
    <w:rsid w:val="00BB4C8D"/>
    <w:rsid w:val="00BB5293"/>
    <w:rsid w:val="00BB565D"/>
    <w:rsid w:val="00BB56CF"/>
    <w:rsid w:val="00BB61F9"/>
    <w:rsid w:val="00BB67E1"/>
    <w:rsid w:val="00BB6F14"/>
    <w:rsid w:val="00BB70BF"/>
    <w:rsid w:val="00BB7C1D"/>
    <w:rsid w:val="00BC0298"/>
    <w:rsid w:val="00BC04C0"/>
    <w:rsid w:val="00BC073A"/>
    <w:rsid w:val="00BC0A75"/>
    <w:rsid w:val="00BC121E"/>
    <w:rsid w:val="00BC1AF4"/>
    <w:rsid w:val="00BC200F"/>
    <w:rsid w:val="00BC298D"/>
    <w:rsid w:val="00BC335E"/>
    <w:rsid w:val="00BC411A"/>
    <w:rsid w:val="00BC4812"/>
    <w:rsid w:val="00BC5731"/>
    <w:rsid w:val="00BC58D1"/>
    <w:rsid w:val="00BC5969"/>
    <w:rsid w:val="00BC6536"/>
    <w:rsid w:val="00BC77F8"/>
    <w:rsid w:val="00BC79F4"/>
    <w:rsid w:val="00BD2D6B"/>
    <w:rsid w:val="00BD3E43"/>
    <w:rsid w:val="00BD4897"/>
    <w:rsid w:val="00BD7B47"/>
    <w:rsid w:val="00BE05EE"/>
    <w:rsid w:val="00BE0F96"/>
    <w:rsid w:val="00BE1100"/>
    <w:rsid w:val="00BE13E1"/>
    <w:rsid w:val="00BE1480"/>
    <w:rsid w:val="00BE2B33"/>
    <w:rsid w:val="00BE31E8"/>
    <w:rsid w:val="00BE375F"/>
    <w:rsid w:val="00BE3DF1"/>
    <w:rsid w:val="00BE4142"/>
    <w:rsid w:val="00BE4EBF"/>
    <w:rsid w:val="00BE5261"/>
    <w:rsid w:val="00BE5EEC"/>
    <w:rsid w:val="00BE73DF"/>
    <w:rsid w:val="00BE777B"/>
    <w:rsid w:val="00BF053B"/>
    <w:rsid w:val="00BF06CC"/>
    <w:rsid w:val="00BF0A53"/>
    <w:rsid w:val="00BF1BF8"/>
    <w:rsid w:val="00BF2458"/>
    <w:rsid w:val="00BF2512"/>
    <w:rsid w:val="00BF2C4B"/>
    <w:rsid w:val="00BF2CA4"/>
    <w:rsid w:val="00BF380D"/>
    <w:rsid w:val="00BF42F8"/>
    <w:rsid w:val="00BF4544"/>
    <w:rsid w:val="00BF458D"/>
    <w:rsid w:val="00BF45AF"/>
    <w:rsid w:val="00BF46C9"/>
    <w:rsid w:val="00BF5746"/>
    <w:rsid w:val="00BF58D5"/>
    <w:rsid w:val="00BF595E"/>
    <w:rsid w:val="00BF623C"/>
    <w:rsid w:val="00BF63D1"/>
    <w:rsid w:val="00BF6F93"/>
    <w:rsid w:val="00BF72AE"/>
    <w:rsid w:val="00BF730C"/>
    <w:rsid w:val="00BF7D03"/>
    <w:rsid w:val="00C0032A"/>
    <w:rsid w:val="00C016EF"/>
    <w:rsid w:val="00C02210"/>
    <w:rsid w:val="00C03C62"/>
    <w:rsid w:val="00C03FB3"/>
    <w:rsid w:val="00C04D1E"/>
    <w:rsid w:val="00C050D5"/>
    <w:rsid w:val="00C05993"/>
    <w:rsid w:val="00C0617F"/>
    <w:rsid w:val="00C066C9"/>
    <w:rsid w:val="00C06B93"/>
    <w:rsid w:val="00C07780"/>
    <w:rsid w:val="00C078A0"/>
    <w:rsid w:val="00C07EDD"/>
    <w:rsid w:val="00C122E9"/>
    <w:rsid w:val="00C1231E"/>
    <w:rsid w:val="00C138D9"/>
    <w:rsid w:val="00C13BE7"/>
    <w:rsid w:val="00C14887"/>
    <w:rsid w:val="00C14FAD"/>
    <w:rsid w:val="00C15867"/>
    <w:rsid w:val="00C15C81"/>
    <w:rsid w:val="00C15D4B"/>
    <w:rsid w:val="00C16D10"/>
    <w:rsid w:val="00C1745B"/>
    <w:rsid w:val="00C177D0"/>
    <w:rsid w:val="00C21CAF"/>
    <w:rsid w:val="00C21D34"/>
    <w:rsid w:val="00C22195"/>
    <w:rsid w:val="00C23E86"/>
    <w:rsid w:val="00C240DB"/>
    <w:rsid w:val="00C24741"/>
    <w:rsid w:val="00C24E12"/>
    <w:rsid w:val="00C2647D"/>
    <w:rsid w:val="00C264F3"/>
    <w:rsid w:val="00C26867"/>
    <w:rsid w:val="00C26EF2"/>
    <w:rsid w:val="00C27E25"/>
    <w:rsid w:val="00C3031E"/>
    <w:rsid w:val="00C3111A"/>
    <w:rsid w:val="00C329E3"/>
    <w:rsid w:val="00C32AE7"/>
    <w:rsid w:val="00C336EA"/>
    <w:rsid w:val="00C3433A"/>
    <w:rsid w:val="00C34A94"/>
    <w:rsid w:val="00C34C01"/>
    <w:rsid w:val="00C3503D"/>
    <w:rsid w:val="00C35B54"/>
    <w:rsid w:val="00C35FE2"/>
    <w:rsid w:val="00C36CA5"/>
    <w:rsid w:val="00C36DA4"/>
    <w:rsid w:val="00C3787F"/>
    <w:rsid w:val="00C37E16"/>
    <w:rsid w:val="00C37FD1"/>
    <w:rsid w:val="00C4020C"/>
    <w:rsid w:val="00C410D0"/>
    <w:rsid w:val="00C41B0C"/>
    <w:rsid w:val="00C42B92"/>
    <w:rsid w:val="00C42DF8"/>
    <w:rsid w:val="00C4389D"/>
    <w:rsid w:val="00C43D96"/>
    <w:rsid w:val="00C444A1"/>
    <w:rsid w:val="00C4478B"/>
    <w:rsid w:val="00C45141"/>
    <w:rsid w:val="00C46548"/>
    <w:rsid w:val="00C46C27"/>
    <w:rsid w:val="00C47168"/>
    <w:rsid w:val="00C4760F"/>
    <w:rsid w:val="00C501EA"/>
    <w:rsid w:val="00C5050E"/>
    <w:rsid w:val="00C5053F"/>
    <w:rsid w:val="00C50710"/>
    <w:rsid w:val="00C51039"/>
    <w:rsid w:val="00C51688"/>
    <w:rsid w:val="00C525F9"/>
    <w:rsid w:val="00C53F61"/>
    <w:rsid w:val="00C544DA"/>
    <w:rsid w:val="00C5465D"/>
    <w:rsid w:val="00C54CAA"/>
    <w:rsid w:val="00C54CAF"/>
    <w:rsid w:val="00C557BF"/>
    <w:rsid w:val="00C5588E"/>
    <w:rsid w:val="00C56118"/>
    <w:rsid w:val="00C5660A"/>
    <w:rsid w:val="00C570AE"/>
    <w:rsid w:val="00C60CE2"/>
    <w:rsid w:val="00C61120"/>
    <w:rsid w:val="00C611E7"/>
    <w:rsid w:val="00C61C87"/>
    <w:rsid w:val="00C63831"/>
    <w:rsid w:val="00C65287"/>
    <w:rsid w:val="00C659B6"/>
    <w:rsid w:val="00C65E28"/>
    <w:rsid w:val="00C66297"/>
    <w:rsid w:val="00C67811"/>
    <w:rsid w:val="00C705D2"/>
    <w:rsid w:val="00C716CC"/>
    <w:rsid w:val="00C7219A"/>
    <w:rsid w:val="00C724CE"/>
    <w:rsid w:val="00C72A46"/>
    <w:rsid w:val="00C7466E"/>
    <w:rsid w:val="00C75C70"/>
    <w:rsid w:val="00C761F0"/>
    <w:rsid w:val="00C77B8C"/>
    <w:rsid w:val="00C8048D"/>
    <w:rsid w:val="00C8054F"/>
    <w:rsid w:val="00C81BEB"/>
    <w:rsid w:val="00C81D9A"/>
    <w:rsid w:val="00C81F77"/>
    <w:rsid w:val="00C822F6"/>
    <w:rsid w:val="00C82479"/>
    <w:rsid w:val="00C8309B"/>
    <w:rsid w:val="00C83140"/>
    <w:rsid w:val="00C84BC0"/>
    <w:rsid w:val="00C84E04"/>
    <w:rsid w:val="00C85093"/>
    <w:rsid w:val="00C855D2"/>
    <w:rsid w:val="00C86345"/>
    <w:rsid w:val="00C9074D"/>
    <w:rsid w:val="00C9147E"/>
    <w:rsid w:val="00C9202A"/>
    <w:rsid w:val="00C9275F"/>
    <w:rsid w:val="00C9287F"/>
    <w:rsid w:val="00C92AC0"/>
    <w:rsid w:val="00C93141"/>
    <w:rsid w:val="00C937D2"/>
    <w:rsid w:val="00C94896"/>
    <w:rsid w:val="00C95133"/>
    <w:rsid w:val="00C96AD4"/>
    <w:rsid w:val="00C96C47"/>
    <w:rsid w:val="00C973A8"/>
    <w:rsid w:val="00C97463"/>
    <w:rsid w:val="00C978DD"/>
    <w:rsid w:val="00CA0014"/>
    <w:rsid w:val="00CA15B7"/>
    <w:rsid w:val="00CA2773"/>
    <w:rsid w:val="00CA2F28"/>
    <w:rsid w:val="00CA370A"/>
    <w:rsid w:val="00CA48E9"/>
    <w:rsid w:val="00CA4E57"/>
    <w:rsid w:val="00CA52BA"/>
    <w:rsid w:val="00CA5C8F"/>
    <w:rsid w:val="00CA5DFA"/>
    <w:rsid w:val="00CA62DC"/>
    <w:rsid w:val="00CB05BD"/>
    <w:rsid w:val="00CB10E3"/>
    <w:rsid w:val="00CB199A"/>
    <w:rsid w:val="00CB275C"/>
    <w:rsid w:val="00CB3236"/>
    <w:rsid w:val="00CB35F2"/>
    <w:rsid w:val="00CB4189"/>
    <w:rsid w:val="00CB41D9"/>
    <w:rsid w:val="00CB575B"/>
    <w:rsid w:val="00CB6964"/>
    <w:rsid w:val="00CB6A10"/>
    <w:rsid w:val="00CB71D5"/>
    <w:rsid w:val="00CB73C9"/>
    <w:rsid w:val="00CB765D"/>
    <w:rsid w:val="00CC00D7"/>
    <w:rsid w:val="00CC0644"/>
    <w:rsid w:val="00CC07B7"/>
    <w:rsid w:val="00CC0D4A"/>
    <w:rsid w:val="00CC1F5A"/>
    <w:rsid w:val="00CC2E28"/>
    <w:rsid w:val="00CC3142"/>
    <w:rsid w:val="00CC32E8"/>
    <w:rsid w:val="00CC3809"/>
    <w:rsid w:val="00CC3D4B"/>
    <w:rsid w:val="00CC3DBC"/>
    <w:rsid w:val="00CC4355"/>
    <w:rsid w:val="00CC4C6D"/>
    <w:rsid w:val="00CC4D36"/>
    <w:rsid w:val="00CC4E16"/>
    <w:rsid w:val="00CC51B5"/>
    <w:rsid w:val="00CC60A1"/>
    <w:rsid w:val="00CC6548"/>
    <w:rsid w:val="00CC6637"/>
    <w:rsid w:val="00CC6A5A"/>
    <w:rsid w:val="00CC79C8"/>
    <w:rsid w:val="00CD0887"/>
    <w:rsid w:val="00CD27AB"/>
    <w:rsid w:val="00CD2B7A"/>
    <w:rsid w:val="00CD2FE3"/>
    <w:rsid w:val="00CD41DA"/>
    <w:rsid w:val="00CD432C"/>
    <w:rsid w:val="00CD47AB"/>
    <w:rsid w:val="00CD47D5"/>
    <w:rsid w:val="00CD5577"/>
    <w:rsid w:val="00CD60CD"/>
    <w:rsid w:val="00CD645A"/>
    <w:rsid w:val="00CD6AD2"/>
    <w:rsid w:val="00CD7494"/>
    <w:rsid w:val="00CD759D"/>
    <w:rsid w:val="00CE04AD"/>
    <w:rsid w:val="00CE0525"/>
    <w:rsid w:val="00CE0600"/>
    <w:rsid w:val="00CE149A"/>
    <w:rsid w:val="00CE1B7A"/>
    <w:rsid w:val="00CE1CF3"/>
    <w:rsid w:val="00CE2019"/>
    <w:rsid w:val="00CE28ED"/>
    <w:rsid w:val="00CE3D71"/>
    <w:rsid w:val="00CE496B"/>
    <w:rsid w:val="00CE71F9"/>
    <w:rsid w:val="00CE72C1"/>
    <w:rsid w:val="00CE74BE"/>
    <w:rsid w:val="00CF0234"/>
    <w:rsid w:val="00CF09CB"/>
    <w:rsid w:val="00CF12A2"/>
    <w:rsid w:val="00CF3B62"/>
    <w:rsid w:val="00CF3C7C"/>
    <w:rsid w:val="00CF429B"/>
    <w:rsid w:val="00CF4D7F"/>
    <w:rsid w:val="00CF5BB7"/>
    <w:rsid w:val="00CF7325"/>
    <w:rsid w:val="00CF7912"/>
    <w:rsid w:val="00CF7B30"/>
    <w:rsid w:val="00CF7BE2"/>
    <w:rsid w:val="00D0057A"/>
    <w:rsid w:val="00D01505"/>
    <w:rsid w:val="00D017A6"/>
    <w:rsid w:val="00D01B24"/>
    <w:rsid w:val="00D01D7E"/>
    <w:rsid w:val="00D02EE3"/>
    <w:rsid w:val="00D03641"/>
    <w:rsid w:val="00D071F3"/>
    <w:rsid w:val="00D075AE"/>
    <w:rsid w:val="00D0765C"/>
    <w:rsid w:val="00D07C14"/>
    <w:rsid w:val="00D1108E"/>
    <w:rsid w:val="00D12765"/>
    <w:rsid w:val="00D12969"/>
    <w:rsid w:val="00D12F1D"/>
    <w:rsid w:val="00D139AC"/>
    <w:rsid w:val="00D139B2"/>
    <w:rsid w:val="00D13BD0"/>
    <w:rsid w:val="00D1463A"/>
    <w:rsid w:val="00D14F6A"/>
    <w:rsid w:val="00D1525D"/>
    <w:rsid w:val="00D1531B"/>
    <w:rsid w:val="00D15D81"/>
    <w:rsid w:val="00D160CC"/>
    <w:rsid w:val="00D16251"/>
    <w:rsid w:val="00D162CA"/>
    <w:rsid w:val="00D16CBE"/>
    <w:rsid w:val="00D2093B"/>
    <w:rsid w:val="00D20E16"/>
    <w:rsid w:val="00D22C46"/>
    <w:rsid w:val="00D241E4"/>
    <w:rsid w:val="00D302EF"/>
    <w:rsid w:val="00D31191"/>
    <w:rsid w:val="00D31408"/>
    <w:rsid w:val="00D31728"/>
    <w:rsid w:val="00D33FC9"/>
    <w:rsid w:val="00D3415E"/>
    <w:rsid w:val="00D35880"/>
    <w:rsid w:val="00D35971"/>
    <w:rsid w:val="00D35C47"/>
    <w:rsid w:val="00D35CDB"/>
    <w:rsid w:val="00D37AEB"/>
    <w:rsid w:val="00D40AF9"/>
    <w:rsid w:val="00D40B9A"/>
    <w:rsid w:val="00D40E79"/>
    <w:rsid w:val="00D416F7"/>
    <w:rsid w:val="00D41D55"/>
    <w:rsid w:val="00D43DC5"/>
    <w:rsid w:val="00D445FE"/>
    <w:rsid w:val="00D44647"/>
    <w:rsid w:val="00D44C37"/>
    <w:rsid w:val="00D458D1"/>
    <w:rsid w:val="00D46739"/>
    <w:rsid w:val="00D4696B"/>
    <w:rsid w:val="00D46BBC"/>
    <w:rsid w:val="00D46E52"/>
    <w:rsid w:val="00D4774B"/>
    <w:rsid w:val="00D4799D"/>
    <w:rsid w:val="00D50649"/>
    <w:rsid w:val="00D50719"/>
    <w:rsid w:val="00D50F2C"/>
    <w:rsid w:val="00D51E5B"/>
    <w:rsid w:val="00D521C8"/>
    <w:rsid w:val="00D5243A"/>
    <w:rsid w:val="00D527C6"/>
    <w:rsid w:val="00D53025"/>
    <w:rsid w:val="00D53621"/>
    <w:rsid w:val="00D53B0F"/>
    <w:rsid w:val="00D5486E"/>
    <w:rsid w:val="00D548E8"/>
    <w:rsid w:val="00D549B8"/>
    <w:rsid w:val="00D54E1C"/>
    <w:rsid w:val="00D550E9"/>
    <w:rsid w:val="00D55F06"/>
    <w:rsid w:val="00D56C0E"/>
    <w:rsid w:val="00D56ED4"/>
    <w:rsid w:val="00D56F91"/>
    <w:rsid w:val="00D57004"/>
    <w:rsid w:val="00D5745B"/>
    <w:rsid w:val="00D57516"/>
    <w:rsid w:val="00D57A12"/>
    <w:rsid w:val="00D60D89"/>
    <w:rsid w:val="00D61E31"/>
    <w:rsid w:val="00D62CE9"/>
    <w:rsid w:val="00D63028"/>
    <w:rsid w:val="00D63F47"/>
    <w:rsid w:val="00D70633"/>
    <w:rsid w:val="00D70BC9"/>
    <w:rsid w:val="00D71482"/>
    <w:rsid w:val="00D717EC"/>
    <w:rsid w:val="00D71941"/>
    <w:rsid w:val="00D71B8C"/>
    <w:rsid w:val="00D71DB3"/>
    <w:rsid w:val="00D72FA4"/>
    <w:rsid w:val="00D73576"/>
    <w:rsid w:val="00D73B26"/>
    <w:rsid w:val="00D74EFF"/>
    <w:rsid w:val="00D75282"/>
    <w:rsid w:val="00D75C7A"/>
    <w:rsid w:val="00D76D78"/>
    <w:rsid w:val="00D7749B"/>
    <w:rsid w:val="00D77B0B"/>
    <w:rsid w:val="00D77DE4"/>
    <w:rsid w:val="00D77F8D"/>
    <w:rsid w:val="00D808EB"/>
    <w:rsid w:val="00D80DC5"/>
    <w:rsid w:val="00D81EEB"/>
    <w:rsid w:val="00D82A57"/>
    <w:rsid w:val="00D84DEE"/>
    <w:rsid w:val="00D8514B"/>
    <w:rsid w:val="00D851BD"/>
    <w:rsid w:val="00D8565C"/>
    <w:rsid w:val="00D858CA"/>
    <w:rsid w:val="00D86F06"/>
    <w:rsid w:val="00D870CC"/>
    <w:rsid w:val="00D87500"/>
    <w:rsid w:val="00D875A0"/>
    <w:rsid w:val="00D87FE5"/>
    <w:rsid w:val="00D90E9F"/>
    <w:rsid w:val="00D9134E"/>
    <w:rsid w:val="00D9212C"/>
    <w:rsid w:val="00D92398"/>
    <w:rsid w:val="00D92551"/>
    <w:rsid w:val="00D93364"/>
    <w:rsid w:val="00D93A6D"/>
    <w:rsid w:val="00D93D58"/>
    <w:rsid w:val="00D96106"/>
    <w:rsid w:val="00D9614F"/>
    <w:rsid w:val="00D97A80"/>
    <w:rsid w:val="00DA04CE"/>
    <w:rsid w:val="00DA1323"/>
    <w:rsid w:val="00DA256D"/>
    <w:rsid w:val="00DA265A"/>
    <w:rsid w:val="00DA268A"/>
    <w:rsid w:val="00DA2FA4"/>
    <w:rsid w:val="00DA3AE6"/>
    <w:rsid w:val="00DA3D5D"/>
    <w:rsid w:val="00DA3DEC"/>
    <w:rsid w:val="00DA40CF"/>
    <w:rsid w:val="00DA4483"/>
    <w:rsid w:val="00DA5217"/>
    <w:rsid w:val="00DA53BA"/>
    <w:rsid w:val="00DA554E"/>
    <w:rsid w:val="00DA65B3"/>
    <w:rsid w:val="00DA708A"/>
    <w:rsid w:val="00DA73DA"/>
    <w:rsid w:val="00DB0441"/>
    <w:rsid w:val="00DB0635"/>
    <w:rsid w:val="00DB20B7"/>
    <w:rsid w:val="00DB2118"/>
    <w:rsid w:val="00DB29D8"/>
    <w:rsid w:val="00DB3F97"/>
    <w:rsid w:val="00DB47E0"/>
    <w:rsid w:val="00DB4845"/>
    <w:rsid w:val="00DB60D3"/>
    <w:rsid w:val="00DB6230"/>
    <w:rsid w:val="00DB714F"/>
    <w:rsid w:val="00DB76E3"/>
    <w:rsid w:val="00DC0994"/>
    <w:rsid w:val="00DC0CA1"/>
    <w:rsid w:val="00DC189C"/>
    <w:rsid w:val="00DC2A27"/>
    <w:rsid w:val="00DC2DF9"/>
    <w:rsid w:val="00DC3072"/>
    <w:rsid w:val="00DC3E65"/>
    <w:rsid w:val="00DC5B33"/>
    <w:rsid w:val="00DC6FC4"/>
    <w:rsid w:val="00DD1A6E"/>
    <w:rsid w:val="00DD1A84"/>
    <w:rsid w:val="00DD1FBB"/>
    <w:rsid w:val="00DD1FD2"/>
    <w:rsid w:val="00DD2176"/>
    <w:rsid w:val="00DD23CD"/>
    <w:rsid w:val="00DD29A9"/>
    <w:rsid w:val="00DD33D3"/>
    <w:rsid w:val="00DD4E64"/>
    <w:rsid w:val="00DD6F9C"/>
    <w:rsid w:val="00DD7017"/>
    <w:rsid w:val="00DD70D0"/>
    <w:rsid w:val="00DD7578"/>
    <w:rsid w:val="00DD79E2"/>
    <w:rsid w:val="00DE0825"/>
    <w:rsid w:val="00DE23EF"/>
    <w:rsid w:val="00DE2697"/>
    <w:rsid w:val="00DE2FB4"/>
    <w:rsid w:val="00DE3B83"/>
    <w:rsid w:val="00DE4EB5"/>
    <w:rsid w:val="00DE71B4"/>
    <w:rsid w:val="00DE77C4"/>
    <w:rsid w:val="00DE7A99"/>
    <w:rsid w:val="00DF09EB"/>
    <w:rsid w:val="00DF09FB"/>
    <w:rsid w:val="00DF0F95"/>
    <w:rsid w:val="00DF1458"/>
    <w:rsid w:val="00DF1A0D"/>
    <w:rsid w:val="00DF2A8E"/>
    <w:rsid w:val="00DF3202"/>
    <w:rsid w:val="00DF3410"/>
    <w:rsid w:val="00DF3F6D"/>
    <w:rsid w:val="00DF3F9A"/>
    <w:rsid w:val="00DF44A9"/>
    <w:rsid w:val="00DF4B7A"/>
    <w:rsid w:val="00DF5199"/>
    <w:rsid w:val="00DF51CB"/>
    <w:rsid w:val="00DF57F1"/>
    <w:rsid w:val="00DF59C9"/>
    <w:rsid w:val="00DF5BCF"/>
    <w:rsid w:val="00DF6975"/>
    <w:rsid w:val="00E02981"/>
    <w:rsid w:val="00E02F28"/>
    <w:rsid w:val="00E03E03"/>
    <w:rsid w:val="00E0568D"/>
    <w:rsid w:val="00E0584F"/>
    <w:rsid w:val="00E05E66"/>
    <w:rsid w:val="00E06370"/>
    <w:rsid w:val="00E07975"/>
    <w:rsid w:val="00E07BF0"/>
    <w:rsid w:val="00E10486"/>
    <w:rsid w:val="00E10B44"/>
    <w:rsid w:val="00E10CAE"/>
    <w:rsid w:val="00E112CB"/>
    <w:rsid w:val="00E11C66"/>
    <w:rsid w:val="00E12C30"/>
    <w:rsid w:val="00E165FD"/>
    <w:rsid w:val="00E16805"/>
    <w:rsid w:val="00E16A91"/>
    <w:rsid w:val="00E16E34"/>
    <w:rsid w:val="00E171B8"/>
    <w:rsid w:val="00E17321"/>
    <w:rsid w:val="00E1739A"/>
    <w:rsid w:val="00E1751A"/>
    <w:rsid w:val="00E17627"/>
    <w:rsid w:val="00E17872"/>
    <w:rsid w:val="00E20561"/>
    <w:rsid w:val="00E20609"/>
    <w:rsid w:val="00E20653"/>
    <w:rsid w:val="00E206CC"/>
    <w:rsid w:val="00E20BA4"/>
    <w:rsid w:val="00E214F9"/>
    <w:rsid w:val="00E219D2"/>
    <w:rsid w:val="00E21E0D"/>
    <w:rsid w:val="00E223B2"/>
    <w:rsid w:val="00E22C55"/>
    <w:rsid w:val="00E2405A"/>
    <w:rsid w:val="00E24A07"/>
    <w:rsid w:val="00E24E62"/>
    <w:rsid w:val="00E253E8"/>
    <w:rsid w:val="00E261B7"/>
    <w:rsid w:val="00E268E6"/>
    <w:rsid w:val="00E26CFF"/>
    <w:rsid w:val="00E274A9"/>
    <w:rsid w:val="00E27DC6"/>
    <w:rsid w:val="00E300FC"/>
    <w:rsid w:val="00E307EF"/>
    <w:rsid w:val="00E3096B"/>
    <w:rsid w:val="00E30B68"/>
    <w:rsid w:val="00E30DE1"/>
    <w:rsid w:val="00E32EBE"/>
    <w:rsid w:val="00E3346A"/>
    <w:rsid w:val="00E33843"/>
    <w:rsid w:val="00E3388C"/>
    <w:rsid w:val="00E343B6"/>
    <w:rsid w:val="00E35613"/>
    <w:rsid w:val="00E36B5B"/>
    <w:rsid w:val="00E373E0"/>
    <w:rsid w:val="00E4150B"/>
    <w:rsid w:val="00E424F9"/>
    <w:rsid w:val="00E4312B"/>
    <w:rsid w:val="00E4367F"/>
    <w:rsid w:val="00E43BA8"/>
    <w:rsid w:val="00E445C1"/>
    <w:rsid w:val="00E448BE"/>
    <w:rsid w:val="00E4490B"/>
    <w:rsid w:val="00E44B61"/>
    <w:rsid w:val="00E44C05"/>
    <w:rsid w:val="00E4522A"/>
    <w:rsid w:val="00E47721"/>
    <w:rsid w:val="00E47FF7"/>
    <w:rsid w:val="00E509CB"/>
    <w:rsid w:val="00E51E7A"/>
    <w:rsid w:val="00E52C75"/>
    <w:rsid w:val="00E539BD"/>
    <w:rsid w:val="00E53C1F"/>
    <w:rsid w:val="00E53F00"/>
    <w:rsid w:val="00E54AF2"/>
    <w:rsid w:val="00E5622B"/>
    <w:rsid w:val="00E5626D"/>
    <w:rsid w:val="00E564B9"/>
    <w:rsid w:val="00E569A7"/>
    <w:rsid w:val="00E57513"/>
    <w:rsid w:val="00E60BDA"/>
    <w:rsid w:val="00E614DC"/>
    <w:rsid w:val="00E622A0"/>
    <w:rsid w:val="00E62912"/>
    <w:rsid w:val="00E62F11"/>
    <w:rsid w:val="00E63F64"/>
    <w:rsid w:val="00E6484D"/>
    <w:rsid w:val="00E64A8A"/>
    <w:rsid w:val="00E64E2E"/>
    <w:rsid w:val="00E64FF4"/>
    <w:rsid w:val="00E65AF8"/>
    <w:rsid w:val="00E66470"/>
    <w:rsid w:val="00E66CCF"/>
    <w:rsid w:val="00E66E53"/>
    <w:rsid w:val="00E67DF4"/>
    <w:rsid w:val="00E67F62"/>
    <w:rsid w:val="00E70144"/>
    <w:rsid w:val="00E70440"/>
    <w:rsid w:val="00E705B1"/>
    <w:rsid w:val="00E70BF5"/>
    <w:rsid w:val="00E70E7E"/>
    <w:rsid w:val="00E71574"/>
    <w:rsid w:val="00E71DC0"/>
    <w:rsid w:val="00E73648"/>
    <w:rsid w:val="00E73742"/>
    <w:rsid w:val="00E74695"/>
    <w:rsid w:val="00E77084"/>
    <w:rsid w:val="00E775ED"/>
    <w:rsid w:val="00E80061"/>
    <w:rsid w:val="00E81DD4"/>
    <w:rsid w:val="00E8309D"/>
    <w:rsid w:val="00E83364"/>
    <w:rsid w:val="00E835E9"/>
    <w:rsid w:val="00E8439F"/>
    <w:rsid w:val="00E8512E"/>
    <w:rsid w:val="00E854ED"/>
    <w:rsid w:val="00E863F3"/>
    <w:rsid w:val="00E87C75"/>
    <w:rsid w:val="00E9067A"/>
    <w:rsid w:val="00E910C8"/>
    <w:rsid w:val="00E914EA"/>
    <w:rsid w:val="00E91A82"/>
    <w:rsid w:val="00E930E0"/>
    <w:rsid w:val="00E9310C"/>
    <w:rsid w:val="00E935E2"/>
    <w:rsid w:val="00E93FBF"/>
    <w:rsid w:val="00E94062"/>
    <w:rsid w:val="00E9427B"/>
    <w:rsid w:val="00E94DFE"/>
    <w:rsid w:val="00E9637D"/>
    <w:rsid w:val="00E96E8E"/>
    <w:rsid w:val="00E971C8"/>
    <w:rsid w:val="00EA1D1C"/>
    <w:rsid w:val="00EA3156"/>
    <w:rsid w:val="00EA4441"/>
    <w:rsid w:val="00EA4E24"/>
    <w:rsid w:val="00EA53D7"/>
    <w:rsid w:val="00EA61D2"/>
    <w:rsid w:val="00EA687C"/>
    <w:rsid w:val="00EA695C"/>
    <w:rsid w:val="00EA7573"/>
    <w:rsid w:val="00EB2479"/>
    <w:rsid w:val="00EB2BF5"/>
    <w:rsid w:val="00EB3C1C"/>
    <w:rsid w:val="00EB4186"/>
    <w:rsid w:val="00EB4460"/>
    <w:rsid w:val="00EB4598"/>
    <w:rsid w:val="00EB5BF8"/>
    <w:rsid w:val="00EB6608"/>
    <w:rsid w:val="00EB7292"/>
    <w:rsid w:val="00EB7B1A"/>
    <w:rsid w:val="00EC0366"/>
    <w:rsid w:val="00EC13C9"/>
    <w:rsid w:val="00EC1480"/>
    <w:rsid w:val="00EC2762"/>
    <w:rsid w:val="00EC38D7"/>
    <w:rsid w:val="00EC3CA5"/>
    <w:rsid w:val="00EC3EE4"/>
    <w:rsid w:val="00EC6C32"/>
    <w:rsid w:val="00EC7008"/>
    <w:rsid w:val="00EC7681"/>
    <w:rsid w:val="00EC76FB"/>
    <w:rsid w:val="00EC7B96"/>
    <w:rsid w:val="00EC7F1E"/>
    <w:rsid w:val="00ED0587"/>
    <w:rsid w:val="00ED2664"/>
    <w:rsid w:val="00ED2F99"/>
    <w:rsid w:val="00ED2FF5"/>
    <w:rsid w:val="00ED32E6"/>
    <w:rsid w:val="00ED3E30"/>
    <w:rsid w:val="00ED4F33"/>
    <w:rsid w:val="00ED5C0C"/>
    <w:rsid w:val="00ED6837"/>
    <w:rsid w:val="00EE26D4"/>
    <w:rsid w:val="00EE2F3E"/>
    <w:rsid w:val="00EE34E3"/>
    <w:rsid w:val="00EE43F0"/>
    <w:rsid w:val="00EE494E"/>
    <w:rsid w:val="00EE4F7A"/>
    <w:rsid w:val="00EE51FA"/>
    <w:rsid w:val="00EE5B52"/>
    <w:rsid w:val="00EE5B9D"/>
    <w:rsid w:val="00EF24DE"/>
    <w:rsid w:val="00EF385F"/>
    <w:rsid w:val="00EF3D36"/>
    <w:rsid w:val="00EF460F"/>
    <w:rsid w:val="00EF47D9"/>
    <w:rsid w:val="00EF4980"/>
    <w:rsid w:val="00EF4A5D"/>
    <w:rsid w:val="00EF4D02"/>
    <w:rsid w:val="00EF5428"/>
    <w:rsid w:val="00EF6B1E"/>
    <w:rsid w:val="00EF778D"/>
    <w:rsid w:val="00EF7ABB"/>
    <w:rsid w:val="00EF7B22"/>
    <w:rsid w:val="00EF7FF8"/>
    <w:rsid w:val="00F003FE"/>
    <w:rsid w:val="00F00B34"/>
    <w:rsid w:val="00F00DF2"/>
    <w:rsid w:val="00F01B7C"/>
    <w:rsid w:val="00F01D7A"/>
    <w:rsid w:val="00F021F2"/>
    <w:rsid w:val="00F03330"/>
    <w:rsid w:val="00F03E86"/>
    <w:rsid w:val="00F04718"/>
    <w:rsid w:val="00F04BD9"/>
    <w:rsid w:val="00F0527F"/>
    <w:rsid w:val="00F05327"/>
    <w:rsid w:val="00F056CA"/>
    <w:rsid w:val="00F076A8"/>
    <w:rsid w:val="00F0794F"/>
    <w:rsid w:val="00F07CEB"/>
    <w:rsid w:val="00F07DFB"/>
    <w:rsid w:val="00F10243"/>
    <w:rsid w:val="00F10338"/>
    <w:rsid w:val="00F10390"/>
    <w:rsid w:val="00F1085A"/>
    <w:rsid w:val="00F10C86"/>
    <w:rsid w:val="00F1105F"/>
    <w:rsid w:val="00F116E5"/>
    <w:rsid w:val="00F13889"/>
    <w:rsid w:val="00F13A76"/>
    <w:rsid w:val="00F144F7"/>
    <w:rsid w:val="00F1512C"/>
    <w:rsid w:val="00F159B3"/>
    <w:rsid w:val="00F15F48"/>
    <w:rsid w:val="00F162CB"/>
    <w:rsid w:val="00F16400"/>
    <w:rsid w:val="00F16738"/>
    <w:rsid w:val="00F16C29"/>
    <w:rsid w:val="00F1731D"/>
    <w:rsid w:val="00F173AF"/>
    <w:rsid w:val="00F1742E"/>
    <w:rsid w:val="00F17610"/>
    <w:rsid w:val="00F20432"/>
    <w:rsid w:val="00F2047D"/>
    <w:rsid w:val="00F2105F"/>
    <w:rsid w:val="00F225E7"/>
    <w:rsid w:val="00F227EF"/>
    <w:rsid w:val="00F22C81"/>
    <w:rsid w:val="00F23158"/>
    <w:rsid w:val="00F23D25"/>
    <w:rsid w:val="00F25234"/>
    <w:rsid w:val="00F256A2"/>
    <w:rsid w:val="00F25C23"/>
    <w:rsid w:val="00F25F32"/>
    <w:rsid w:val="00F26779"/>
    <w:rsid w:val="00F267A1"/>
    <w:rsid w:val="00F26C71"/>
    <w:rsid w:val="00F26EDC"/>
    <w:rsid w:val="00F26F75"/>
    <w:rsid w:val="00F27CB8"/>
    <w:rsid w:val="00F27EF1"/>
    <w:rsid w:val="00F30077"/>
    <w:rsid w:val="00F3077E"/>
    <w:rsid w:val="00F30C38"/>
    <w:rsid w:val="00F31714"/>
    <w:rsid w:val="00F3240E"/>
    <w:rsid w:val="00F32FBD"/>
    <w:rsid w:val="00F3451E"/>
    <w:rsid w:val="00F35C43"/>
    <w:rsid w:val="00F35D0E"/>
    <w:rsid w:val="00F35ECC"/>
    <w:rsid w:val="00F360F5"/>
    <w:rsid w:val="00F363A1"/>
    <w:rsid w:val="00F363BC"/>
    <w:rsid w:val="00F40013"/>
    <w:rsid w:val="00F4011B"/>
    <w:rsid w:val="00F40BB0"/>
    <w:rsid w:val="00F418A0"/>
    <w:rsid w:val="00F4221A"/>
    <w:rsid w:val="00F42298"/>
    <w:rsid w:val="00F43A45"/>
    <w:rsid w:val="00F43EBE"/>
    <w:rsid w:val="00F4444C"/>
    <w:rsid w:val="00F44B73"/>
    <w:rsid w:val="00F4509E"/>
    <w:rsid w:val="00F455A8"/>
    <w:rsid w:val="00F458AB"/>
    <w:rsid w:val="00F4596C"/>
    <w:rsid w:val="00F45C1C"/>
    <w:rsid w:val="00F45C7D"/>
    <w:rsid w:val="00F4758C"/>
    <w:rsid w:val="00F4792E"/>
    <w:rsid w:val="00F50311"/>
    <w:rsid w:val="00F50516"/>
    <w:rsid w:val="00F50C15"/>
    <w:rsid w:val="00F518D6"/>
    <w:rsid w:val="00F51C4B"/>
    <w:rsid w:val="00F52039"/>
    <w:rsid w:val="00F526A2"/>
    <w:rsid w:val="00F52997"/>
    <w:rsid w:val="00F538AD"/>
    <w:rsid w:val="00F54BA3"/>
    <w:rsid w:val="00F54C7F"/>
    <w:rsid w:val="00F5532E"/>
    <w:rsid w:val="00F5595C"/>
    <w:rsid w:val="00F5659D"/>
    <w:rsid w:val="00F566A1"/>
    <w:rsid w:val="00F601AE"/>
    <w:rsid w:val="00F6038F"/>
    <w:rsid w:val="00F603F8"/>
    <w:rsid w:val="00F604AE"/>
    <w:rsid w:val="00F60D24"/>
    <w:rsid w:val="00F61ADC"/>
    <w:rsid w:val="00F61CEF"/>
    <w:rsid w:val="00F621DB"/>
    <w:rsid w:val="00F62351"/>
    <w:rsid w:val="00F6280F"/>
    <w:rsid w:val="00F63DD8"/>
    <w:rsid w:val="00F63DF8"/>
    <w:rsid w:val="00F6511F"/>
    <w:rsid w:val="00F6545B"/>
    <w:rsid w:val="00F66536"/>
    <w:rsid w:val="00F679F8"/>
    <w:rsid w:val="00F67CCC"/>
    <w:rsid w:val="00F67E31"/>
    <w:rsid w:val="00F67F8C"/>
    <w:rsid w:val="00F70335"/>
    <w:rsid w:val="00F71133"/>
    <w:rsid w:val="00F711B9"/>
    <w:rsid w:val="00F716CA"/>
    <w:rsid w:val="00F724F9"/>
    <w:rsid w:val="00F72ACD"/>
    <w:rsid w:val="00F73829"/>
    <w:rsid w:val="00F7390A"/>
    <w:rsid w:val="00F73A98"/>
    <w:rsid w:val="00F74DB0"/>
    <w:rsid w:val="00F75DC7"/>
    <w:rsid w:val="00F76DE6"/>
    <w:rsid w:val="00F77309"/>
    <w:rsid w:val="00F779A1"/>
    <w:rsid w:val="00F80341"/>
    <w:rsid w:val="00F81E6B"/>
    <w:rsid w:val="00F82CF3"/>
    <w:rsid w:val="00F84F9E"/>
    <w:rsid w:val="00F854E5"/>
    <w:rsid w:val="00F85642"/>
    <w:rsid w:val="00F876B9"/>
    <w:rsid w:val="00F90587"/>
    <w:rsid w:val="00F905B8"/>
    <w:rsid w:val="00F91E0D"/>
    <w:rsid w:val="00F91F6A"/>
    <w:rsid w:val="00F9348E"/>
    <w:rsid w:val="00F935B0"/>
    <w:rsid w:val="00F947D9"/>
    <w:rsid w:val="00F94BB7"/>
    <w:rsid w:val="00F94D95"/>
    <w:rsid w:val="00F950BF"/>
    <w:rsid w:val="00F9610C"/>
    <w:rsid w:val="00F961AF"/>
    <w:rsid w:val="00F96620"/>
    <w:rsid w:val="00F96A4B"/>
    <w:rsid w:val="00F971A2"/>
    <w:rsid w:val="00F979B4"/>
    <w:rsid w:val="00FA0085"/>
    <w:rsid w:val="00FA0F9C"/>
    <w:rsid w:val="00FA143B"/>
    <w:rsid w:val="00FA15DA"/>
    <w:rsid w:val="00FA19D6"/>
    <w:rsid w:val="00FA1EC6"/>
    <w:rsid w:val="00FA2001"/>
    <w:rsid w:val="00FA3814"/>
    <w:rsid w:val="00FA4525"/>
    <w:rsid w:val="00FA46CC"/>
    <w:rsid w:val="00FA56ED"/>
    <w:rsid w:val="00FA57D6"/>
    <w:rsid w:val="00FA727E"/>
    <w:rsid w:val="00FA74A7"/>
    <w:rsid w:val="00FB0082"/>
    <w:rsid w:val="00FB075E"/>
    <w:rsid w:val="00FB07A1"/>
    <w:rsid w:val="00FB0813"/>
    <w:rsid w:val="00FB0AC2"/>
    <w:rsid w:val="00FB158E"/>
    <w:rsid w:val="00FB2AD0"/>
    <w:rsid w:val="00FB2DDE"/>
    <w:rsid w:val="00FB3AFC"/>
    <w:rsid w:val="00FB4E59"/>
    <w:rsid w:val="00FB500D"/>
    <w:rsid w:val="00FB54BF"/>
    <w:rsid w:val="00FB63D6"/>
    <w:rsid w:val="00FB6ECB"/>
    <w:rsid w:val="00FB758C"/>
    <w:rsid w:val="00FB7619"/>
    <w:rsid w:val="00FB7B6D"/>
    <w:rsid w:val="00FB7C37"/>
    <w:rsid w:val="00FC0154"/>
    <w:rsid w:val="00FC060E"/>
    <w:rsid w:val="00FC185C"/>
    <w:rsid w:val="00FC1F7A"/>
    <w:rsid w:val="00FC21F4"/>
    <w:rsid w:val="00FC3A8F"/>
    <w:rsid w:val="00FC43BB"/>
    <w:rsid w:val="00FC5301"/>
    <w:rsid w:val="00FC5334"/>
    <w:rsid w:val="00FC536E"/>
    <w:rsid w:val="00FC585E"/>
    <w:rsid w:val="00FC5933"/>
    <w:rsid w:val="00FC5A1A"/>
    <w:rsid w:val="00FC5A2F"/>
    <w:rsid w:val="00FC5A45"/>
    <w:rsid w:val="00FC6E37"/>
    <w:rsid w:val="00FC7D4A"/>
    <w:rsid w:val="00FD071A"/>
    <w:rsid w:val="00FD0B7C"/>
    <w:rsid w:val="00FD11DD"/>
    <w:rsid w:val="00FD1D1C"/>
    <w:rsid w:val="00FD1D4B"/>
    <w:rsid w:val="00FD1EB7"/>
    <w:rsid w:val="00FD32D4"/>
    <w:rsid w:val="00FD3713"/>
    <w:rsid w:val="00FD4305"/>
    <w:rsid w:val="00FD4E9A"/>
    <w:rsid w:val="00FD629E"/>
    <w:rsid w:val="00FE0DA4"/>
    <w:rsid w:val="00FE13EF"/>
    <w:rsid w:val="00FE1527"/>
    <w:rsid w:val="00FE20C0"/>
    <w:rsid w:val="00FE2305"/>
    <w:rsid w:val="00FE295D"/>
    <w:rsid w:val="00FE2B65"/>
    <w:rsid w:val="00FE2B78"/>
    <w:rsid w:val="00FE2CF0"/>
    <w:rsid w:val="00FE3173"/>
    <w:rsid w:val="00FE3E9F"/>
    <w:rsid w:val="00FE43B9"/>
    <w:rsid w:val="00FE44F4"/>
    <w:rsid w:val="00FE4619"/>
    <w:rsid w:val="00FE47D3"/>
    <w:rsid w:val="00FE47FD"/>
    <w:rsid w:val="00FE4A00"/>
    <w:rsid w:val="00FE4C0E"/>
    <w:rsid w:val="00FE5CEA"/>
    <w:rsid w:val="00FE62FE"/>
    <w:rsid w:val="00FE6E2C"/>
    <w:rsid w:val="00FE7CB2"/>
    <w:rsid w:val="00FF018D"/>
    <w:rsid w:val="00FF113F"/>
    <w:rsid w:val="00FF1B94"/>
    <w:rsid w:val="00FF2953"/>
    <w:rsid w:val="00FF343D"/>
    <w:rsid w:val="00FF3FC4"/>
    <w:rsid w:val="00FF50A4"/>
    <w:rsid w:val="00FF54EB"/>
    <w:rsid w:val="00FF5C00"/>
    <w:rsid w:val="00FF61FA"/>
    <w:rsid w:val="00FF73E7"/>
    <w:rsid w:val="00FF7E33"/>
    <w:rsid w:val="0170F866"/>
    <w:rsid w:val="01967628"/>
    <w:rsid w:val="024E67FB"/>
    <w:rsid w:val="03300449"/>
    <w:rsid w:val="0357B0D3"/>
    <w:rsid w:val="040D9C1F"/>
    <w:rsid w:val="05216F1B"/>
    <w:rsid w:val="059D6EE8"/>
    <w:rsid w:val="0611F31D"/>
    <w:rsid w:val="072B4CA9"/>
    <w:rsid w:val="07327F4C"/>
    <w:rsid w:val="07544967"/>
    <w:rsid w:val="0911CF6B"/>
    <w:rsid w:val="09450B21"/>
    <w:rsid w:val="0A948FC5"/>
    <w:rsid w:val="0AD460BE"/>
    <w:rsid w:val="0B1726A9"/>
    <w:rsid w:val="0B3729BA"/>
    <w:rsid w:val="0B6B8097"/>
    <w:rsid w:val="0C6A1C6E"/>
    <w:rsid w:val="0C6B722F"/>
    <w:rsid w:val="0CEEF08B"/>
    <w:rsid w:val="0D3E674A"/>
    <w:rsid w:val="0E07E5CB"/>
    <w:rsid w:val="0E5A0FC4"/>
    <w:rsid w:val="0ED1F47D"/>
    <w:rsid w:val="0F0D4025"/>
    <w:rsid w:val="0F18C438"/>
    <w:rsid w:val="0F7D1667"/>
    <w:rsid w:val="100397B9"/>
    <w:rsid w:val="10B1C6A4"/>
    <w:rsid w:val="12187EBF"/>
    <w:rsid w:val="1341DA7C"/>
    <w:rsid w:val="135308BA"/>
    <w:rsid w:val="141C9D82"/>
    <w:rsid w:val="1433F00E"/>
    <w:rsid w:val="14811D24"/>
    <w:rsid w:val="15E78D7A"/>
    <w:rsid w:val="160DD70A"/>
    <w:rsid w:val="16BF73AD"/>
    <w:rsid w:val="16DD339C"/>
    <w:rsid w:val="17836DAA"/>
    <w:rsid w:val="181793CF"/>
    <w:rsid w:val="18FC0E0D"/>
    <w:rsid w:val="1A0E375F"/>
    <w:rsid w:val="1A700C32"/>
    <w:rsid w:val="1A77F639"/>
    <w:rsid w:val="1AA576C8"/>
    <w:rsid w:val="1C2E5BA3"/>
    <w:rsid w:val="1CCD00D2"/>
    <w:rsid w:val="1D0806E5"/>
    <w:rsid w:val="1D1A853C"/>
    <w:rsid w:val="213C5C51"/>
    <w:rsid w:val="21481EDE"/>
    <w:rsid w:val="22DE7DAF"/>
    <w:rsid w:val="22E8198F"/>
    <w:rsid w:val="23ED540F"/>
    <w:rsid w:val="242EF549"/>
    <w:rsid w:val="24A89CA4"/>
    <w:rsid w:val="2531875B"/>
    <w:rsid w:val="2637EFF9"/>
    <w:rsid w:val="267881D7"/>
    <w:rsid w:val="26E1E30B"/>
    <w:rsid w:val="2768EA2C"/>
    <w:rsid w:val="27742BDB"/>
    <w:rsid w:val="27A961DA"/>
    <w:rsid w:val="292C718E"/>
    <w:rsid w:val="2952B9CE"/>
    <w:rsid w:val="29C1CCD8"/>
    <w:rsid w:val="2A035A2C"/>
    <w:rsid w:val="2A4F6473"/>
    <w:rsid w:val="2AA58EF6"/>
    <w:rsid w:val="2AAF2214"/>
    <w:rsid w:val="2C05C3C0"/>
    <w:rsid w:val="2C50D080"/>
    <w:rsid w:val="2DC7E8BE"/>
    <w:rsid w:val="2DC85B18"/>
    <w:rsid w:val="2E8B9FFD"/>
    <w:rsid w:val="2F0DAB6F"/>
    <w:rsid w:val="2F403D09"/>
    <w:rsid w:val="30539BC2"/>
    <w:rsid w:val="30C5A4D1"/>
    <w:rsid w:val="314B98B3"/>
    <w:rsid w:val="3153C4B1"/>
    <w:rsid w:val="31CB4E3C"/>
    <w:rsid w:val="322225F7"/>
    <w:rsid w:val="32613592"/>
    <w:rsid w:val="32D6E276"/>
    <w:rsid w:val="35200DA6"/>
    <w:rsid w:val="3598242D"/>
    <w:rsid w:val="3620B5BB"/>
    <w:rsid w:val="36D1AEBA"/>
    <w:rsid w:val="380A5E9A"/>
    <w:rsid w:val="383BFA80"/>
    <w:rsid w:val="394894FE"/>
    <w:rsid w:val="398039D5"/>
    <w:rsid w:val="39A92FE6"/>
    <w:rsid w:val="39F6F24E"/>
    <w:rsid w:val="3A1672EB"/>
    <w:rsid w:val="3A34F7FC"/>
    <w:rsid w:val="3A4E9B5A"/>
    <w:rsid w:val="3A97D8F7"/>
    <w:rsid w:val="3B76FC60"/>
    <w:rsid w:val="3BE73C00"/>
    <w:rsid w:val="3C63A9BF"/>
    <w:rsid w:val="3C9E6599"/>
    <w:rsid w:val="3CBB8304"/>
    <w:rsid w:val="3D2D9BA4"/>
    <w:rsid w:val="3E37DEB4"/>
    <w:rsid w:val="3E6AB20B"/>
    <w:rsid w:val="3E99E910"/>
    <w:rsid w:val="3EDE0CDF"/>
    <w:rsid w:val="3F15EB33"/>
    <w:rsid w:val="3F1D076C"/>
    <w:rsid w:val="40D10A3F"/>
    <w:rsid w:val="40FD365E"/>
    <w:rsid w:val="41D32500"/>
    <w:rsid w:val="42499D03"/>
    <w:rsid w:val="43DF1DCD"/>
    <w:rsid w:val="448A8514"/>
    <w:rsid w:val="44C87828"/>
    <w:rsid w:val="4566DEBE"/>
    <w:rsid w:val="45B5085D"/>
    <w:rsid w:val="466FA10E"/>
    <w:rsid w:val="468729CA"/>
    <w:rsid w:val="46B91BA2"/>
    <w:rsid w:val="48870B08"/>
    <w:rsid w:val="4A8D332A"/>
    <w:rsid w:val="4C4E1B22"/>
    <w:rsid w:val="4D6AB84B"/>
    <w:rsid w:val="4DF5E904"/>
    <w:rsid w:val="4E0EBAFB"/>
    <w:rsid w:val="4E58AD78"/>
    <w:rsid w:val="4F095104"/>
    <w:rsid w:val="4FAB2233"/>
    <w:rsid w:val="4FB5AFB7"/>
    <w:rsid w:val="4FE14C3D"/>
    <w:rsid w:val="50F91B05"/>
    <w:rsid w:val="53A91090"/>
    <w:rsid w:val="54184E02"/>
    <w:rsid w:val="547D8117"/>
    <w:rsid w:val="54B5BDD0"/>
    <w:rsid w:val="54F682AA"/>
    <w:rsid w:val="554E7BBB"/>
    <w:rsid w:val="55DEA3A2"/>
    <w:rsid w:val="55F486C1"/>
    <w:rsid w:val="5718F0BF"/>
    <w:rsid w:val="574F91CE"/>
    <w:rsid w:val="57624BF2"/>
    <w:rsid w:val="57E416D3"/>
    <w:rsid w:val="57EC9ACA"/>
    <w:rsid w:val="583C3D78"/>
    <w:rsid w:val="58BCACCD"/>
    <w:rsid w:val="58C46738"/>
    <w:rsid w:val="59BB810E"/>
    <w:rsid w:val="5AAACA21"/>
    <w:rsid w:val="5BD89E84"/>
    <w:rsid w:val="5BDAA4AC"/>
    <w:rsid w:val="5DFDE1BD"/>
    <w:rsid w:val="5F0A8025"/>
    <w:rsid w:val="5F49395B"/>
    <w:rsid w:val="61119774"/>
    <w:rsid w:val="615B6BA5"/>
    <w:rsid w:val="61E3BDF2"/>
    <w:rsid w:val="63EF35AB"/>
    <w:rsid w:val="647886DA"/>
    <w:rsid w:val="6496F052"/>
    <w:rsid w:val="6558DA1C"/>
    <w:rsid w:val="657AA534"/>
    <w:rsid w:val="6697AA5B"/>
    <w:rsid w:val="67491FA8"/>
    <w:rsid w:val="684A179D"/>
    <w:rsid w:val="685288AB"/>
    <w:rsid w:val="6A2B306C"/>
    <w:rsid w:val="6A825F1F"/>
    <w:rsid w:val="6C473F6F"/>
    <w:rsid w:val="6D09F7BC"/>
    <w:rsid w:val="6D8E5C3F"/>
    <w:rsid w:val="6E93BE69"/>
    <w:rsid w:val="6EB6F775"/>
    <w:rsid w:val="6F9CF6AF"/>
    <w:rsid w:val="7015564B"/>
    <w:rsid w:val="7078409C"/>
    <w:rsid w:val="70ED428F"/>
    <w:rsid w:val="71107640"/>
    <w:rsid w:val="72650D95"/>
    <w:rsid w:val="72837871"/>
    <w:rsid w:val="72F31740"/>
    <w:rsid w:val="7331D734"/>
    <w:rsid w:val="733580E2"/>
    <w:rsid w:val="73C18BE9"/>
    <w:rsid w:val="742A4B41"/>
    <w:rsid w:val="757583E1"/>
    <w:rsid w:val="75CC944A"/>
    <w:rsid w:val="7627DA8A"/>
    <w:rsid w:val="763A2DBD"/>
    <w:rsid w:val="7642E465"/>
    <w:rsid w:val="771F9B23"/>
    <w:rsid w:val="7842F5C2"/>
    <w:rsid w:val="799A8104"/>
    <w:rsid w:val="79F58951"/>
    <w:rsid w:val="7A8685DD"/>
    <w:rsid w:val="7AB3FDF1"/>
    <w:rsid w:val="7AE3815F"/>
    <w:rsid w:val="7B65B4F2"/>
    <w:rsid w:val="7B7DC629"/>
    <w:rsid w:val="7D75A5A1"/>
    <w:rsid w:val="7E5721CD"/>
    <w:rsid w:val="7EB8B11A"/>
    <w:rsid w:val="7F88D67F"/>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4EE401"/>
  <w15:chartTrackingRefBased/>
  <w15:docId w15:val="{6148051F-088C-4DF2-8152-EE6159B06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739D"/>
    <w:pPr>
      <w:spacing w:after="0" w:line="240" w:lineRule="auto"/>
    </w:pPr>
    <w:rPr>
      <w:rFonts w:ascii="Times New Roman" w:eastAsia="Times New Roman" w:hAnsi="Times New Roman" w:cs="Times New Roman"/>
      <w:sz w:val="24"/>
      <w:szCs w:val="24"/>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1739A"/>
    <w:pPr>
      <w:tabs>
        <w:tab w:val="center" w:pos="4252"/>
        <w:tab w:val="right" w:pos="8504"/>
      </w:tabs>
    </w:pPr>
    <w:rPr>
      <w:rFonts w:asciiTheme="minorHAnsi" w:eastAsiaTheme="minorHAnsi" w:hAnsiTheme="minorHAnsi" w:cstheme="minorBidi"/>
      <w:sz w:val="22"/>
      <w:szCs w:val="22"/>
      <w:lang w:eastAsia="en-US"/>
    </w:rPr>
  </w:style>
  <w:style w:type="character" w:customStyle="1" w:styleId="CabealhoChar">
    <w:name w:val="Cabeçalho Char"/>
    <w:basedOn w:val="Fontepargpadro"/>
    <w:link w:val="Cabealho"/>
    <w:uiPriority w:val="99"/>
    <w:rsid w:val="00E1739A"/>
  </w:style>
  <w:style w:type="paragraph" w:styleId="Rodap">
    <w:name w:val="footer"/>
    <w:basedOn w:val="Normal"/>
    <w:link w:val="RodapChar"/>
    <w:uiPriority w:val="99"/>
    <w:unhideWhenUsed/>
    <w:rsid w:val="00E1739A"/>
    <w:pPr>
      <w:tabs>
        <w:tab w:val="center" w:pos="4252"/>
        <w:tab w:val="right" w:pos="8504"/>
      </w:tabs>
    </w:pPr>
    <w:rPr>
      <w:rFonts w:asciiTheme="minorHAnsi" w:eastAsiaTheme="minorHAnsi" w:hAnsiTheme="minorHAnsi" w:cstheme="minorBidi"/>
      <w:sz w:val="22"/>
      <w:szCs w:val="22"/>
      <w:lang w:eastAsia="en-US"/>
    </w:rPr>
  </w:style>
  <w:style w:type="character" w:customStyle="1" w:styleId="RodapChar">
    <w:name w:val="Rodapé Char"/>
    <w:basedOn w:val="Fontepargpadro"/>
    <w:link w:val="Rodap"/>
    <w:uiPriority w:val="99"/>
    <w:rsid w:val="00E1739A"/>
  </w:style>
  <w:style w:type="paragraph" w:styleId="Ttulo">
    <w:name w:val="Title"/>
    <w:basedOn w:val="Normal"/>
    <w:link w:val="TtuloChar"/>
    <w:uiPriority w:val="10"/>
    <w:qFormat/>
    <w:rsid w:val="00E1739A"/>
    <w:pPr>
      <w:widowControl w:val="0"/>
      <w:autoSpaceDE w:val="0"/>
      <w:autoSpaceDN w:val="0"/>
      <w:spacing w:before="83"/>
      <w:ind w:left="277" w:right="310"/>
      <w:jc w:val="center"/>
    </w:pPr>
    <w:rPr>
      <w:rFonts w:ascii="Arial" w:eastAsia="Arial" w:hAnsi="Arial" w:cs="Arial"/>
      <w:b/>
      <w:bCs/>
      <w:sz w:val="23"/>
      <w:szCs w:val="23"/>
      <w:lang w:val="pt-PT" w:eastAsia="en-US"/>
    </w:rPr>
  </w:style>
  <w:style w:type="character" w:customStyle="1" w:styleId="TtuloChar">
    <w:name w:val="Título Char"/>
    <w:basedOn w:val="Fontepargpadro"/>
    <w:link w:val="Ttulo"/>
    <w:uiPriority w:val="10"/>
    <w:rsid w:val="00E1739A"/>
    <w:rPr>
      <w:rFonts w:ascii="Arial" w:eastAsia="Arial" w:hAnsi="Arial" w:cs="Arial"/>
      <w:b/>
      <w:bCs/>
      <w:sz w:val="23"/>
      <w:szCs w:val="23"/>
      <w:lang w:val="pt-PT"/>
    </w:rPr>
  </w:style>
  <w:style w:type="paragraph" w:customStyle="1" w:styleId="Default">
    <w:name w:val="Default"/>
    <w:rsid w:val="00E1739A"/>
    <w:pPr>
      <w:autoSpaceDE w:val="0"/>
      <w:autoSpaceDN w:val="0"/>
      <w:adjustRightInd w:val="0"/>
      <w:spacing w:after="0" w:line="240" w:lineRule="auto"/>
    </w:pPr>
    <w:rPr>
      <w:rFonts w:ascii="Arial" w:eastAsia="Times New Roman" w:hAnsi="Arial" w:cs="Arial"/>
      <w:color w:val="000000"/>
      <w:sz w:val="24"/>
      <w:szCs w:val="24"/>
      <w:lang w:eastAsia="pt-BR"/>
    </w:rPr>
  </w:style>
  <w:style w:type="table" w:styleId="Tabelacomgrade">
    <w:name w:val="Table Grid"/>
    <w:basedOn w:val="Tabelanormal"/>
    <w:uiPriority w:val="39"/>
    <w:rsid w:val="00E173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E1739A"/>
    <w:pPr>
      <w:ind w:left="720"/>
      <w:contextualSpacing/>
    </w:pPr>
  </w:style>
  <w:style w:type="character" w:styleId="Refdecomentrio">
    <w:name w:val="annotation reference"/>
    <w:basedOn w:val="Fontepargpadro"/>
    <w:uiPriority w:val="99"/>
    <w:semiHidden/>
    <w:unhideWhenUsed/>
    <w:rsid w:val="008D319D"/>
    <w:rPr>
      <w:sz w:val="16"/>
      <w:szCs w:val="16"/>
    </w:rPr>
  </w:style>
  <w:style w:type="paragraph" w:styleId="Textodecomentrio">
    <w:name w:val="annotation text"/>
    <w:basedOn w:val="Normal"/>
    <w:link w:val="TextodecomentrioChar"/>
    <w:uiPriority w:val="99"/>
    <w:unhideWhenUsed/>
    <w:rsid w:val="008D319D"/>
    <w:rPr>
      <w:sz w:val="20"/>
      <w:szCs w:val="20"/>
    </w:rPr>
  </w:style>
  <w:style w:type="character" w:customStyle="1" w:styleId="TextodecomentrioChar">
    <w:name w:val="Texto de comentário Char"/>
    <w:basedOn w:val="Fontepargpadro"/>
    <w:link w:val="Textodecomentrio"/>
    <w:uiPriority w:val="99"/>
    <w:rsid w:val="008D319D"/>
    <w:rPr>
      <w:rFonts w:ascii="Times New Roman" w:eastAsia="Times New Roman" w:hAnsi="Times New Roman" w:cs="Times New Roman"/>
      <w:sz w:val="20"/>
      <w:szCs w:val="20"/>
      <w:lang w:eastAsia="pt-BR"/>
    </w:rPr>
  </w:style>
  <w:style w:type="paragraph" w:styleId="Assuntodocomentrio">
    <w:name w:val="annotation subject"/>
    <w:basedOn w:val="Textodecomentrio"/>
    <w:next w:val="Textodecomentrio"/>
    <w:link w:val="AssuntodocomentrioChar"/>
    <w:uiPriority w:val="99"/>
    <w:semiHidden/>
    <w:unhideWhenUsed/>
    <w:rsid w:val="008D319D"/>
    <w:rPr>
      <w:b/>
      <w:bCs/>
    </w:rPr>
  </w:style>
  <w:style w:type="character" w:customStyle="1" w:styleId="AssuntodocomentrioChar">
    <w:name w:val="Assunto do comentário Char"/>
    <w:basedOn w:val="TextodecomentrioChar"/>
    <w:link w:val="Assuntodocomentrio"/>
    <w:uiPriority w:val="99"/>
    <w:semiHidden/>
    <w:rsid w:val="008D319D"/>
    <w:rPr>
      <w:rFonts w:ascii="Times New Roman" w:eastAsia="Times New Roman" w:hAnsi="Times New Roman" w:cs="Times New Roman"/>
      <w:b/>
      <w:bCs/>
      <w:sz w:val="20"/>
      <w:szCs w:val="20"/>
      <w:lang w:eastAsia="pt-BR"/>
    </w:rPr>
  </w:style>
  <w:style w:type="paragraph" w:styleId="Textodenotaderodap">
    <w:name w:val="footnote text"/>
    <w:basedOn w:val="Normal"/>
    <w:link w:val="TextodenotaderodapChar"/>
    <w:uiPriority w:val="99"/>
    <w:semiHidden/>
    <w:unhideWhenUsed/>
    <w:rsid w:val="004F1658"/>
    <w:rPr>
      <w:sz w:val="20"/>
      <w:szCs w:val="20"/>
    </w:rPr>
  </w:style>
  <w:style w:type="character" w:customStyle="1" w:styleId="TextodenotaderodapChar">
    <w:name w:val="Texto de nota de rodapé Char"/>
    <w:basedOn w:val="Fontepargpadro"/>
    <w:link w:val="Textodenotaderodap"/>
    <w:uiPriority w:val="99"/>
    <w:semiHidden/>
    <w:rsid w:val="004F1658"/>
    <w:rPr>
      <w:rFonts w:ascii="Times New Roman" w:eastAsia="Times New Roman" w:hAnsi="Times New Roman" w:cs="Times New Roman"/>
      <w:sz w:val="20"/>
      <w:szCs w:val="20"/>
      <w:lang w:eastAsia="pt-BR"/>
    </w:rPr>
  </w:style>
  <w:style w:type="character" w:styleId="Refdenotaderodap">
    <w:name w:val="footnote reference"/>
    <w:aliases w:val="Stinking Styles13,sobrescrito,Referência de rodapé,FC,_Footnote Reference,_Footnote text,_Footnote,_Footnote Text,_Footnote base Reference,fr"/>
    <w:basedOn w:val="Fontepargpadro"/>
    <w:uiPriority w:val="99"/>
    <w:unhideWhenUsed/>
    <w:rsid w:val="004F1658"/>
    <w:rPr>
      <w:vertAlign w:val="superscript"/>
    </w:rPr>
  </w:style>
  <w:style w:type="character" w:styleId="Hyperlink">
    <w:name w:val="Hyperlink"/>
    <w:basedOn w:val="Fontepargpadro"/>
    <w:uiPriority w:val="99"/>
    <w:unhideWhenUsed/>
    <w:rsid w:val="00337F4F"/>
    <w:rPr>
      <w:color w:val="0563C1" w:themeColor="hyperlink"/>
      <w:u w:val="single"/>
    </w:rPr>
  </w:style>
  <w:style w:type="character" w:styleId="MenoPendente">
    <w:name w:val="Unresolved Mention"/>
    <w:basedOn w:val="Fontepargpadro"/>
    <w:uiPriority w:val="99"/>
    <w:semiHidden/>
    <w:unhideWhenUsed/>
    <w:rsid w:val="00337F4F"/>
    <w:rPr>
      <w:color w:val="605E5C"/>
      <w:shd w:val="clear" w:color="auto" w:fill="E1DFDD"/>
    </w:rPr>
  </w:style>
  <w:style w:type="character" w:styleId="HiperlinkVisitado">
    <w:name w:val="FollowedHyperlink"/>
    <w:basedOn w:val="Fontepargpadro"/>
    <w:uiPriority w:val="99"/>
    <w:semiHidden/>
    <w:unhideWhenUsed/>
    <w:rsid w:val="0053087B"/>
    <w:rPr>
      <w:color w:val="954F72" w:themeColor="followedHyperlink"/>
      <w:u w:val="single"/>
    </w:rPr>
  </w:style>
  <w:style w:type="paragraph" w:styleId="Textodebalo">
    <w:name w:val="Balloon Text"/>
    <w:basedOn w:val="Normal"/>
    <w:link w:val="TextodebaloChar"/>
    <w:uiPriority w:val="99"/>
    <w:semiHidden/>
    <w:unhideWhenUsed/>
    <w:rsid w:val="00F94BB7"/>
    <w:rPr>
      <w:rFonts w:ascii="Segoe UI" w:hAnsi="Segoe UI" w:cs="Segoe UI"/>
      <w:sz w:val="18"/>
      <w:szCs w:val="18"/>
    </w:rPr>
  </w:style>
  <w:style w:type="character" w:customStyle="1" w:styleId="TextodebaloChar">
    <w:name w:val="Texto de balão Char"/>
    <w:basedOn w:val="Fontepargpadro"/>
    <w:link w:val="Textodebalo"/>
    <w:uiPriority w:val="99"/>
    <w:semiHidden/>
    <w:rsid w:val="00F94BB7"/>
    <w:rPr>
      <w:rFonts w:ascii="Segoe UI" w:eastAsia="Times New Roman" w:hAnsi="Segoe UI" w:cs="Segoe UI"/>
      <w:sz w:val="18"/>
      <w:szCs w:val="18"/>
      <w:lang w:eastAsia="pt-BR"/>
    </w:rPr>
  </w:style>
  <w:style w:type="paragraph" w:styleId="Reviso">
    <w:name w:val="Revision"/>
    <w:hidden/>
    <w:uiPriority w:val="99"/>
    <w:semiHidden/>
    <w:rsid w:val="00D549B8"/>
    <w:pPr>
      <w:spacing w:after="0" w:line="240" w:lineRule="auto"/>
    </w:pPr>
    <w:rPr>
      <w:rFonts w:ascii="Times New Roman" w:eastAsia="Times New Roman" w:hAnsi="Times New Roman" w:cs="Times New Roman"/>
      <w:sz w:val="24"/>
      <w:szCs w:val="24"/>
      <w:lang w:eastAsia="pt-BR"/>
    </w:rPr>
  </w:style>
  <w:style w:type="paragraph" w:styleId="Corpodetexto">
    <w:name w:val="Body Text"/>
    <w:basedOn w:val="Normal"/>
    <w:link w:val="CorpodetextoChar"/>
    <w:rsid w:val="00FD11DD"/>
    <w:pPr>
      <w:autoSpaceDE w:val="0"/>
      <w:autoSpaceDN w:val="0"/>
      <w:adjustRightInd w:val="0"/>
      <w:jc w:val="both"/>
    </w:pPr>
    <w:rPr>
      <w:rFonts w:ascii="TimesNewRoman" w:hAnsi="TimesNewRoman"/>
      <w:sz w:val="19"/>
      <w:szCs w:val="19"/>
    </w:rPr>
  </w:style>
  <w:style w:type="character" w:customStyle="1" w:styleId="CorpodetextoChar">
    <w:name w:val="Corpo de texto Char"/>
    <w:basedOn w:val="Fontepargpadro"/>
    <w:link w:val="Corpodetexto"/>
    <w:rsid w:val="00FD11DD"/>
    <w:rPr>
      <w:rFonts w:ascii="TimesNewRoman" w:eastAsia="Times New Roman" w:hAnsi="TimesNewRoman" w:cs="Times New Roman"/>
      <w:sz w:val="19"/>
      <w:szCs w:val="19"/>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68592">
      <w:bodyDiv w:val="1"/>
      <w:marLeft w:val="0"/>
      <w:marRight w:val="0"/>
      <w:marTop w:val="0"/>
      <w:marBottom w:val="0"/>
      <w:divBdr>
        <w:top w:val="none" w:sz="0" w:space="0" w:color="auto"/>
        <w:left w:val="none" w:sz="0" w:space="0" w:color="auto"/>
        <w:bottom w:val="none" w:sz="0" w:space="0" w:color="auto"/>
        <w:right w:val="none" w:sz="0" w:space="0" w:color="auto"/>
      </w:divBdr>
      <w:divsChild>
        <w:div w:id="1021933840">
          <w:marLeft w:val="0"/>
          <w:marRight w:val="0"/>
          <w:marTop w:val="0"/>
          <w:marBottom w:val="0"/>
          <w:divBdr>
            <w:top w:val="none" w:sz="0" w:space="0" w:color="auto"/>
            <w:left w:val="none" w:sz="0" w:space="0" w:color="auto"/>
            <w:bottom w:val="none" w:sz="0" w:space="0" w:color="auto"/>
            <w:right w:val="none" w:sz="0" w:space="0" w:color="auto"/>
          </w:divBdr>
          <w:divsChild>
            <w:div w:id="283853350">
              <w:marLeft w:val="0"/>
              <w:marRight w:val="0"/>
              <w:marTop w:val="0"/>
              <w:marBottom w:val="0"/>
              <w:divBdr>
                <w:top w:val="none" w:sz="0" w:space="0" w:color="auto"/>
                <w:left w:val="none" w:sz="0" w:space="0" w:color="auto"/>
                <w:bottom w:val="none" w:sz="0" w:space="0" w:color="auto"/>
                <w:right w:val="none" w:sz="0" w:space="0" w:color="auto"/>
              </w:divBdr>
              <w:divsChild>
                <w:div w:id="1662461605">
                  <w:marLeft w:val="0"/>
                  <w:marRight w:val="0"/>
                  <w:marTop w:val="0"/>
                  <w:marBottom w:val="0"/>
                  <w:divBdr>
                    <w:top w:val="none" w:sz="0" w:space="0" w:color="auto"/>
                    <w:left w:val="none" w:sz="0" w:space="0" w:color="auto"/>
                    <w:bottom w:val="none" w:sz="0" w:space="0" w:color="auto"/>
                    <w:right w:val="none" w:sz="0" w:space="0" w:color="auto"/>
                  </w:divBdr>
                  <w:divsChild>
                    <w:div w:id="1381662351">
                      <w:marLeft w:val="0"/>
                      <w:marRight w:val="0"/>
                      <w:marTop w:val="0"/>
                      <w:marBottom w:val="0"/>
                      <w:divBdr>
                        <w:top w:val="none" w:sz="0" w:space="0" w:color="auto"/>
                        <w:left w:val="none" w:sz="0" w:space="0" w:color="auto"/>
                        <w:bottom w:val="none" w:sz="0" w:space="0" w:color="auto"/>
                        <w:right w:val="none" w:sz="0" w:space="0" w:color="auto"/>
                      </w:divBdr>
                      <w:divsChild>
                        <w:div w:id="1083724341">
                          <w:marLeft w:val="0"/>
                          <w:marRight w:val="0"/>
                          <w:marTop w:val="0"/>
                          <w:marBottom w:val="0"/>
                          <w:divBdr>
                            <w:top w:val="none" w:sz="0" w:space="0" w:color="auto"/>
                            <w:left w:val="none" w:sz="0" w:space="0" w:color="auto"/>
                            <w:bottom w:val="none" w:sz="0" w:space="0" w:color="auto"/>
                            <w:right w:val="none" w:sz="0" w:space="0" w:color="auto"/>
                          </w:divBdr>
                          <w:divsChild>
                            <w:div w:id="1210994515">
                              <w:marLeft w:val="0"/>
                              <w:marRight w:val="0"/>
                              <w:marTop w:val="0"/>
                              <w:marBottom w:val="0"/>
                              <w:divBdr>
                                <w:top w:val="none" w:sz="0" w:space="0" w:color="auto"/>
                                <w:left w:val="none" w:sz="0" w:space="0" w:color="auto"/>
                                <w:bottom w:val="none" w:sz="0" w:space="0" w:color="auto"/>
                                <w:right w:val="none" w:sz="0" w:space="0" w:color="auto"/>
                              </w:divBdr>
                              <w:divsChild>
                                <w:div w:id="2036616533">
                                  <w:marLeft w:val="0"/>
                                  <w:marRight w:val="0"/>
                                  <w:marTop w:val="0"/>
                                  <w:marBottom w:val="0"/>
                                  <w:divBdr>
                                    <w:top w:val="none" w:sz="0" w:space="0" w:color="auto"/>
                                    <w:left w:val="none" w:sz="0" w:space="0" w:color="auto"/>
                                    <w:bottom w:val="none" w:sz="0" w:space="0" w:color="auto"/>
                                    <w:right w:val="none" w:sz="0" w:space="0" w:color="auto"/>
                                  </w:divBdr>
                                  <w:divsChild>
                                    <w:div w:id="461850085">
                                      <w:marLeft w:val="0"/>
                                      <w:marRight w:val="0"/>
                                      <w:marTop w:val="0"/>
                                      <w:marBottom w:val="0"/>
                                      <w:divBdr>
                                        <w:top w:val="none" w:sz="0" w:space="0" w:color="auto"/>
                                        <w:left w:val="none" w:sz="0" w:space="0" w:color="auto"/>
                                        <w:bottom w:val="none" w:sz="0" w:space="0" w:color="auto"/>
                                        <w:right w:val="none" w:sz="0" w:space="0" w:color="auto"/>
                                      </w:divBdr>
                                      <w:divsChild>
                                        <w:div w:id="17695381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8813105">
      <w:bodyDiv w:val="1"/>
      <w:marLeft w:val="0"/>
      <w:marRight w:val="0"/>
      <w:marTop w:val="0"/>
      <w:marBottom w:val="0"/>
      <w:divBdr>
        <w:top w:val="none" w:sz="0" w:space="0" w:color="auto"/>
        <w:left w:val="none" w:sz="0" w:space="0" w:color="auto"/>
        <w:bottom w:val="none" w:sz="0" w:space="0" w:color="auto"/>
        <w:right w:val="none" w:sz="0" w:space="0" w:color="auto"/>
      </w:divBdr>
      <w:divsChild>
        <w:div w:id="1834955302">
          <w:marLeft w:val="0"/>
          <w:marRight w:val="0"/>
          <w:marTop w:val="0"/>
          <w:marBottom w:val="0"/>
          <w:divBdr>
            <w:top w:val="none" w:sz="0" w:space="0" w:color="auto"/>
            <w:left w:val="none" w:sz="0" w:space="0" w:color="auto"/>
            <w:bottom w:val="none" w:sz="0" w:space="0" w:color="auto"/>
            <w:right w:val="none" w:sz="0" w:space="0" w:color="auto"/>
          </w:divBdr>
          <w:divsChild>
            <w:div w:id="382411768">
              <w:marLeft w:val="0"/>
              <w:marRight w:val="0"/>
              <w:marTop w:val="0"/>
              <w:marBottom w:val="0"/>
              <w:divBdr>
                <w:top w:val="none" w:sz="0" w:space="0" w:color="auto"/>
                <w:left w:val="none" w:sz="0" w:space="0" w:color="auto"/>
                <w:bottom w:val="none" w:sz="0" w:space="0" w:color="auto"/>
                <w:right w:val="none" w:sz="0" w:space="0" w:color="auto"/>
              </w:divBdr>
              <w:divsChild>
                <w:div w:id="1077283337">
                  <w:marLeft w:val="0"/>
                  <w:marRight w:val="0"/>
                  <w:marTop w:val="0"/>
                  <w:marBottom w:val="0"/>
                  <w:divBdr>
                    <w:top w:val="none" w:sz="0" w:space="0" w:color="auto"/>
                    <w:left w:val="none" w:sz="0" w:space="0" w:color="auto"/>
                    <w:bottom w:val="none" w:sz="0" w:space="0" w:color="auto"/>
                    <w:right w:val="none" w:sz="0" w:space="0" w:color="auto"/>
                  </w:divBdr>
                  <w:divsChild>
                    <w:div w:id="1981114183">
                      <w:marLeft w:val="0"/>
                      <w:marRight w:val="0"/>
                      <w:marTop w:val="0"/>
                      <w:marBottom w:val="0"/>
                      <w:divBdr>
                        <w:top w:val="none" w:sz="0" w:space="0" w:color="auto"/>
                        <w:left w:val="none" w:sz="0" w:space="0" w:color="auto"/>
                        <w:bottom w:val="none" w:sz="0" w:space="0" w:color="auto"/>
                        <w:right w:val="none" w:sz="0" w:space="0" w:color="auto"/>
                      </w:divBdr>
                      <w:divsChild>
                        <w:div w:id="422992915">
                          <w:marLeft w:val="0"/>
                          <w:marRight w:val="0"/>
                          <w:marTop w:val="0"/>
                          <w:marBottom w:val="0"/>
                          <w:divBdr>
                            <w:top w:val="none" w:sz="0" w:space="0" w:color="auto"/>
                            <w:left w:val="none" w:sz="0" w:space="0" w:color="auto"/>
                            <w:bottom w:val="none" w:sz="0" w:space="0" w:color="auto"/>
                            <w:right w:val="none" w:sz="0" w:space="0" w:color="auto"/>
                          </w:divBdr>
                          <w:divsChild>
                            <w:div w:id="1740981100">
                              <w:marLeft w:val="0"/>
                              <w:marRight w:val="0"/>
                              <w:marTop w:val="0"/>
                              <w:marBottom w:val="0"/>
                              <w:divBdr>
                                <w:top w:val="none" w:sz="0" w:space="0" w:color="auto"/>
                                <w:left w:val="none" w:sz="0" w:space="0" w:color="auto"/>
                                <w:bottom w:val="none" w:sz="0" w:space="0" w:color="auto"/>
                                <w:right w:val="none" w:sz="0" w:space="0" w:color="auto"/>
                              </w:divBdr>
                              <w:divsChild>
                                <w:div w:id="1328292305">
                                  <w:marLeft w:val="0"/>
                                  <w:marRight w:val="0"/>
                                  <w:marTop w:val="0"/>
                                  <w:marBottom w:val="0"/>
                                  <w:divBdr>
                                    <w:top w:val="none" w:sz="0" w:space="0" w:color="auto"/>
                                    <w:left w:val="none" w:sz="0" w:space="0" w:color="auto"/>
                                    <w:bottom w:val="none" w:sz="0" w:space="0" w:color="auto"/>
                                    <w:right w:val="none" w:sz="0" w:space="0" w:color="auto"/>
                                  </w:divBdr>
                                  <w:divsChild>
                                    <w:div w:id="670110743">
                                      <w:marLeft w:val="0"/>
                                      <w:marRight w:val="0"/>
                                      <w:marTop w:val="0"/>
                                      <w:marBottom w:val="0"/>
                                      <w:divBdr>
                                        <w:top w:val="none" w:sz="0" w:space="0" w:color="auto"/>
                                        <w:left w:val="none" w:sz="0" w:space="0" w:color="auto"/>
                                        <w:bottom w:val="none" w:sz="0" w:space="0" w:color="auto"/>
                                        <w:right w:val="none" w:sz="0" w:space="0" w:color="auto"/>
                                      </w:divBdr>
                                      <w:divsChild>
                                        <w:div w:id="2089575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59368478">
      <w:bodyDiv w:val="1"/>
      <w:marLeft w:val="0"/>
      <w:marRight w:val="0"/>
      <w:marTop w:val="0"/>
      <w:marBottom w:val="0"/>
      <w:divBdr>
        <w:top w:val="none" w:sz="0" w:space="0" w:color="auto"/>
        <w:left w:val="none" w:sz="0" w:space="0" w:color="auto"/>
        <w:bottom w:val="none" w:sz="0" w:space="0" w:color="auto"/>
        <w:right w:val="none" w:sz="0" w:space="0" w:color="auto"/>
      </w:divBdr>
    </w:div>
    <w:div w:id="695236211">
      <w:bodyDiv w:val="1"/>
      <w:marLeft w:val="0"/>
      <w:marRight w:val="0"/>
      <w:marTop w:val="0"/>
      <w:marBottom w:val="0"/>
      <w:divBdr>
        <w:top w:val="none" w:sz="0" w:space="0" w:color="auto"/>
        <w:left w:val="none" w:sz="0" w:space="0" w:color="auto"/>
        <w:bottom w:val="none" w:sz="0" w:space="0" w:color="auto"/>
        <w:right w:val="none" w:sz="0" w:space="0" w:color="auto"/>
      </w:divBdr>
    </w:div>
    <w:div w:id="800735794">
      <w:bodyDiv w:val="1"/>
      <w:marLeft w:val="0"/>
      <w:marRight w:val="0"/>
      <w:marTop w:val="0"/>
      <w:marBottom w:val="0"/>
      <w:divBdr>
        <w:top w:val="none" w:sz="0" w:space="0" w:color="auto"/>
        <w:left w:val="none" w:sz="0" w:space="0" w:color="auto"/>
        <w:bottom w:val="none" w:sz="0" w:space="0" w:color="auto"/>
        <w:right w:val="none" w:sz="0" w:space="0" w:color="auto"/>
      </w:divBdr>
    </w:div>
    <w:div w:id="1152209876">
      <w:bodyDiv w:val="1"/>
      <w:marLeft w:val="0"/>
      <w:marRight w:val="0"/>
      <w:marTop w:val="0"/>
      <w:marBottom w:val="0"/>
      <w:divBdr>
        <w:top w:val="none" w:sz="0" w:space="0" w:color="auto"/>
        <w:left w:val="none" w:sz="0" w:space="0" w:color="auto"/>
        <w:bottom w:val="none" w:sz="0" w:space="0" w:color="auto"/>
        <w:right w:val="none" w:sz="0" w:space="0" w:color="auto"/>
      </w:divBdr>
    </w:div>
    <w:div w:id="1278368052">
      <w:bodyDiv w:val="1"/>
      <w:marLeft w:val="0"/>
      <w:marRight w:val="0"/>
      <w:marTop w:val="0"/>
      <w:marBottom w:val="0"/>
      <w:divBdr>
        <w:top w:val="none" w:sz="0" w:space="0" w:color="auto"/>
        <w:left w:val="none" w:sz="0" w:space="0" w:color="auto"/>
        <w:bottom w:val="none" w:sz="0" w:space="0" w:color="auto"/>
        <w:right w:val="none" w:sz="0" w:space="0" w:color="auto"/>
      </w:divBdr>
    </w:div>
    <w:div w:id="1332181186">
      <w:bodyDiv w:val="1"/>
      <w:marLeft w:val="0"/>
      <w:marRight w:val="0"/>
      <w:marTop w:val="0"/>
      <w:marBottom w:val="0"/>
      <w:divBdr>
        <w:top w:val="none" w:sz="0" w:space="0" w:color="auto"/>
        <w:left w:val="none" w:sz="0" w:space="0" w:color="auto"/>
        <w:bottom w:val="none" w:sz="0" w:space="0" w:color="auto"/>
        <w:right w:val="none" w:sz="0" w:space="0" w:color="auto"/>
      </w:divBdr>
      <w:divsChild>
        <w:div w:id="5171561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7729886">
      <w:bodyDiv w:val="1"/>
      <w:marLeft w:val="0"/>
      <w:marRight w:val="0"/>
      <w:marTop w:val="0"/>
      <w:marBottom w:val="0"/>
      <w:divBdr>
        <w:top w:val="none" w:sz="0" w:space="0" w:color="auto"/>
        <w:left w:val="none" w:sz="0" w:space="0" w:color="auto"/>
        <w:bottom w:val="none" w:sz="0" w:space="0" w:color="auto"/>
        <w:right w:val="none" w:sz="0" w:space="0" w:color="auto"/>
      </w:divBdr>
      <w:divsChild>
        <w:div w:id="986323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3499894">
      <w:bodyDiv w:val="1"/>
      <w:marLeft w:val="0"/>
      <w:marRight w:val="0"/>
      <w:marTop w:val="0"/>
      <w:marBottom w:val="0"/>
      <w:divBdr>
        <w:top w:val="none" w:sz="0" w:space="0" w:color="auto"/>
        <w:left w:val="none" w:sz="0" w:space="0" w:color="auto"/>
        <w:bottom w:val="none" w:sz="0" w:space="0" w:color="auto"/>
        <w:right w:val="none" w:sz="0" w:space="0" w:color="auto"/>
      </w:divBdr>
    </w:div>
    <w:div w:id="1746225706">
      <w:bodyDiv w:val="1"/>
      <w:marLeft w:val="0"/>
      <w:marRight w:val="0"/>
      <w:marTop w:val="0"/>
      <w:marBottom w:val="0"/>
      <w:divBdr>
        <w:top w:val="none" w:sz="0" w:space="0" w:color="auto"/>
        <w:left w:val="none" w:sz="0" w:space="0" w:color="auto"/>
        <w:bottom w:val="none" w:sz="0" w:space="0" w:color="auto"/>
        <w:right w:val="none" w:sz="0" w:space="0" w:color="auto"/>
      </w:divBdr>
    </w:div>
    <w:div w:id="1815949068">
      <w:bodyDiv w:val="1"/>
      <w:marLeft w:val="0"/>
      <w:marRight w:val="0"/>
      <w:marTop w:val="0"/>
      <w:marBottom w:val="0"/>
      <w:divBdr>
        <w:top w:val="none" w:sz="0" w:space="0" w:color="auto"/>
        <w:left w:val="none" w:sz="0" w:space="0" w:color="auto"/>
        <w:bottom w:val="none" w:sz="0" w:space="0" w:color="auto"/>
        <w:right w:val="none" w:sz="0" w:space="0" w:color="auto"/>
      </w:divBdr>
    </w:div>
    <w:div w:id="1923172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isaca.org/resources/cobit" TargetMode="External"/><Relationship Id="rId18" Type="http://schemas.openxmlformats.org/officeDocument/2006/relationships/hyperlink" Target="https://pesquisa.apps.tcu.gov.br/pesquisa/acordao-completo" TargetMode="External"/><Relationship Id="rId26" Type="http://schemas.openxmlformats.org/officeDocument/2006/relationships/hyperlink" Target="https://www.isaca.org/resources/cobit" TargetMode="External"/><Relationship Id="rId3" Type="http://schemas.openxmlformats.org/officeDocument/2006/relationships/customXml" Target="../customXml/item3.xml"/><Relationship Id="rId21" Type="http://schemas.openxmlformats.org/officeDocument/2006/relationships/hyperlink" Target="https://www.itil.com/" TargetMode="External"/><Relationship Id="rId7" Type="http://schemas.openxmlformats.org/officeDocument/2006/relationships/settings" Target="settings.xml"/><Relationship Id="rId12" Type="http://schemas.openxmlformats.org/officeDocument/2006/relationships/hyperlink" Target="https://www.isaca.org/resources/cobit" TargetMode="External"/><Relationship Id="rId17" Type="http://schemas.openxmlformats.org/officeDocument/2006/relationships/hyperlink" Target="https://www.tcerj.tc.br/consulta-acordaos/app" TargetMode="External"/><Relationship Id="rId25" Type="http://schemas.openxmlformats.org/officeDocument/2006/relationships/hyperlink" Target="https://www.isaca.org/resources/cobit"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isaca.org/resources/cobit" TargetMode="External"/><Relationship Id="rId20" Type="http://schemas.openxmlformats.org/officeDocument/2006/relationships/hyperlink" Target="https://www.isaca.org/resources/cobit" TargetMode="External"/><Relationship Id="rId29" Type="http://schemas.openxmlformats.org/officeDocument/2006/relationships/hyperlink" Target="https://www.isaca.org/resources/cob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isaca.org/resources/cobit" TargetMode="External"/><Relationship Id="rId24" Type="http://schemas.openxmlformats.org/officeDocument/2006/relationships/hyperlink" Target="https://www.itil.com/"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isaca.org/resources/cobit" TargetMode="External"/><Relationship Id="rId23" Type="http://schemas.openxmlformats.org/officeDocument/2006/relationships/hyperlink" Target="https://www.isaca.org/resources/cobit" TargetMode="External"/><Relationship Id="rId28" Type="http://schemas.openxmlformats.org/officeDocument/2006/relationships/hyperlink" Target="https://www.isaca.org/resources/cobit" TargetMode="External"/><Relationship Id="rId10" Type="http://schemas.openxmlformats.org/officeDocument/2006/relationships/endnotes" Target="endnotes.xml"/><Relationship Id="rId19" Type="http://schemas.openxmlformats.org/officeDocument/2006/relationships/hyperlink" Target="https://www.itil.com/"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isaca.org/resources/cobit" TargetMode="External"/><Relationship Id="rId22" Type="http://schemas.openxmlformats.org/officeDocument/2006/relationships/hyperlink" Target="https://www.itil.com/" TargetMode="External"/><Relationship Id="rId27" Type="http://schemas.openxmlformats.org/officeDocument/2006/relationships/hyperlink" Target="https://www.isaca.org/resources/cobit" TargetMode="External"/><Relationship Id="rId30" Type="http://schemas.openxmlformats.org/officeDocument/2006/relationships/hyperlink" Target="https://www.isaca.org/resources/cobit"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2c24b4c-a19a-4093-bf78-d5942ee237c3" xsi:nil="true"/>
    <lcf76f155ced4ddcb4097134ff3c332f xmlns="fdb186c7-7373-495f-878c-f0f79ab36130">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5A0C7017C8683A4E8D8838A33F67DDC9" ma:contentTypeVersion="10" ma:contentTypeDescription="Crie um novo documento." ma:contentTypeScope="" ma:versionID="40418b09319f9a2ee1ad34ac94a4982c">
  <xsd:schema xmlns:xsd="http://www.w3.org/2001/XMLSchema" xmlns:xs="http://www.w3.org/2001/XMLSchema" xmlns:p="http://schemas.microsoft.com/office/2006/metadata/properties" xmlns:ns2="fdb186c7-7373-495f-878c-f0f79ab36130" xmlns:ns3="a2c24b4c-a19a-4093-bf78-d5942ee237c3" targetNamespace="http://schemas.microsoft.com/office/2006/metadata/properties" ma:root="true" ma:fieldsID="279706ca315d76014cd459137316f840" ns2:_="" ns3:_="">
    <xsd:import namespace="fdb186c7-7373-495f-878c-f0f79ab36130"/>
    <xsd:import namespace="a2c24b4c-a19a-4093-bf78-d5942ee237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86c7-7373-495f-878c-f0f79ab361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b94074d8-97da-4deb-a367-6d65a6a9ab58"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2c24b4c-a19a-4093-bf78-d5942ee237c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7689da7-651f-49aa-89b2-0746064c56a5}" ma:internalName="TaxCatchAll" ma:showField="CatchAllData" ma:web="a2c24b4c-a19a-4093-bf78-d5942ee237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BFA4F3B-2708-4731-A0D3-85F4C0631F4E}">
  <ds:schemaRefs>
    <ds:schemaRef ds:uri="http://schemas.microsoft.com/office/2006/metadata/properties"/>
    <ds:schemaRef ds:uri="http://schemas.microsoft.com/office/infopath/2007/PartnerControls"/>
    <ds:schemaRef ds:uri="a2c24b4c-a19a-4093-bf78-d5942ee237c3"/>
    <ds:schemaRef ds:uri="fdb186c7-7373-495f-878c-f0f79ab36130"/>
  </ds:schemaRefs>
</ds:datastoreItem>
</file>

<file path=customXml/itemProps2.xml><?xml version="1.0" encoding="utf-8"?>
<ds:datastoreItem xmlns:ds="http://schemas.openxmlformats.org/officeDocument/2006/customXml" ds:itemID="{09CE5C4D-344E-4B9A-BACC-B692E5F42C94}">
  <ds:schemaRefs>
    <ds:schemaRef ds:uri="http://schemas.microsoft.com/sharepoint/v3/contenttype/forms"/>
  </ds:schemaRefs>
</ds:datastoreItem>
</file>

<file path=customXml/itemProps3.xml><?xml version="1.0" encoding="utf-8"?>
<ds:datastoreItem xmlns:ds="http://schemas.openxmlformats.org/officeDocument/2006/customXml" ds:itemID="{9B3B699C-58A5-4E30-B28D-A0EBD2730770}">
  <ds:schemaRefs>
    <ds:schemaRef ds:uri="http://schemas.openxmlformats.org/officeDocument/2006/bibliography"/>
  </ds:schemaRefs>
</ds:datastoreItem>
</file>

<file path=customXml/itemProps4.xml><?xml version="1.0" encoding="utf-8"?>
<ds:datastoreItem xmlns:ds="http://schemas.openxmlformats.org/officeDocument/2006/customXml" ds:itemID="{C460D41C-4D86-48AB-A742-517920900E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86c7-7373-495f-878c-f0f79ab36130"/>
    <ds:schemaRef ds:uri="a2c24b4c-a19a-4093-bf78-d5942ee237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5778</TotalTime>
  <Pages>7</Pages>
  <Words>3774</Words>
  <Characters>21667</Characters>
  <Application>Microsoft Office Word</Application>
  <DocSecurity>0</DocSecurity>
  <Lines>481</Lines>
  <Paragraphs>208</Paragraphs>
  <ScaleCrop>false</ScaleCrop>
  <Company/>
  <LinksUpToDate>false</LinksUpToDate>
  <CharactersWithSpaces>25233</CharactersWithSpaces>
  <SharedDoc>false</SharedDoc>
  <HLinks>
    <vt:vector size="120" baseType="variant">
      <vt:variant>
        <vt:i4>2031684</vt:i4>
      </vt:variant>
      <vt:variant>
        <vt:i4>57</vt:i4>
      </vt:variant>
      <vt:variant>
        <vt:i4>0</vt:i4>
      </vt:variant>
      <vt:variant>
        <vt:i4>5</vt:i4>
      </vt:variant>
      <vt:variant>
        <vt:lpwstr>https://www.isaca.org/resources/cobit</vt:lpwstr>
      </vt:variant>
      <vt:variant>
        <vt:lpwstr/>
      </vt:variant>
      <vt:variant>
        <vt:i4>2031684</vt:i4>
      </vt:variant>
      <vt:variant>
        <vt:i4>54</vt:i4>
      </vt:variant>
      <vt:variant>
        <vt:i4>0</vt:i4>
      </vt:variant>
      <vt:variant>
        <vt:i4>5</vt:i4>
      </vt:variant>
      <vt:variant>
        <vt:lpwstr>https://www.isaca.org/resources/cobit</vt:lpwstr>
      </vt:variant>
      <vt:variant>
        <vt:lpwstr/>
      </vt:variant>
      <vt:variant>
        <vt:i4>2031684</vt:i4>
      </vt:variant>
      <vt:variant>
        <vt:i4>51</vt:i4>
      </vt:variant>
      <vt:variant>
        <vt:i4>0</vt:i4>
      </vt:variant>
      <vt:variant>
        <vt:i4>5</vt:i4>
      </vt:variant>
      <vt:variant>
        <vt:lpwstr>https://www.isaca.org/resources/cobit</vt:lpwstr>
      </vt:variant>
      <vt:variant>
        <vt:lpwstr/>
      </vt:variant>
      <vt:variant>
        <vt:i4>2031684</vt:i4>
      </vt:variant>
      <vt:variant>
        <vt:i4>48</vt:i4>
      </vt:variant>
      <vt:variant>
        <vt:i4>0</vt:i4>
      </vt:variant>
      <vt:variant>
        <vt:i4>5</vt:i4>
      </vt:variant>
      <vt:variant>
        <vt:lpwstr>https://www.isaca.org/resources/cobit</vt:lpwstr>
      </vt:variant>
      <vt:variant>
        <vt:lpwstr/>
      </vt:variant>
      <vt:variant>
        <vt:i4>2031684</vt:i4>
      </vt:variant>
      <vt:variant>
        <vt:i4>45</vt:i4>
      </vt:variant>
      <vt:variant>
        <vt:i4>0</vt:i4>
      </vt:variant>
      <vt:variant>
        <vt:i4>5</vt:i4>
      </vt:variant>
      <vt:variant>
        <vt:lpwstr>https://www.isaca.org/resources/cobit</vt:lpwstr>
      </vt:variant>
      <vt:variant>
        <vt:lpwstr/>
      </vt:variant>
      <vt:variant>
        <vt:i4>2031684</vt:i4>
      </vt:variant>
      <vt:variant>
        <vt:i4>42</vt:i4>
      </vt:variant>
      <vt:variant>
        <vt:i4>0</vt:i4>
      </vt:variant>
      <vt:variant>
        <vt:i4>5</vt:i4>
      </vt:variant>
      <vt:variant>
        <vt:lpwstr>https://www.isaca.org/resources/cobit</vt:lpwstr>
      </vt:variant>
      <vt:variant>
        <vt:lpwstr/>
      </vt:variant>
      <vt:variant>
        <vt:i4>6160385</vt:i4>
      </vt:variant>
      <vt:variant>
        <vt:i4>39</vt:i4>
      </vt:variant>
      <vt:variant>
        <vt:i4>0</vt:i4>
      </vt:variant>
      <vt:variant>
        <vt:i4>5</vt:i4>
      </vt:variant>
      <vt:variant>
        <vt:lpwstr>https://www.itil.com/</vt:lpwstr>
      </vt:variant>
      <vt:variant>
        <vt:lpwstr/>
      </vt:variant>
      <vt:variant>
        <vt:i4>2031684</vt:i4>
      </vt:variant>
      <vt:variant>
        <vt:i4>36</vt:i4>
      </vt:variant>
      <vt:variant>
        <vt:i4>0</vt:i4>
      </vt:variant>
      <vt:variant>
        <vt:i4>5</vt:i4>
      </vt:variant>
      <vt:variant>
        <vt:lpwstr>https://www.isaca.org/resources/cobit</vt:lpwstr>
      </vt:variant>
      <vt:variant>
        <vt:lpwstr/>
      </vt:variant>
      <vt:variant>
        <vt:i4>6160385</vt:i4>
      </vt:variant>
      <vt:variant>
        <vt:i4>33</vt:i4>
      </vt:variant>
      <vt:variant>
        <vt:i4>0</vt:i4>
      </vt:variant>
      <vt:variant>
        <vt:i4>5</vt:i4>
      </vt:variant>
      <vt:variant>
        <vt:lpwstr>https://www.itil.com/</vt:lpwstr>
      </vt:variant>
      <vt:variant>
        <vt:lpwstr/>
      </vt:variant>
      <vt:variant>
        <vt:i4>6160385</vt:i4>
      </vt:variant>
      <vt:variant>
        <vt:i4>30</vt:i4>
      </vt:variant>
      <vt:variant>
        <vt:i4>0</vt:i4>
      </vt:variant>
      <vt:variant>
        <vt:i4>5</vt:i4>
      </vt:variant>
      <vt:variant>
        <vt:lpwstr>https://www.itil.com/</vt:lpwstr>
      </vt:variant>
      <vt:variant>
        <vt:lpwstr/>
      </vt:variant>
      <vt:variant>
        <vt:i4>2031684</vt:i4>
      </vt:variant>
      <vt:variant>
        <vt:i4>27</vt:i4>
      </vt:variant>
      <vt:variant>
        <vt:i4>0</vt:i4>
      </vt:variant>
      <vt:variant>
        <vt:i4>5</vt:i4>
      </vt:variant>
      <vt:variant>
        <vt:lpwstr>https://www.isaca.org/resources/cobit</vt:lpwstr>
      </vt:variant>
      <vt:variant>
        <vt:lpwstr/>
      </vt:variant>
      <vt:variant>
        <vt:i4>6160385</vt:i4>
      </vt:variant>
      <vt:variant>
        <vt:i4>24</vt:i4>
      </vt:variant>
      <vt:variant>
        <vt:i4>0</vt:i4>
      </vt:variant>
      <vt:variant>
        <vt:i4>5</vt:i4>
      </vt:variant>
      <vt:variant>
        <vt:lpwstr>https://www.itil.com/</vt:lpwstr>
      </vt:variant>
      <vt:variant>
        <vt:lpwstr/>
      </vt:variant>
      <vt:variant>
        <vt:i4>3014714</vt:i4>
      </vt:variant>
      <vt:variant>
        <vt:i4>21</vt:i4>
      </vt:variant>
      <vt:variant>
        <vt:i4>0</vt:i4>
      </vt:variant>
      <vt:variant>
        <vt:i4>5</vt:i4>
      </vt:variant>
      <vt:variant>
        <vt:lpwstr>https://pesquisa.apps.tcu.gov.br/pesquisa/acordao-completo</vt:lpwstr>
      </vt:variant>
      <vt:variant>
        <vt:lpwstr/>
      </vt:variant>
      <vt:variant>
        <vt:i4>1179728</vt:i4>
      </vt:variant>
      <vt:variant>
        <vt:i4>18</vt:i4>
      </vt:variant>
      <vt:variant>
        <vt:i4>0</vt:i4>
      </vt:variant>
      <vt:variant>
        <vt:i4>5</vt:i4>
      </vt:variant>
      <vt:variant>
        <vt:lpwstr>https://www.tcerj.tc.br/consulta-acordaos/app</vt:lpwstr>
      </vt:variant>
      <vt:variant>
        <vt:lpwstr/>
      </vt:variant>
      <vt:variant>
        <vt:i4>2031684</vt:i4>
      </vt:variant>
      <vt:variant>
        <vt:i4>15</vt:i4>
      </vt:variant>
      <vt:variant>
        <vt:i4>0</vt:i4>
      </vt:variant>
      <vt:variant>
        <vt:i4>5</vt:i4>
      </vt:variant>
      <vt:variant>
        <vt:lpwstr>https://www.isaca.org/resources/cobit</vt:lpwstr>
      </vt:variant>
      <vt:variant>
        <vt:lpwstr/>
      </vt:variant>
      <vt:variant>
        <vt:i4>2031684</vt:i4>
      </vt:variant>
      <vt:variant>
        <vt:i4>12</vt:i4>
      </vt:variant>
      <vt:variant>
        <vt:i4>0</vt:i4>
      </vt:variant>
      <vt:variant>
        <vt:i4>5</vt:i4>
      </vt:variant>
      <vt:variant>
        <vt:lpwstr>https://www.isaca.org/resources/cobit</vt:lpwstr>
      </vt:variant>
      <vt:variant>
        <vt:lpwstr/>
      </vt:variant>
      <vt:variant>
        <vt:i4>2031684</vt:i4>
      </vt:variant>
      <vt:variant>
        <vt:i4>9</vt:i4>
      </vt:variant>
      <vt:variant>
        <vt:i4>0</vt:i4>
      </vt:variant>
      <vt:variant>
        <vt:i4>5</vt:i4>
      </vt:variant>
      <vt:variant>
        <vt:lpwstr>https://www.isaca.org/resources/cobit</vt:lpwstr>
      </vt:variant>
      <vt:variant>
        <vt:lpwstr/>
      </vt:variant>
      <vt:variant>
        <vt:i4>2031684</vt:i4>
      </vt:variant>
      <vt:variant>
        <vt:i4>6</vt:i4>
      </vt:variant>
      <vt:variant>
        <vt:i4>0</vt:i4>
      </vt:variant>
      <vt:variant>
        <vt:i4>5</vt:i4>
      </vt:variant>
      <vt:variant>
        <vt:lpwstr>https://www.isaca.org/resources/cobit</vt:lpwstr>
      </vt:variant>
      <vt:variant>
        <vt:lpwstr/>
      </vt:variant>
      <vt:variant>
        <vt:i4>2031684</vt:i4>
      </vt:variant>
      <vt:variant>
        <vt:i4>3</vt:i4>
      </vt:variant>
      <vt:variant>
        <vt:i4>0</vt:i4>
      </vt:variant>
      <vt:variant>
        <vt:i4>5</vt:i4>
      </vt:variant>
      <vt:variant>
        <vt:lpwstr>https://www.isaca.org/resources/cobit</vt:lpwstr>
      </vt:variant>
      <vt:variant>
        <vt:lpwstr/>
      </vt:variant>
      <vt:variant>
        <vt:i4>2031684</vt:i4>
      </vt:variant>
      <vt:variant>
        <vt:i4>0</vt:i4>
      </vt:variant>
      <vt:variant>
        <vt:i4>0</vt:i4>
      </vt:variant>
      <vt:variant>
        <vt:i4>5</vt:i4>
      </vt:variant>
      <vt:variant>
        <vt:lpwstr>https://www.isaca.org/resources/cobit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 Souza Lima</dc:creator>
  <cp:keywords/>
  <dc:description/>
  <cp:lastModifiedBy>João Paulo de Freitas Ramirez</cp:lastModifiedBy>
  <cp:revision>3056</cp:revision>
  <cp:lastPrinted>2025-04-16T22:34:00Z</cp:lastPrinted>
  <dcterms:created xsi:type="dcterms:W3CDTF">2023-08-10T03:29:00Z</dcterms:created>
  <dcterms:modified xsi:type="dcterms:W3CDTF">2026-05-06T18:47:00Z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0x0101005A0C7017C8683A4E8D8838A33F67DDC9</vt:lpwstr>
  </property>
  <property fmtid="{D5CDD505-2E9C-101B-9397-08002B2CF9AE}" pid="3" name="Order">
    <vt:r8>61100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MediaServiceImageTags">
    <vt:lpwstr/>
  </property>
  <property fmtid="{D5CDD505-2E9C-101B-9397-08002B2CF9AE}" pid="11" name="docLang">
    <vt:lpwstr>pt</vt:lpwstr>
  </property>
</Properties>
</file>