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71BC7204" ns2:textId="77777777" w:rsidR="009B1A0E" w:rsidRDefault="009B1A0E" w:rsidP="001E6730">
      <w:pPr>
        <w:jc w:val="center"/>
        <w:rPr>
          <w:rFonts w:ascii="Arial" w:hAnsi="Arial" w:cs="Arial"/>
          <w:b/>
        </w:rPr>
      </w:pPr>
    </w:p>
    <w:p ns2:paraId="0D1BC449" ns2:textId="55C49607" w:rsidR="00AE7776" w:rsidRDefault="00AE7776" w:rsidP="001E6730">
      <w:pPr>
        <w:jc w:val="center"/>
        <w:rPr>
          <w:rFonts w:ascii="Arial" w:hAnsi="Arial" w:cs="Arial"/>
          <w:b/>
        </w:rPr>
      </w:pPr>
      <w:r>
        <w:rPr>
          <w:rFonts w:ascii="Arial" w:hAnsi="Arial" w:cs="Arial"/>
          <w:b/>
          <w:bCs/>
        </w:rPr>
        <w:t>MATRIZ DE PLANEJAMENTO</w:t>
      </w:r>
    </w:p>
    <w:p ns2:paraId="46357FAD" ns2:textId="77777777" w:rsidR="007B095C" w:rsidRDefault="007B095C" w:rsidP="001E6730">
      <w:pPr>
        <w:jc w:val="center"/>
        <w:rPr>
          <w:rFonts w:ascii="Arial" w:hAnsi="Arial" w:cs="Arial"/>
          <w:b/>
        </w:rPr>
      </w:pPr>
    </w:p>
    <w:p ns2:paraId="5D2618CF" ns2:textId="6C9D6D25" w:rsidR="007C4F8B" w:rsidRDefault="007C4F8B" w:rsidP="6D09F7BC">
      <w:pPr>
        <w:spacing w:after="200"/>
        <w:jc w:val="center"/>
        <w:rPr>
          <w:rFonts w:ascii="Arial" w:hAnsi="Arial" w:cs="Arial"/>
          <w:sz w:val="20"/>
          <w:szCs w:val="20"/>
        </w:rPr>
      </w:pPr>
      <w:r>
        <w:rPr>
          <w:rFonts w:ascii="Arial" w:hAnsi="Arial" w:cs="Arial"/>
          <w:b/>
          <w:sz w:val="20"/>
          <w:szCs w:val="20"/>
        </w:rPr>
        <w:t>QUESTÃO GERAL DE AUDITORIA: As práticas de governança e gestão de TIC da organização, à luz da legislação vigente, das boas práticas de governança e gestão e dos padrões internacionalmente reconhecidos, evidenciam nível adequado de maturidade em governança e gestão de TIC, medido pelo iGovTI?</w:t>
      </w:r>
    </w:p>
    <w:p ns2:paraId="55F103F7" ns2:textId="7E03F271" w:rsidR="00224452" w:rsidRDefault="00224452">
      <w:pPr>
        <w:spacing w:after="160" w:line="259" w:lineRule="auto"/>
        <w:rPr>
          <w:rFonts w:ascii="Arial" w:hAnsi="Arial" w:cs="Arial"/>
        </w:rPr>
      </w:pPr>
    </w:p>
    <w:p ns2:paraId="5D2618CF" ns2:textId="6C9D6D25" w:rsidR="007C4F8B" w:rsidRDefault="007C4F8B" w:rsidP="6D09F7BC">
      <w:pPr>
        <w:spacing w:after="200"/>
        <w:jc w:val="center"/>
        <w:rPr>
          <w:rFonts w:ascii="Arial" w:hAnsi="Arial" w:cs="Arial"/>
          <w:sz w:val="20"/>
          <w:szCs w:val="20"/>
        </w:rPr>
      </w:pPr>
      <w:r>
        <w:rPr>
          <w:rFonts w:ascii="Arial" w:hAnsi="Arial" w:cs="Arial"/>
          <w:b/>
          <w:sz w:val="20"/>
          <w:szCs w:val="20"/>
        </w:rPr>
        <w:t>JURISDICIONADOS: [JURISDICIONADOS]</w:t>
      </w:r>
    </w:p>
    <w:tbl>
      <w:tblPr>
        <w:tblStyle w:val="Tabelacomgrade"/>
        <w:tblpPr w:leftFromText="141" w:rightFromText="141" w:vertAnchor="text" w:tblpY="1"/>
        <w:tblOverlap w:val="never"/>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Q1: A organização possui estrutura organizacional e mecanismos básicos de governança de TIC formalmente estabelecidos, com atribuições definidas, posicionamento compatível e instância colegiada atuante para avaliar, dirigir e monitorar a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área, unidade, setor ou função de TIC formalmente instituída?</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área de TIC possui atribuições formalmente definidas de planejamento, coordenação, gestão, execução, monitoramento e controle da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posicionamento organizacional da área de TIC é compatível com suas atribuições e permite atuação adequada nos mecanismos de governança para avaliar, dirigir e monitorar a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alta administração estabeleceu modelo básico de governança e gestão de TIC, com papéis, responsabilidades, objetivos, indicadores ou metas para a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Comitê de TIC ou instância equivalente está formalmente instituído?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Comitê de TIC ou instância equivalente atua de forma efetiva, com reuniões, registros de deliberação ou encaminhamentos formais?</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R1.1: Devido à ausência de formalização da área de TIC, poderá não haver unidade ou função institucionalmente reconhecida para coordenar o uso da tecnologia da informação, prejudicando a responsabilização e o alinhamento da TIC aos objetivos da organização.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R1.2: Devido à ausência de atribuições formais da área de TIC, poderá não haver clareza sobre responsabilidades de planejamento, coordenação, gestão, execução, monitoramento e controle da TIC, favorecendo atuação reativa e fragmentada.</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R1.3: Devido ao posicionamento organizacional inadequado da área de TIC, poderá haver baixa capacidade de influência institucional, comprometendo a participação da TIC em decisões estratégicas, orçamentárias, contratuais e de gestão de riscos.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R1.4: Devido à ausência de modelo básico de governança e gestão de TIC, poderá haver baixa clareza sobre papéis, responsabilidades, objetivos, indicadores, metas e acompanhamento do desempenho da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R1.5: Devido à inexistência de Comitê de TIC ou instância equivalente, poderá não haver instância colegiada para deliberação sobre prioridades, projetos, riscos, serviços, orçamento e contratações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R1.6: Devido à ausência de evidências de atuação efetiva do Comitê de TIC ou instância equivalente, poderá não haver deliberação efetiva sobre prioridades, projetos, riscos, serviços, orçamento e contratações de TIC.</w:t>
            </w:r>
          </w:p>
        </w:tc>
      </w:tr>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no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sobre existência formal de área, unidade, setor ou função de TIC e respectivo modelo de operação predominante da TIC; [F1, q0101]</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Evidência anexada que demonstre a formalização da área, unidade, setor ou função de TIC, como regimento, decreto, portaria, resolução, organograma, ato administrativo ou instrumento equivalente; [F2, q0101evi]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sobre posicionamento hierárquico da área de TIC na estrutura organizacional; [F1, q0102]</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Evidência anexada que demonstre o posicionamento organizacional da área de TIC, como organograma institucional, regimento interno ou documento equivalente; [F2, q0102evi]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Resposta sobre atribuições e competências formalizadas da área de TIC; [F1, q0103]</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Evidência anexada que demonstre atribuições formais relacionadas às principais funções de TIC, incluindo governança, planejamento, gestão, sustentação tecnológica, sistemas, segurança da informação, contratos, dados ou atividades correlatas; [F2, q0103evi]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Respostas sobre existência de diretrizes, papéis, responsabilidades, objetivos, indicadores, metas e práticas básicas de governança e gestão de TIC estabelecidas pela alta administração; [F1, q1001, q1002]</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IR8: Evidências anexadas que demonstrem modelo básico de governança e gestão de TIC, incluindo políticas, diretrizes, definição de papéis e responsabilidades, objetivos, indicadores, metas, relatórios de acompanhamento, medições de desempenho ou instrumentos equivalentes; [F2, q1001evi, q1002evi]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IR9: Resposta sobre existência formal de Comitê de TIC ou instância equivalente; [F1, q1001ext[E]]</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IR10: Evidência anexada que demonstre a instituição formal do Comitê de TIC ou instância equivalente, incluindo composição, competências ou ato constitutivo; [F2, q1001evi]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IR11: Resposta sobre atuação do Comitê de TIC ou instância equivalente na execução das atividades previstas em seu ato constitutivo; [F1, q1001ext[F]]</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IR12: Evidências anexadas que demonstrem atuação efetiva do Comitê de TIC ou instância equivalente, incluindo atas, reuniões, deliberações, pautas, encaminhamentos, registros de acompanhamento ou documentos equivalentes; [F2, q1001evi]</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COBIT 2019, APO01.04 - Definir e implementar as estruturas organizacionais: estabelecer estruturas organizacionais internas e externas necessárias para apoiar os objetivos de governança e gestão de TI.</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COBIT 2019, APO01.05 - Estabelecer papéis e responsabilidades: definir, comunicar e manter papéis e responsabilidades relacionados à governança e gestão de TI.</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COBIT 2019, APO01.06 - Aprimorar o posicionamento da função de TI: posicionar a função de tecnologia de modo compatível com sua relevância estratégica, responsabilidades e necessidade de interação com a alta administração.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COBIT 2019, EDM01.02 - Dirigir o sistema de governança: orientar estruturas, princípios, processos e práticas de governança para assegurar que a TI apoie os objetivos organizacionais.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COBIT 2019, APO01.09 - Definição e comunicação de políticas e procedimentos: estabelecer e comunicar políticas, procedimentos e diretrizes para orientar a gestão de TI.</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C6: COBIT 2019, MEA01.04 - Analisar e reportar desempenho: analisar resultados e reportar o desempenho da TI às partes interessadas.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C7: Decreto nº 9.203/2017, art. 6º, caput e parágrafo único: atribui à alta administração a responsabilidade por implementar e manter mecanismos, instâncias e práticas de governança, incluindo acompanhamento de resultados, melhoria de desempenho e processo decisório fundamentado em evidências.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C8: Decreto nº 12.198/2024, art. 5º: prevê Comitê de Governança Digital ou colegiado equivalente para deliberar sobre a implementação de ações de governo digital e o uso de recursos de tecnologia da informação e comunicação.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C9: ABNT NBR ISO/IEC 38500:2025, item 5.6.1, Princípio da Responsabilização: requer clareza sobre responsabilidades relacionadas ao uso atual e futuro da TI, com autoridade compatível para seu exercício.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C10: Acórdão TCE-RJ 44.490/2024-PLEN, item II.1: necessidade de estrutura de governança de TI, especialmente Comitê de Tecnologia da Informação ou instância equivalente, com participação de áreas relevantes, responsabilidade de alinhar as ações de TI aos objetivos institucionais, priorizar investimentos e monitorar o desempenho da TI com base em indicadores e metas.</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resposta à q0101, se a organização possui área, unidade, setor ou função de TIC formalmente instituída;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Validar, pela evidência anexada à q0101, a formalização da área, unidade, setor ou função de TIC;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resposta à q0103, se a área de TIC possui atribuições formalmente definidas;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P4: Validar, pela evidência anexada à q0103, se as atribuições abrangem funções essenciais de TIC, como governança, planejamento, gestão, sustentação tecnológica, sistemas, segurança da informação, contratos, dados ou atividades correlatas;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P5: Verificar, por meio da resposta à q0102, o posicionamento hierárquico da área de TIC;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P6: Validar, pela evidência anexada à q0102, a compatibilidade do posicionamento da área de TIC com suas atribuições institucionais;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P7: Verificar, por meio das respostas às q1001 e q1002, se há modelo básico de governança e gestão de TIC com papéis, responsabilidades, objetivos, indicadores, metas ou monitoramento; [IR7]</w:t>
            </w:r>
          </w:p>
          <w:p ns2:paraId="4C6E5B2E" ns2:textId="42100C78" w:rsidR="00163D04" w:rsidRDefault="00873041" w:rsidP="00EC7681">
            <w:pPr>
              <w:pStyle w:val="Default"/>
              <w:jc w:val="both"/>
              <w:rPr>
                <w:b/>
                <w:bCs/>
                <w:color w:val="auto"/>
                <w:sz w:val="18"/>
                <w:szCs w:val="18"/>
              </w:rPr>
              <w:spacing w:after="120"/>
            </w:pPr>
            <w:r>
              <w:rPr>
                <w:color w:val="auto"/>
                <w:sz w:val="18"/>
                <w:szCs w:val="18"/>
              </w:rPr>
              <w:t>P8: Validar, pelas evidências anexadas às q1001 e q1002, a existência e suficiência do modelo básico de governança e gestão de TIC; [IR8]</w:t>
            </w:r>
          </w:p>
          <w:p ns2:paraId="4C6E5B2E" ns2:textId="42100C78" w:rsidR="00163D04" w:rsidRDefault="00873041" w:rsidP="00EC7681">
            <w:pPr>
              <w:pStyle w:val="Default"/>
              <w:jc w:val="both"/>
              <w:rPr>
                <w:b/>
                <w:bCs/>
                <w:color w:val="auto"/>
                <w:sz w:val="18"/>
                <w:szCs w:val="18"/>
              </w:rPr>
              <w:spacing w:after="120"/>
            </w:pPr>
            <w:r>
              <w:rPr>
                <w:color w:val="auto"/>
                <w:sz w:val="18"/>
                <w:szCs w:val="18"/>
              </w:rPr>
              <w:t>P9: Verificar, por meio da q1001ext[E], se há Comitê de TIC ou instância equivalente formalmente instituído; [IR9]</w:t>
            </w:r>
          </w:p>
          <w:p ns2:paraId="4C6E5B2E" ns2:textId="42100C78" w:rsidR="00163D04" w:rsidRDefault="00873041" w:rsidP="00EC7681">
            <w:pPr>
              <w:pStyle w:val="Default"/>
              <w:jc w:val="both"/>
              <w:rPr>
                <w:b/>
                <w:bCs/>
                <w:color w:val="auto"/>
                <w:sz w:val="18"/>
                <w:szCs w:val="18"/>
              </w:rPr>
              <w:spacing w:after="120"/>
            </w:pPr>
            <w:r>
              <w:rPr>
                <w:color w:val="auto"/>
                <w:sz w:val="18"/>
                <w:szCs w:val="18"/>
              </w:rPr>
              <w:t>P10: Validar, pela evidência anexada à q1001, a instituição formal do Comitê de TIC ou instância equivalente, incluindo ato constitutivo, composição ou competências; [IR10]</w:t>
            </w:r>
          </w:p>
          <w:p ns2:paraId="4C6E5B2E" ns2:textId="42100C78" w:rsidR="00163D04" w:rsidRDefault="00873041" w:rsidP="00EC7681">
            <w:pPr>
              <w:pStyle w:val="Default"/>
              <w:jc w:val="both"/>
              <w:rPr>
                <w:b/>
                <w:bCs/>
                <w:color w:val="auto"/>
                <w:sz w:val="18"/>
                <w:szCs w:val="18"/>
              </w:rPr>
              <w:spacing w:after="120"/>
            </w:pPr>
            <w:r>
              <w:rPr>
                <w:color w:val="auto"/>
                <w:sz w:val="18"/>
                <w:szCs w:val="18"/>
              </w:rPr>
              <w:t>P11: Verificar, por meio da q1001ext[F], se o Comitê de TIC realiza as atividades previstas em ato constitutivo; [IR11]</w:t>
            </w:r>
          </w:p>
          <w:p ns2:paraId="4C6E5B2E" ns2:textId="42100C78" w:rsidR="00163D04" w:rsidRDefault="00873041" w:rsidP="00EC7681">
            <w:pPr>
              <w:pStyle w:val="Default"/>
              <w:jc w:val="both"/>
              <w:rPr>
                <w:b/>
                <w:bCs/>
                <w:color w:val="auto"/>
                <w:sz w:val="18"/>
                <w:szCs w:val="18"/>
              </w:rPr>
              <w:spacing w:after="120"/>
            </w:pPr>
            <w:r>
              <w:rPr>
                <w:color w:val="auto"/>
                <w:sz w:val="18"/>
                <w:szCs w:val="18"/>
              </w:rPr>
              <w:t>P12: Validar, pela evidência anexada à q1001, a atuação efetiva do Comitê de TIC ou instância equivalente, incluindo atas, reuniões, deliberações, encaminhamentos ou registros de acompanhamento; [IR12]</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Resposta negativa ou insuficiente sobre formalização da área, unidade, setor ou função de TIC;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Ausência, desatualização, incompatibilidade ou insuficiência de evidência que formalize a área, unidade, setor ou função de TIC;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ou insuficiente sobre atribuições formalizadas da área de TIC;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Ausência, desatualização, incompatibilidade ou insuficiência de evidência que defina atribuições essenciais da área de TIC, como governança, planejamento, gestão, sustentação tecnológica, sistemas, segurança da informação, contratos, dados ou atividades correlatas;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Resposta que indique posicionamento inexistente ou incompatível da área de TIC;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Evidência anexada inexistente, incompatível ou insuficiente para demonstrar posicionamento adequado da área de TIC;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Resposta negativa ou insuficiente sobre modelo básico de governança e gestão de TIC; [P7]</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E8: Ausência, desatualização, incompatibilidade ou insuficiência de evidências de papéis, responsabilidades, objetivos, indicadores, metas ou monitoramento da TIC; [P8]</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E9: Resposta negativa ou insuficiente sobre existência formal do Comitê de TIC ou instância equivalente; [P9]</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E10: Ausência, desatualização, incompatibilidade ou insuficiência de evidência de instituição formal do Comitê de TIC ou instância equivalente; [P10]</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E11: Resposta negativa ou insuficiente sobre atuação efetiva do Comitê de TIC ou instância equivalente; [P11]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E12: Ausência, desatualização, incompatibilidade ou insuficiência de evidências de reuniões, atas, deliberações, encaminhamentos, registros de acompanhamento ou execução das competências do Comitê de TIC; [P12]</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A1: Estrutura e governança de TIC insuficientes para avaliar, dirigir e monitorar a tecnologia da informação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S1.1: Ausência de formalização da área, unidade, setor ou função de TIC da organização.; Severidade: alta; Referências: R1.1, P1, E1, P2, E2; Encaminhamento: Recomendar que a organização formalize a área, unidade, setor ou função de TIC em regimento, decreto, portaria, resolução, organograma ou instrumento equivalente, compatível com seu porte, complexidade e dependência tecnológica.</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S1.2: Área de TIC sem atribuições formais suficientes para planejamento, coordenação, gestão, execução, monitoramento e controle da TIC.; Severidade: alta; Referências: R1.2, P3, E3, P4, E4; Encaminhamento: Recomendar que a organização defina formalmente as atribuições da área de TIC, contemplando planejamento, coordenação, gestão, execução, monitoramento e controle da TIC.</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S1.3: Posicionamento organizacional inadequado da área de TIC.; Severidade: media; Referências: R1.3, P5, E5, P6, E6; Encaminhamento: Recomendar que a organização avalie e ajuste o posicionamento organizacional da área de TIC, de modo a permitir participação adequada em decisões estratégicas, orçamentárias, contratuais e de gestão de riscos.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S1.4: Ausência ou insuficiência de modelo básico de governança e gestão de TIC com papéis, responsabilidades, objetivos, indicadores, metas ou acompanhamento.; Severidade: media; Referências: R1.4, P7, E7, P8, E8; Encaminhamento: Recomendar que a alta administração estabeleça modelo básico de governança e gestão de TIC, com papéis, responsabilidades, objetivos, indicadores, metas e forma de acompanhamento periódico.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S1.5: Ausência de Comitê de TIC ou instância equivalente formalmente instituído.; Severidade: alta; Referências: R1.5, P9, E9, P10, E10; Encaminhamento: Recomendar que a organização institua formalmente Comitê de TIC ou instância equivalente, definindo composição, competências, periodicidade mínima, forma de registro das deliberações e acompanhamento dos encaminhamentos.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S1.6: Comitê de TIC ou instância equivalente formalmente instituído, mas sem evidência de atuação efetiva.; Severidade: media; Referências: R1.6, P11, E11, P12, E12; Encaminhamento: Recomendar que a organização assegure o funcionamento efetivo do Comitê de TIC ou instância equivalente, com reuniões periódicas, atas, deliberações, encaminhamentos e acompanhamento das decisões sobre prioridades, projetos, riscos, serviços, orçamento e contratações de TIC.</w:t>
            </w:r>
          </w:p>
        </w:tc>
      </w:tr>
    </w:tbl>
    <w:p/>
    <w:tbl>
      <w:tblPr>
        <w:tblStyle w:val="Tabelacomgrade"/>
        <w:tblpPr w:leftFromText="141" w:rightFromText="141" w:vertAnchor="text" w:tblpY="1"/>
        <w:tblOverlap w:val="never"/>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Q2: A organização utiliza o planejamento de TIC como instrumento efetivo de gestão, com processo formal, plano vigente, aprovação competente, alinhamento institucional, integração com orçamento e contratações e acompanhamento periódico?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executa processo formal de planejamento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áreas demandantes participam do processo de planejamento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plano de TIC formalmente instituído, vigente e aprovado pela instância competente?</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plano de TIC define objetivos, iniciativas, responsáveis, prazos, metas ou indicadores?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plano de TIC está alinhado ao planejamento institucional?</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plano de TIC está integrado à proposta orçamentária da área de TIC e ao plano de contratações?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plano de TIC é acompanhado, revisto e atualizado periodicamente ou diante de mudanças relevantes?</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R2.1: Devido à inexistência ou fragilidade do processo formal de planejamento de TIC, poderá haver atuação reativa, sem critérios objetivos de seleção e priorização de iniciativas.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R2.2: Devido à inexistência, desatualização ou ausência de aprovação do plano de TIC, poderá não haver direcionamento formal para a gestão, os projetos, o orçamento e as contratações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R2.3: Devido à insuficiência de conteúdo mínimo do plano de TIC, poderá não haver clareza quanto a objetivos, iniciativas, responsáveis, prazos, metas e indicadores.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R2.4: Devido à falta de alinhamento do plano de TIC ao planejamento institucional, poderão ser executadas ações de TIC com baixo valor para a organização.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R2.5: Devido à ausência de integração entre planejamento de TIC, orçamento e contratações, poderão ocorrer aquisições reativas, não priorizadas ou desalinhadas.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R2.6: Devido à ausência de acompanhamento e revisão do plano de TIC, poderão permanecer metas, iniciativas e prioridades incompatíveis com mudanças institucionais, orçamentárias ou tecnológicas.</w:t>
            </w:r>
          </w:p>
        </w:tc>
      </w:tr>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no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sobre existência de processo formal de planejamento de TIC; [F1, q2101]</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Evidência anexada sobre norma, procedimento, guia ou instrumento equivalente que discipline o processo de planejamento de TIC; [F2, q2101evi]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sobre participação das áreas demandantes no processo de planejamento de TIC; [F1, q2101ext[A]]</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Resposta sobre existência, vigência e aprovação do plano de TIC; [F1, q2102]</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Evidência anexada do plano de TIC vigente e respectivo ato de aprovação; [F2, q2102evi]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Resposta e evidência sobre conteúdo mínimo do plano de TIC, incluindo objetivos, iniciativas, responsáveis, prazos, metas ou indicadores; [F1, F2, q2102, q2102evi]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Resposta e evidência sobre alinhamento do plano de TIC ao planejamento institucional; [F1, F2, q2102, q2102evi]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IR8: Resposta e evidência sobre integração do plano de TIC com orçamento, plano de contratações, projetos ou contratações de TIC; [F1, F2, q2102, q2802, q2804[B]]</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IR9: Resposta e evidência sobre acompanhamento, revisão ou atualização do plano de TIC; [F1, F2, q2102, q2102evi]</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COBIT 2019, APO02.05 - Definir o plano e o roteiro estratégico: estabelecer plano e roteiro de TIC que traduzam a estratégia em iniciativas, prioridades, recursos, dependências, prazos e benefícios esperados.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COBIT 2019, APO02.06 - Comunicar a estratégia e o direcionamento de TI: comunicar objetivos, prioridades e direcionamentos de TIC às partes interessadas, de modo a orientar decisões, iniciativas e responsabilidades.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COBIT 2019, APO05.03 - Avaliar e selecionar programas a financiar: avaliar, priorizar e selecionar iniciativas de TIC considerando alinhamento estratégico, benefícios, custos, riscos, dependências e disponibilidade de recursos.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COBIT 2019, APO05.04 - Monitorar, otimizar e reportar o desempenho do portfólio: acompanhar a execução das iniciativas e reportar desempenho, benefícios, riscos e necessidades de ajuste.</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COBIT 2019, APO06.02 - Priorizar a alocação de recursos: priorizar recursos de TIC de acordo com objetivos estratégicos, restrições orçamentárias, riscos e benefícios esperados.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C6: COBIT 2019, APO06.03 - Criar e manter orçamentos: elaborar e manter orçamento de TIC alinhado ao portfólio, ao planejamento e às prioridades aprovadas.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C7: Acórdão 1.411/2014-TCU-Plenário, item 9.1.6 e subitens 9.1.6.1 a 9.1.6.4: necessidade de instituir formalmente plano diretor de TI, contemplando desdobramento de diretrizes estratégicas, vinculação das ações de TI a indicadores e metas de negócio, vinculação das ações de TI a indicadores e metas de serviços ao cidadão e vinculação das ações priorizadas ao orçamento de TI.</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C8: Acórdão TCE-RJ 44.490/2024-PLEN, item II.3 e subitens II.3.1 a II.3.5: necessidade de estabelecer processo estruturado, com participação de representantes das principais secretarias, para elaborar, manter e revisar periodicamente o PDTI, contemplando objetivos, indicadores e metas de TI alinhados aos objetivos de negócio, riscos que possam impactar objetivos e metas, projetos, aquisições e ações necessárias, alocação de recursos e ações de divulgação e monitoramento do PDTI após aprovação pela autoridade máxima.</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resposta à q2101, se a organização executa processo formal de planejamento de TIC;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Validar, pelas evidências anexadas à q2101, a formalização mínima do processo de planejamento de TIC;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q2101ext[A], se há participação das áreas demandantes no processo de planejamento de TIC;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P4: Verificar, por meio da resposta à q2102, se a organização possui plano de TIC vigente e aprovado;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P5: Validar, pelas evidências anexadas à q2102, a existência, vigência e aprovação do plano de TIC;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P6: Verificar, por meio da resposta e das evidências da q2102, se o plano contém conteúdo mínimo suficiente para orientar a gestão;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P7: Verificar, por meio da resposta e das evidências da q2102, se o plano está alinhado ao planejamento institucional; [IR7]</w:t>
            </w:r>
          </w:p>
          <w:p ns2:paraId="4C6E5B2E" ns2:textId="42100C78" w:rsidR="00163D04" w:rsidRDefault="00873041" w:rsidP="00EC7681">
            <w:pPr>
              <w:pStyle w:val="Default"/>
              <w:jc w:val="both"/>
              <w:rPr>
                <w:b/>
                <w:bCs/>
                <w:color w:val="auto"/>
                <w:sz w:val="18"/>
                <w:szCs w:val="18"/>
              </w:rPr>
              <w:spacing w:after="120"/>
            </w:pPr>
            <w:r>
              <w:rPr>
                <w:color w:val="auto"/>
                <w:sz w:val="18"/>
                <w:szCs w:val="18"/>
              </w:rPr>
              <w:t>P8: Verificar, por meio das respostas e evidências das q2102, q2802 e q2804[B], se o plano de TIC se integra a orçamento, plano de contratações, projetos ou contratações; [IR8]</w:t>
            </w:r>
          </w:p>
          <w:p ns2:paraId="4C6E5B2E" ns2:textId="42100C78" w:rsidR="00163D04" w:rsidRDefault="00873041" w:rsidP="00EC7681">
            <w:pPr>
              <w:pStyle w:val="Default"/>
              <w:jc w:val="both"/>
              <w:rPr>
                <w:b/>
                <w:bCs/>
                <w:color w:val="auto"/>
                <w:sz w:val="18"/>
                <w:szCs w:val="18"/>
              </w:rPr>
              <w:spacing w:after="120"/>
            </w:pPr>
            <w:r>
              <w:rPr>
                <w:color w:val="auto"/>
                <w:sz w:val="18"/>
                <w:szCs w:val="18"/>
              </w:rPr>
              <w:t>P9: Verificar, por meio da resposta e das evidências da q2102, se há acompanhamento, revisão ou atualização periódica do plano de TIC; [IR9]</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Resposta negativa ou insuficiente sobre a existência de processo de planejamento de TIC;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Ausência, desatualização, incompatibilidade ou insuficiência de evidência que discipline o processo de planejamento de TIC;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ou insuficiente sobre participação das áreas demandantes;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Resposta negativa ou insuficiente sobre plano de TIC vigente e aprovado;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Ausência, desatualização, falta de vigência ou falta de aprovação do plano de TIC nas evidências anexadas;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Ausência ou insuficiência de objetivos, iniciativas, responsáveis, prazos, metas ou indicadores no plano de TIC;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Inexistência ou insuficiência de alinhamento entre plano de TIC e planejamento institucional; [P7]</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E8: Inexistência ou insuficiência de vínculo entre plano de TIC, orçamento, plano de contratações, projetos ou contratações de TIC; [P8]</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E9: Ausência de registros de acompanhamento, revisão ou atualização do plano de TIC; [P9]</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A2: Planejamento de TIC inexistente, insuficiente, desatualizado ou desconectado da gestão, do orçamento e das contratações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S2.1: Inexistência ou fragilidade do processo formal de planejamento de TIC.; Severidade: alta; Referências: R2.1, P1, E1, P2, E2, P3, E3; Encaminhamento: Recomendar que a organização institua processo formal de planejamento de TIC, com etapas, responsáveis, participação das áreas demandantes e critérios mínimos de priorização.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S2.2: Inexistência, desatualização, ausência de vigência ou ausência de aprovação formal do plano de TIC.; Severidade: alta; Referências: R2.2, P4, E4, P5, E5; Encaminhamento: Recomendar que a organização elabore, aprove e mantenha vigente plano de TIC compatível com seu porte, suas prioridades institucionais e sua capacidade de execução.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S2.3: Plano de TIC sem conteúdo mínimo suficiente para orientar a gestão.; Severidade: media; Referências: R2.3, P6, E6; Encaminhamento: Recomendar que o plano de TIC contenha, no mínimo, objetivos, iniciativas priorizadas, responsáveis, prazos, metas ou indicadores de acompanhamento.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S2.4: Plano de TIC sem alinhamento adequado ao planejamento institucional.; Severidade: media; Referências: R2.4, P7, E7; Encaminhamento: Recomendar que a organização revise o plano de TIC para explicitar seu alinhamento ao planejamento institucional, às diretrizes superiores e às necessidades das áreas finalísticas e administrativas.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S2.5: Plano de TIC sem integração adequada com orçamento, plano de contratações, projetos ou contratações de TIC.; Severidade: alta; Referências: R2.5, P8, E8; Encaminhamento: Recomendar que a organização vincule o plano de TIC à proposta orçamentária, ao plano de contratações e às contratações de TIC executadas, priorizando demandas conforme relevância, risco e capacidade de execução.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S2.6: Ausência de acompanhamento, revisão ou atualização periódica do plano de TIC.; Severidade: media; Referências: R2.6, P9, E9; Encaminhamento: Recomendar que a organização estabeleça rotina de acompanhamento, revisão e atualização do plano de TIC, com registro de execução, pendências, reprogramações e deliberações.</w:t>
            </w:r>
          </w:p>
        </w:tc>
      </w:tr>
    </w:tbl>
    <w:p/>
    <w:tbl>
      <w:tblPr>
        <w:tblStyle w:val="Tabelacomgrade"/>
        <w:tblpPr w:leftFromText="141" w:rightFromText="141" w:vertAnchor="text" w:tblpY="1"/>
        <w:tblOverlap w:val="never"/>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Q3: A organização dispõe de capacidade institucional mínima, em termos de força de trabalho, perfis profissionais, competências, funções e vínculos, para planejar, gerir, proteger, contratar, fiscalizar e sustentar a TIC e a segurança da informação de forma adequada às suas necessidades institucionais?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conhece o quantitativo de profissionais que atuam regularmente em TIC e segurança da informação, por área e tipo de vínculo?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definiu o quantitativo necessário de pessoal de TIC e segurança da informação?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cargos, funções, perfis ou ocupações específicas de TIC e segurança da informação?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definiu perfis profissionais esperados para gestores e colaboradores de TIC e segurança da informação?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identifica e trata lacunas de competências dos colaboradores e gestores de TIC e segurança da informação?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dependência de terceiros é compatível com a capacidade interna de coordenação, fiscalização e retenção de conhecimento?</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R3.1: Devido à ausência de informações estruturadas sobre a força de trabalho de TIC e segurança da informação, poderá não haver base mínima para dimensionamento, alocação e planejamento da capacidade institucional.</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R3.2: Devido à ausência de definição do quantitativo necessário de pessoal de TIC e segurança da informação, poderá haver subdimensionamento ou alocação inadequada da equipe.</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R3.3: Devido à inexistência de cargos, funções, perfis ou ocupações específicas de TIC e segurança da informação, poderá haver baixa capacidade de atração, alocação, responsabilização e retenção de profissionais.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R3.4: Devido à ausência de perfis profissionais definidos para gestores e colaboradores de TIC e segurança da informação, poderá haver designação de pessoas sem competências compatíveis com as responsabilidades exercidas.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R3.5: Devido à ausência de identificação e tratamento de lacunas de competências, poderá haver incapacidade de executar práticas mínimas de planejamento, gestão, segurança, contratação, fiscalização e sustentação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R3.6: Devido à dependência excessiva de terceiros para atividades críticas de TIC, sem capacidade interna suficiente de coordenação e fiscalização, poderá haver perda de conhecimento, baixa governabilidade e risco de descontinuidade dos serviços.</w:t>
            </w:r>
          </w:p>
        </w:tc>
      </w:tr>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no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sobre quantitativo de profissionais que atuam em TIC e segurança da informação, por área e tipo de vínculo; [F1, q0105]</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Resposta e evidência sobre definição do quantitativo necessário de pessoal de TIC e segurança da informação; [F1, F2, q2703, q2703evi]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sobre existência de cargos específicos em TIC e segurança da informação; [F1, q2708]</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Resposta e evidência sobre perfis profissionais desejados para gestores de TIC e segurança da informação; [F1, F2, q2701, q2701evi]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Resposta e evidência sobre perfis profissionais desejados para colaboradores de TIC e segurança da informação; [F1, F2, q2702, q2702evi]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Resposta e evidência sobre escolha dos gestores de TIC e segurança da informação segundo perfis previamente definidos; [F1, F2, q2704, q2704evi]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Resposta e evidência sobre identificação de lacunas de competências; [F1, F2, q2705, q2705evi]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IR8: Resposta e evidência sobre tratamento das lacunas de competências; [F1, F2, q2706, q2706evi]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IR9: Respostas e evidências que permitam avaliar dependência de terceiros e capacidade interna de coordenação e fiscalização; [F1, F2, q0101, q0105, q2703, q2801, q2804]</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COBIT 2019, APO01.05 - Estabelecer papéis e responsabilidades: definir, comunicar e manter papéis e responsabilidades relacionados à governança e gestão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COBIT 2019, APO07.01 - Adquirir e manter pessoal adequado e apropriado: assegurar quantidade e perfil de profissionais compatíveis com as necessidades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COBIT 2019, APO07.02 - Identificar pessoal-chave de TI: identificar funções e pessoas críticas para reduzir dependência individual, perda de conhecimento e descontinuidade.</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COBIT 2019, APO07.03 - Manter habilidades e competências do pessoal: identificar, desenvolver e manter competências necessárias à execução das responsabilidades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COBIT 2019, APO07.05 - Planejar e monitorar o uso de recursos humanos de TI e de negócio: planejar, alocar e acompanhar capacidade de pessoal para iniciativas, operações e serviços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C6: COBIT 2019, APO07.06 - Gerenciar pessoal contratado: controlar o uso de pessoal terceirizado ou externo, preservando responsabilização, supervisão e retenção de conhecimento.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C7: COBIT 2019, APO10.04 - Gerenciar risco de fornecedores: identificar e tratar riscos decorrentes de fornecedores, contratos e dependências externas relevantes para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C8: COBIT 2019, DSS01.02 - Gerenciar serviços de TI terceirizados: assegurar que serviços terceirizados sejam supervisionados, medidos e integrados aos controles da organização.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C9: ABNT NBR ISO/IEC 27001:2022, cláusulas 5.3 e 7.2: definir responsabilidades e autoridades para segurança da informação e assegurar competências necessárias às funções atribuídas.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C10: ABNT NBR ISO/IEC 27002:2022, controles 5.2 e 6.3: definir papéis e responsabilidades de segurança da informação e promover conscientização, educação e treinamento em segurança.</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q0105, o quantitativo informado de profissionais que atuam em TIC e segurança da informação, por área e tipo de vínculo;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Verificar, por meio da q2703 e respectiva evidência, se há definição do quantitativo necessário de pessoal de TIC e segurança da informação;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q2708, se há cargos específicos em TIC e segurança da informação;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P4: Verificar, por meio das q2701 e q2702 e respectivas evidências, se há perfis profissionais definidos para gestores e colaboradores de TIC e segurança da informação; [IR4,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P5: Verificar, por meio da q2704 e respectiva evidência, se a escolha dos gestores de TIC e segurança da informação ocorre segundo perfis previamente definidos;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P6: Verificar, por meio das q2705 e q2706 e respectivas evidências, se lacunas de competências são identificadas e tratadas; [IR7, IR8]</w:t>
            </w:r>
          </w:p>
          <w:p ns2:paraId="4C6E5B2E" ns2:textId="42100C78" w:rsidR="00163D04" w:rsidRDefault="00873041" w:rsidP="00EC7681">
            <w:pPr>
              <w:pStyle w:val="Default"/>
              <w:jc w:val="both"/>
              <w:rPr>
                <w:b/>
                <w:bCs/>
                <w:color w:val="auto"/>
                <w:sz w:val="18"/>
                <w:szCs w:val="18"/>
              </w:rPr>
              <w:spacing w:after="120"/>
            </w:pPr>
            <w:r>
              <w:rPr>
                <w:color w:val="auto"/>
                <w:sz w:val="18"/>
                <w:szCs w:val="18"/>
              </w:rPr>
              <w:t>P7: Verificar, por cruzamento das respostas e evidências das q0101, q0105, q2703, q2801 e q2804, se há dependência excessiva de terceiros para atividades críticas sem capacidade interna suficiente de coordenação e fiscalização; [IR9]</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Quantitativo declarado igual a zero para profissionais de TIC ou segurança da informação, ou incompatível com a estrutura de TIC declarada pela organização;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Resposta negativa ou insuficiente sobre definição do quantitativo necessário de pessoal de TIC e segurança da informação, ou evidência inexistente/incompatível/insuficiente;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sobre existência de cargos específicos em TIC e segurança da informação;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Resposta negativa ou insuficiente sobre perfis profissionais definidos para gestores ou colaboradores de TIC e segurança da informação, ou evidência inexistente/incompatível/insuficiente;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Resposta negativa ou insuficiente sobre escolha de gestores segundo perfis profissionais definidos, ou evidência inexistente/incompatível/insuficiente;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Resposta negativa ou insuficiente sobre identificação ou tratamento de lacunas de competências, ou evidência inexistente/incompatível/insuficiente;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Evidência, a partir das respostas e anexos do questionário, de dependência excessiva de terceiros em atividades críticas sem capacidade interna suficiente de coordenação, fiscalização ou retenção de conhecimento; [P7]</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A3: Capacidade institucional insuficiente para sustentar a gestão de TIC e segurança da informação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S3.1: Ausência de força de trabalho mínima dedicada à TIC ou à segurança da informação.; Severidade: alta; Referências: R3.1, P1, E1; Encaminhamento: Recomendar que a organização avalie sua força de trabalho dedicada à TIC e à segurança da informação e adote medidas proporcionais para assegurar capacidade mínima de planejamento, gestão, proteção, contratação, fiscalização e sustentação da TIC.</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S3.2: A organização não definiu o quantitativo necessário de pessoal de TIC e segurança da informação.; Severidade: alta; Referências: R3.2, P2, E2; Encaminhamento: Recomendar que a organização estime o quantitativo mínimo necessário de pessoal de TIC e segurança da informação, considerando porte, complexidade, serviços críticos, sistemas mantidos, contratações e riscos relevantes.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S3.3: Ausência de cargos, funções, perfis ou ocupações específicas de TIC e segurança da informação.; Severidade: media; Referências: R3.3, P3, E3; Encaminhamento: Recomendar que a organização avalie a necessidade de instituir cargos, funções, gratificações, perfis ou ocupações específicas de TIC e segurança da informação, compatíveis com suas necessidades institucionais.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S3.4: Perfis profissionais de TIC e segurança da informação inexistentes, insuficientes ou não utilizados na escolha de gestores.; Severidade: media; Referências: R3.4, P4, E4, P5, E5; Encaminhamento: Recomendar que a organização defina perfis profissionais mínimos para gestores e colaboradores de TIC e segurança da informação e utilize esses perfis como referência para designação de responsáveis.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S3.5: Lacunas de competências dos colaboradores e gestores de TIC e segurança da informação não são identificadas ou tratadas.; Severidade: media; Referências: R3.5, P6, E6; Encaminhamento: Recomendar que a organização realize diagnóstico periódico de lacunas de competências e estabeleça plano de tratamento, contemplando capacitação, realocação, provimento, apoio especializado, compartilhamento de estrutura ou contratação com transferência de conhecimento.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S3.6: Modelo de operação de TIC predominantemente terceirizado ou externo, sem capacidade interna mínima declarada para coordenação, planejamento, aprovação técnica ou fiscalização das atividades críticas de TIC.; Severidade: alta; Referências: R3.6, P7, E7; Encaminhamento: Recomendar que a organização avalie seu modelo de operação de TIC e adote medidas para assegurar capacidade interna mínima de coordenação, planejamento, aprovação técnica, fiscalização contratual, tomada de decisão e retenção de conhecimento, especialmente quando a execução das atividades de TIC depender predominantemente de terceiros ou de estrutura externa.</w:t>
            </w:r>
          </w:p>
        </w:tc>
      </w:tr>
    </w:tbl>
    <w:p/>
    <w:tbl>
      <w:tblPr>
        <w:tblStyle w:val="Tabelacomgrade"/>
        <w:tblpPr w:leftFromText="141" w:rightFromText="141" w:vertAnchor="text" w:tblpY="1"/>
        <w:tblOverlap w:val="never"/>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Q4: A organização adota práticas mínimas de gestão de serviços de TIC, incluindo catálogo de serviços, níveis de serviço, inventário de ativos, gestão de configuração e tratamento de incidentes, de modo a assegurar eficiência, continuidade, rastreabilidade e qualidade dos serviços prestados?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catálogo de serviços de TIC formalmente instituído, atualizado e acessível aos usuários e às áreas demandantes?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catálogo de serviços de TIC contém informações mínimas sobre os serviços efetivamente prestados?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Existem Acordos de Níveis de Serviço ou metas mínimas formalmente definidas e monitoradas para os principais serviços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mantém inventário atualizado dos ativos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Há processo formal de gestão de configuração, com identificação de itens de configuração relevantes para os serviços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processo formal de gestão de incidentes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Os incidentes de TIC são registrados de forma sistemática, com rastreabilidade e histórico?</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R4.1: Devido à inexistência ou desatualização do catálogo de serviços de TIC, poderá não haver definição clara e padronizada dos serviços prestados, levando à prestação reativa e pouco transparente de serviços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R4.2: Devido à inexistência de níveis de serviço formalmente definidos ou monitorados, poderá não haver parâmetros objetivos de desempenho e qualidade dos serviços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R4.3: Devido à inexistência ou fragilidade do inventário de ativos e da gestão de configuração, poderá não haver controle adequado dos recursos tecnológicos e suas relações com os serviços prestados.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R4.4: Devido à inexistência ou fragilidade do processo de gestão de incidentes de TIC, poderá não haver tratamento padronizado, tempestivo e rastreável dos incidentes.</w:t>
            </w:r>
          </w:p>
        </w:tc>
      </w:tr>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no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sobre existência, atualização e disponibilidade do catálogo de serviços de TIC; [F1, q2201]</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Evidência anexada contendo catálogo de serviços de TIC; [F2, q2201evi]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sobre existência de ANS ou metas mínimas de nível de serviço; [F1, q2201ext[D]]</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Resposta sobre monitoramento de ANS ou metas mínimas; [F1, q2201ext[E]]</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Evidência anexada contendo ANS, metas ou registros de monitoramento; [F2, q2201evi]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Resposta sobre existência de inventário de ativos de TIC; [F1, q2203, q2501, q2504]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Evidência anexada contendo inventário de ativos de TIC; [F2, q2203evi, q2501evi, q2504evi]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IR8: Resposta sobre existência de processo formal de gestão de configuração; [F1, q2203]</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IR9: Evidência anexada contendo norma, procedimento, CMDB ou base equivalente de gestão de configuração; [F2, q2203evi]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IR10: Resposta sobre existência de processo formal de gestão de incidentes de TIC; [F1, q2204]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IR11: Evidência anexada contendo norma, procedimento ou fluxo de gestão de incidentes de TIC; [F2, q2204evi]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IR12: Resposta sobre registro sistemático dos incidentes de TIC; [F1, q2204]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IR13: Evidência anexada contendo registros de incidentes, chamados, tickets, relatórios de atendimento ou sistema equivalente; [F2, q2204evi]</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ITIL 4, prática de gerenciamento do catálogo de serviços: manter fonte única de informações consistentes sobre serviços e ofertas de serviço, disponível para usuários e equipes de suporte.</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COBIT 2019, APO09.02 - Catalogar serviços facilitados por TI: definir, manter e comunicar catálogo de serviços, incluindo serviços prestados, características, requisitos e níveis de serviço esperados.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ITIL 4, prática de gerenciamento de nível de serviço: definir, acordar, monitorar, avaliar e reportar metas e níveis de serviço alinhados às necessidades das áreas usuárias.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ITIL 4, prática de gerenciamento de ativos de TI: planejar e gerenciar o ciclo de vida dos ativos de TI, mantendo informações suficientes para apoiar controle, custo, risco, valor e tomada de decisão.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ITIL 4, prática de gerenciamento de configuração de serviço: assegurar informações precisas e confiáveis sobre itens de configuração e seus relacionamentos com serviços, sistemas e infraestrutura.</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C6: COBIT 2019, BAI10.01 - Estabelecer e manter um modelo de configuração: definir escopo, granularidade, atributos, relacionamentos e responsáveis pela base de configuração.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C7: ITIL 4, prática de gerenciamento de incidentes: minimizar o impacto negativo dos incidentes por meio da restauração tempestiva da operação normal dos serviços e do registro rastreável do tratamento realizado.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C8: COBIT 2019, DSS02.02, DSS02.04 e DSS02.07 - Requisições de serviço e incidentes gerenciados: registrar, classificar, priorizar, investigar, diagnosticar, resolver, acompanhar e reportar incidentes e requisições de serviço.</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resposta à q2201, a existência, atualização e disponibilidade do catálogo de serviços de TIC;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Validar, pela evidência anexada à q2201, se o catálogo contém informações mínimas sobre os serviços prestados;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q2201ext[D] e da q2201ext[E], a existência e monitoramento de ANS ou metas mínimas de nível de serviço; [IR3,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P4: Validar, pela evidência anexada à q2201, a existência de ANS, metas ou registros de monitoramento;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P5: Verificar, por meio das respostas às q2203, q2501 e q2504, a existência de inventário de ativos de TIC;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P6: Validar, pelas evidências anexadas às q2203, q2501 e q2504, a existência e suficiência do inventário de ativos de TIC; [IR7]</w:t>
            </w:r>
          </w:p>
          <w:p ns2:paraId="4C6E5B2E" ns2:textId="42100C78" w:rsidR="00163D04" w:rsidRDefault="00873041" w:rsidP="00EC7681">
            <w:pPr>
              <w:pStyle w:val="Default"/>
              <w:jc w:val="both"/>
              <w:rPr>
                <w:b/>
                <w:bCs/>
                <w:color w:val="auto"/>
                <w:sz w:val="18"/>
                <w:szCs w:val="18"/>
              </w:rPr>
              <w:spacing w:after="120"/>
            </w:pPr>
            <w:r>
              <w:rPr>
                <w:color w:val="auto"/>
                <w:sz w:val="18"/>
                <w:szCs w:val="18"/>
              </w:rPr>
              <w:t>P7: Verificar, por meio da resposta à q2203, a existência de processo formal de gestão de configuração; [IR8]</w:t>
            </w:r>
          </w:p>
          <w:p ns2:paraId="4C6E5B2E" ns2:textId="42100C78" w:rsidR="00163D04" w:rsidRDefault="00873041" w:rsidP="00EC7681">
            <w:pPr>
              <w:pStyle w:val="Default"/>
              <w:jc w:val="both"/>
              <w:rPr>
                <w:b/>
                <w:bCs/>
                <w:color w:val="auto"/>
                <w:sz w:val="18"/>
                <w:szCs w:val="18"/>
              </w:rPr>
              <w:spacing w:after="120"/>
            </w:pPr>
            <w:r>
              <w:rPr>
                <w:color w:val="auto"/>
                <w:sz w:val="18"/>
                <w:szCs w:val="18"/>
              </w:rPr>
              <w:t>P8: Validar, pela evidência anexada à q2203, a existência de procedimento, base ou mecanismo equivalente de gestão de configuração; [IR9]</w:t>
            </w:r>
          </w:p>
          <w:p ns2:paraId="4C6E5B2E" ns2:textId="42100C78" w:rsidR="00163D04" w:rsidRDefault="00873041" w:rsidP="00EC7681">
            <w:pPr>
              <w:pStyle w:val="Default"/>
              <w:jc w:val="both"/>
              <w:rPr>
                <w:b/>
                <w:bCs/>
                <w:color w:val="auto"/>
                <w:sz w:val="18"/>
                <w:szCs w:val="18"/>
              </w:rPr>
              <w:spacing w:after="120"/>
            </w:pPr>
            <w:r>
              <w:rPr>
                <w:color w:val="auto"/>
                <w:sz w:val="18"/>
                <w:szCs w:val="18"/>
              </w:rPr>
              <w:t>P9: Verificar, por meio da resposta à q2204, a existência de processo formal de gestão de incidentes de TIC; [IR10]</w:t>
            </w:r>
          </w:p>
          <w:p ns2:paraId="4C6E5B2E" ns2:textId="42100C78" w:rsidR="00163D04" w:rsidRDefault="00873041" w:rsidP="00EC7681">
            <w:pPr>
              <w:pStyle w:val="Default"/>
              <w:jc w:val="both"/>
              <w:rPr>
                <w:b/>
                <w:bCs/>
                <w:color w:val="auto"/>
                <w:sz w:val="18"/>
                <w:szCs w:val="18"/>
              </w:rPr>
              <w:spacing w:after="120"/>
            </w:pPr>
            <w:r>
              <w:rPr>
                <w:color w:val="auto"/>
                <w:sz w:val="18"/>
                <w:szCs w:val="18"/>
              </w:rPr>
              <w:t>P10: Validar, pela evidência anexada à q2204, a existência de procedimento ou fluxo formal de gestão de incidentes; [IR11]</w:t>
            </w:r>
          </w:p>
          <w:p ns2:paraId="4C6E5B2E" ns2:textId="42100C78" w:rsidR="00163D04" w:rsidRDefault="00873041" w:rsidP="00EC7681">
            <w:pPr>
              <w:pStyle w:val="Default"/>
              <w:jc w:val="both"/>
              <w:rPr>
                <w:b/>
                <w:bCs/>
                <w:color w:val="auto"/>
                <w:sz w:val="18"/>
                <w:szCs w:val="18"/>
              </w:rPr>
              <w:spacing w:after="120"/>
            </w:pPr>
            <w:r>
              <w:rPr>
                <w:color w:val="auto"/>
                <w:sz w:val="18"/>
                <w:szCs w:val="18"/>
              </w:rPr>
              <w:t>P11: Verificar, por meio da resposta à q2204, se há registro sistemático dos incidentes de TIC; [IR12]</w:t>
            </w:r>
          </w:p>
          <w:p ns2:paraId="4C6E5B2E" ns2:textId="42100C78" w:rsidR="00163D04" w:rsidRDefault="00873041" w:rsidP="00EC7681">
            <w:pPr>
              <w:pStyle w:val="Default"/>
              <w:jc w:val="both"/>
              <w:rPr>
                <w:b/>
                <w:bCs/>
                <w:color w:val="auto"/>
                <w:sz w:val="18"/>
                <w:szCs w:val="18"/>
              </w:rPr>
              <w:spacing w:after="120"/>
            </w:pPr>
            <w:r>
              <w:rPr>
                <w:color w:val="auto"/>
                <w:sz w:val="18"/>
                <w:szCs w:val="18"/>
              </w:rPr>
              <w:t>P12: Validar, pela evidência anexada à q2204, a existência de registros rastreáveis de incidentes, chamados ou tickets; [IR13]</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Resposta negativa ou insuficiente sobre catálogo de serviços de TIC;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Ausência, desatualização, inacessibilidade ou insuficiência do catálogo de serviços de TIC;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ou insuficiente sobre ANS ou metas mínimas de nível de serviço;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Ausência, desatualização ou insuficiência de ANS, metas ou registros de monitoramento;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Resposta negativa ou insuficiente sobre inventário de ativos de TIC;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Ausência, desatualização ou insuficiência de inventário de ativos de TIC;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Resposta negativa ou insuficiente sobre processo formal de gestão de configuração; [P7]</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E8: Ausência, desatualização ou insuficiência de norma, procedimento, CMDB ou base equivalente de gestão de configuração; [P8]</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E9: Resposta negativa ou insuficiente sobre processo formal de gestão de incidentes de TIC; [P9]</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E10: Ausência, desatualização ou insuficiência de norma, procedimento ou fluxo formal de gestão de incidentes; [P10]</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E11: Resposta negativa ou insuficiente sobre registro sistemático de incidentes de TIC; [P11]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E12: Ausência, insuficiência ou baixa rastreabilidade dos registros de incidentes, chamados ou tickets; [P12]</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A4: Gestão de serviços de TIC incipiente, sem controle mínimo sobre serviços, ativos e incidentes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S4.1: Inexistência, desatualização, indisponibilidade ou insuficiência do catálogo de serviços de TIC.; Severidade: media; Referências: R4.1, P1, E1, P2, E2; Encaminhamento: Recomendar que a organização institua e mantenha atualizado catálogo de serviços de TIC, acessível aos usuários e áreas demandantes, com informações mínimas sobre os serviços efetivamente prestados.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S4.2: Inexistência de ANS, metas mínimas ou monitoramento de níveis de serviço para os principais serviços de TIC.; Severidade: media; Referências: R4.2, P3, E3, P4, E4; Encaminhamento: Recomendar que a organização defina e monitore níveis mínimos de serviço ou metas de atendimento para os serviços de TIC mais relevantes.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S4.3: Inexistência ou fragilidade do inventário de ativos de TIC.; Severidade: alta; Referências: R4.3, P5, E5, P6, E6; Encaminhamento: Recomendar que a organização mantenha inventário atualizado de ativos de TIC, contemplando ao menos equipamentos, servidores, sistemas, softwares, licenças, serviços em nuvem, responsáveis e componentes de infraestrutura.</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S4.4: Ausência ou fragilidade do processo de gestão de configuração.; Severidade: media; Referências: R4.3, P7, E7, P8, E8; Encaminhamento: Recomendar que a organização formalize e execute processo mínimo de gestão de configuração, mantendo base, ferramenta ou registro equivalente com itens de configuração relevantes, relacionamentos entre ativos, sistemas, infraestrutura e serviços, responsáveis, atualização periódica e uso das informações no planejamento e acompanhamento de mudanças.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S4.5: Inexistência ou fragilidade do processo de gestão de incidentes de TIC.; Severidade: alta; Referências: R4.4, P9, E9, P10, E10, P11, E11, P12, E12; Encaminhamento: Recomendar que a organização formalize e execute processo mínimo de gestão de incidentes de TIC, contemplando papéis, responsabilidades, critérios de priorização, escalamento, tratamento de incidentes de serviços e de segurança da informação, registro sistemático em ferramenta, sistema, planilha ou base equivalente, histórico das ocorrências e análise posterior de incidentes relevantes ou recorrentes.</w:t>
            </w:r>
          </w:p>
        </w:tc>
      </w:tr>
    </w:tbl>
    <w:p/>
    <w:tbl>
      <w:tblPr>
        <w:tblStyle w:val="Tabelacomgrade"/>
        <w:tblpPr w:leftFromText="141" w:rightFromText="141" w:vertAnchor="text" w:tblpY="1"/>
        <w:tblOverlap w:val="never"/>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Q5: As organizações avaliadas apresentam evolução mensurável, em termos agregados, nas práticas de segurança da informação, gestão de riscos e continuidade de TIC, especialmente em relação às fiscalizações anteriores que induziram a adoção dos Controles CIS? (levantamento)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Houve evolução agregada das práticas de segurança da informação, gestão de riscos e continuidade de TIC em relação às fiscalizações anteriores?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organizações estaduais fiscalizadas anteriormente apresentaram avanço agregado na adoção dos Controles CIS v8?</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prefeituras municipais fiscalizadas anteriormente apresentaram avanço agregado na adoção dos Controles CIS 1 a 6?</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Quais práticas de segurança da informação apresentaram maior evolução agregada?</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Quais práticas permaneceram estáveis, regrediram ou seguem com baixa adoção?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grau de adoção atual sugere atendimento, atendimento parcial ou não atendimento dos encaminhamentos propostos nas fiscalizações anteriores de segurança da informação?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diferenças metodológicas entre os trabalhos anteriores e o iGovTI 2026 limitam a comparação dos resultados?</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Critérios de comparabilidade:</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CT1: Comparar apenas organizações presentes tanto nas fiscalizações anteriores de segurança da informação quanto no iGovTI 2026, ou explicitar separadamente o universo comum e o universo total de cada trabalho.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CT2: Comparar apenas controles, práticas, dimensões ou indicadores com correspondência metodológica suficiente entre Controles CIS, fiscalizações anteriores e iGovTI 2026.</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CT3: Quando a correspondência entre Controles CIS e itens do iGovTI 2026 for parcial, registrar a limitação e tratar o resultado como indício agregado, não como comprovação plena de atendimento.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CT4: Separar a análise das organizações estaduais submetidas à avaliação de Controles CIS v8 da análise das prefeituras municipais submetidas aos Controles CIS 1 a 6.</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CT5: Utilizar quantitativos absolutos e percentuais para demonstrar evolução, estabilidade ou regressão agregada.</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CT6: Distinguir evolução agregada em práticas de segurança da informação de atendimento efetivo de encaminhamentos anteriores; melhoria em resposta ou indicador não implica, isoladamente, cumprimento integral do encaminhamento.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CT7: Classificar atendimento dos encaminhamentos anteriores em categorias explícitas, como atendido, parcialmente atendido, não atendido e não avaliável, com base em evidências disponíveis e compatíveis com o escopo de cada encaminhamento.</w:t>
            </w:r>
          </w:p>
        </w:tc>
      </w:tr>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ANÁLISE / RESULTADOS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e indicadores calculados no iGovTI 2026 para itens relacionados a segurança da informação, gestão de riscos, continuidade de TIC e controles técnicos mínimos.</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ao questionário iGovTI 2026 em itens relacionados a segurança da informação, gestão de riscos, continuidade de TIC e controles técnicos mínimos.</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F3: Resultados, achados, encaminhamentos, recomendações, determinações, planos de ação ou registros de monitoramento das fiscalizações anteriores de segurança da informação em organizações estaduais.</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F4: Resultados, achados, encaminhamentos, recomendações, determinações, planos de ação ou registros de monitoramento da fiscalização anterior de segurança da informação em prefeituras municipais.</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F5: Relação de Controles CIS v8 avaliados ou induzidos nas fiscalizações anteriores de organizações estaduais.</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F6: Relação dos Controles CIS 1 a 6 avaliados ou induzidos na fiscalização anterior de prefeituras municipais.</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F7: Metodologias, questionários, matrizes de correspondência e critérios utilizados nas fiscalizações anteriores e no iGovTI 2026.</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Relação das organizações estaduais fiscalizadas anteriormente em segurança da informação que também integram o iGovTI 2026; [F1, F3]</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Relação das prefeituras municipais fiscalizadas anteriormente em segurança da informação que também integram o iGovTI 2026; [F1, F4]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Itens, práticas, indicadores ou evidências do iGovTI 2026 relacionados a segurança da informação, riscos, continuidade, controle de acesso, classificação da informação, incidentes, backup, vulnerabilidades e controles técnicos mínimos; [F1, F2]</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Tabela de correspondência entre os Controles CIS v8 avaliados ou induzidos nas organizações estaduais e os itens, práticas ou evidências correlatas do iGovTI 2026; [F1, F2, F3, F5, F7]</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Tabela de correspondência entre os Controles CIS 1 a 6 avaliados ou induzidos nas prefeituras municipais e os itens, práticas ou evidências correlatas do iGovTI 2026; [F1, F2, F4, F6, F7]</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Distribuição agregada dos resultados anteriores e atuais, por controle, prática, dimensão, faixa de adoção ou indicador comparável; [F1, F3, F4, F5, F6]</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Variação agregada entre os trabalhos anteriores e o iGovTI 2026, distinguindo evolução, estabilidade e regressão por controle, prática ou dimensão comparável; [F1, F3, F4, F5, F6, F7]</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IR8: Classificação agregada do atendimento dos encaminhamentos anteriores de segurança da informação, incluindo atendido, parcialmente atendido, não atendido e não avaliável; [F2, F3, F4]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IR9: Limitações metodológicas que afetem a comparação entre as fiscalizações anteriores de segurança da informação e o iGovTI 2026, incluindo diferença de escopo, granularidade dos Controles CIS, escala de resposta, evidências disponíveis ou universo de organizações; [F3, F4, F5, F6, F7]</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CT1: Comparar apenas organizações presentes tanto nas fiscalizações anteriores de segurança da informação quanto no iGovTI 2026, ou explicitar separadamente o universo comum e o universo total de cada trabalho.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CT2: Comparar apenas controles, práticas, dimensões ou indicadores com correspondência metodológica suficiente entre Controles CIS, fiscalizações anteriores e iGovTI 2026.</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CT3: Quando a correspondência entre Controles CIS e itens do iGovTI 2026 for parcial, registrar a limitação e tratar o resultado como indício agregado, não como comprovação plena de atendimento.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CT4: Separar a análise das organizações estaduais submetidas à avaliação de Controles CIS v8 da análise das prefeituras municipais submetidas aos Controles CIS 1 a 6.</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CT5: Utilizar quantitativos absolutos e percentuais para demonstrar evolução, estabilidade ou regressão agregada.</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CT6: Distinguir evolução agregada em práticas de segurança da informação de atendimento efetivo de encaminhamentos anteriores; melhoria em resposta ou indicador não implica, isoladamente, cumprimento integral do encaminhamento.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CT7: Classificar atendimento dos encaminhamentos anteriores em categorias explícitas, como atendido, parcialmente atendido, não atendido e não avaliável, com base em evidências disponíveis e compatíveis com o escopo de cada encaminhamento.</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Identificar as organizações estaduais e prefeituras municipais fiscalizadas anteriormente em segurança da informação que também integram o iGovTI 2026; [IR1,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P2: Identificar os itens, práticas, evidências e indicadores do iGovTI 2026 relacionados a segurança da informação, gestão de riscos, continuidade e controles técnicos mínimos;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P3: Construir tabela de correspondência entre os Controles CIS v8 avaliados ou induzidos nas organizações estaduais e os itens ou evidências correlatas do iGovTI 2026;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P4: Construir tabela de correspondência entre os Controles CIS 1 a 6 avaliados ou induzidos nas prefeituras municipais e os itens ou evidências correlatas do iGovTI 2026;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P5: Calcular a distribuição agregada dos resultados anteriores e atuais por controle, prática, dimensão ou indicador comparável, segregando organizações estaduais e prefeituras municipais quando aplicável;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P6: Calcular a variação agregada entre os trabalhos anteriores e o iGovTI 2026, distinguindo evolução, estabilidade e regressão em quantitativos absolutos e percentuais; [IR7]</w:t>
            </w:r>
          </w:p>
          <w:p ns2:paraId="4C6E5B2E" ns2:textId="42100C78" w:rsidR="00163D04" w:rsidRDefault="00873041" w:rsidP="00EC7681">
            <w:pPr>
              <w:pStyle w:val="Default"/>
              <w:jc w:val="both"/>
              <w:rPr>
                <w:b/>
                <w:bCs/>
                <w:color w:val="auto"/>
                <w:sz w:val="18"/>
                <w:szCs w:val="18"/>
              </w:rPr>
              <w:spacing w:after="120"/>
            </w:pPr>
            <w:r>
              <w:rPr>
                <w:color w:val="auto"/>
                <w:sz w:val="18"/>
                <w:szCs w:val="18"/>
              </w:rPr>
              <w:t>P7: Classificar, em termos agregados, o atendimento dos encaminhamentos anteriores de segurança da informação, com base nas evidências disponíveis e nos resultados do iGovTI 2026; [IR8]</w:t>
            </w:r>
          </w:p>
          <w:p ns2:paraId="4C6E5B2E" ns2:textId="42100C78" w:rsidR="00163D04" w:rsidRDefault="00873041" w:rsidP="00EC7681">
            <w:pPr>
              <w:pStyle w:val="Default"/>
              <w:jc w:val="both"/>
              <w:rPr>
                <w:b/>
                <w:bCs/>
                <w:color w:val="auto"/>
                <w:sz w:val="18"/>
                <w:szCs w:val="18"/>
              </w:rPr>
              <w:spacing w:after="120"/>
            </w:pPr>
            <w:r>
              <w:rPr>
                <w:color w:val="auto"/>
                <w:sz w:val="18"/>
                <w:szCs w:val="18"/>
              </w:rPr>
              <w:t>P8: Identificar limitações metodológicas da comparação e indicar quais conclusões podem ou não ser extraídas dos dados disponíveis; [IR9]</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Relação consolidada das organizações estaduais e prefeituras municipais presentes tanto nas fiscalizações anteriores de segurança da informação quanto no iGovTI 2026;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Relação dos itens, práticas, evidências e indicadores do iGovTI 2026 utilizados na análise evolutiva de segurança da informação;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Tabela de correspondência entre Controles CIS v8 e itens, práticas ou evidências correlatas do iGovTI 2026;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Tabela de correspondência entre Controles CIS 1 a 6 e itens, práticas ou evidências correlatas do iGovTI 2026;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Tabelas, gráficos ou painéis com distribuição agregada dos resultados anteriores e atuais por controle, prática, dimensão ou indicador comparável;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Cálculo da variação agregada, em números absolutos e percentuais, indicando evolução, estabilidade ou regressão;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Quadro consolidado de atendimento, atendimento parcial, não atendimento ou impossibilidade de avaliação dos encaminhamentos anteriores de segurança da informação; [P7]</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E8: Registro das limitações metodológicas e das cautelas necessárias para interpretação dos resultados comparativos; [P8]</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Não se aplica: questão de levantamento, sem geração de achado individual.</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O que a análise permite dizer:</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houve evolução, estabilidade ou regressão agregada das práticas de segurança da informação, gestão de riscos e continuidade de TIC em relação às fiscalizações anteriores.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as organizações estaduais anteriormente fiscalizadas avançaram, em termos agregados, na adoção dos Controles CIS v8 avaliados ou induzidos.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as prefeituras municipais anteriormente fiscalizadas avançaram, em termos agregados, na adoção dos Controles CIS 1 a 6.</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Quais controles, práticas ou dimensões de segurança da informação apresentaram maior avanço agregado.</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Quais controles, práticas ou dimensões permaneceram com baixa adoção, estagnaram ou regrediram em termos agregados.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os encaminhamentos das fiscalizações anteriores de segurança da informação aparentam ter sido atendidos, parcialmente atendidos, não atendidos ou não avaliáveis em termos agregados.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Em que medida diferenças metodológicas entre os trabalhos anteriores e o iGovTI 2026 limitam a força das conclusões comparativas.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Limitações e cautelas: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questão tem caráter de levantamento e análise evolutiva agregada, não gerando achado individual por organização.</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comparação não deve ser tratada como nova fiscalização dos Controles CIS, nem como reexecução integral das fiscalizações anteriores de segurança da informação.</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correspondência entre Controles CIS e itens do iGovTI 2026 pode ser parcial; nesses casos, a conclusão deve ser apresentada como indício agregado e não como comprovação plena.</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evolução agregada não autoriza, isoladamente, concluir que todas as organizações evoluíram individualmente.</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ausência de evolução agregada não autoriza, isoladamente, concluir descumprimento individual dos encaminhamentos anteriores.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análise de atendimento dos encaminhamentos anteriores deve observar o conteúdo de cada encaminhamento, as evidências disponíveis, a compatibilidade com o iGovTI 2026 e eventuais registros de monitoramento.</w:t>
            </w:r>
          </w:p>
        </w:tc>
      </w:tr>
    </w:tbl>
    <w:p/>
    <w:tbl>
      <w:tblPr>
        <w:tblStyle w:val="Tabelacomgrade"/>
        <w:tblpPr w:leftFromText="141" w:rightFromText="141" w:vertAnchor="text" w:tblpY="1"/>
        <w:tblOverlap w:val="never"/>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Q6: A organização adota processo formal e padronizado para planejamento, contratação, fiscalização e gestão de soluções de TIC, com participação técnica da área de TIC, alinhamento ao planejamento, requisitos de segurança e critérios objetivos de entrega e desempenho?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fluxo formalizado e padronizado para contratações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definiu papéis e responsabilidades nas contratações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dispõe de modelos, manuais, checklists ou normativos orientativos para elaboração dos artefatos das contratações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contratações de TIC são submetidas à análise prévia e aprovação técnica da área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contratações de TIC estão alinhadas ao plano de TIC e ao plano de contratações?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equipe de planejamento da contratação é formalmente designada e possui participação técnica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Os artefatos de planejamento contemplam requisitos técnicos, riscos, segurança da informação, proteção de dados e critérios objetivos de aceite?</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Os contratos possuem níveis mínimos de serviço, métricas de desempenho ou critérios objetivos de fiscalização e recebimento?</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R6.1: Devido à inexistência ou fragilidade de fluxo formal e padronizado para contratações de TIC, poderá não haver clareza quanto às etapas, instâncias decisórias e critérios de aprovação.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R6.2: Devido à ausência de definição formal de papéis, responsabilidades, modelos e orientações, poderá haver instrução processual incompleta, inconsistente ou tecnicamente frágil.</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R6.3: Devido à ausência de análise técnica prévia da área de TIC e de alinhamento ao planejamento, poderão ser contratadas soluções incompatíveis com padrões técnicos, requisitos institucionais, segurança ou prioridades definidas.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R6.4: Devido à baixa qualidade dos artefatos de planejamento, poderão ser contratadas soluções sem requisitos, riscos, critérios de aceite, proteção de dados ou condições suficientes de fiscalização.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R6.5: Devido à ausência de níveis mínimos de serviço, métricas de desempenho ou fiscalização objetiva, poderá haver pagamento desvinculado da entrega de resultados, qualidade ou desempenho.</w:t>
            </w:r>
          </w:p>
        </w:tc>
      </w:tr>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no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e evidência sobre processos de trabalho relativos às contratações de TIC; [F1, F2, q2801, q2801evi]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Resposta e evidência sobre papéis e responsabilidades nas contratações de TIC; [F1, F2, q2801, q2801evi]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e evidência sobre modelos, manuais, checklists ou normativos orientativos para contratações de TIC; [F1, F2, q2801, q2801evi]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Resposta sobre submissão obrigatória das contratações de TIC à análise prévia e aprovação técnica da área de TIC; [F1, q2804[A]]</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Evidência específica sobre aprovação técnica da área de TIC em caso concreto; [F2, q2804eviA]</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Resposta e evidência sobre aderência das contratações ao plano de TIC, ao plano de contratações e à proposta orçamentária; [F1, F2, q2102ext[C], q2802ext[C], q2802ext[D], q2804[B], q2102evi, q2802evi]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Resposta e evidência sobre equipe de planejamento formalmente designada e multidisciplinar; [F1, F2, q2804[C], q2801evi]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IR8: Resposta e evidência sobre requisitos técnicos, riscos, segurança da informação, proteção de dados e critérios de aceite nos artefatos de planejamento; [F1, F2, q2801ext[B], q2804[E], q2801evi]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IR9: Resposta e evidência sobre níveis mínimos de serviço, métricas de desempenho ou critérios objetivos de fiscalização e recebimento; [F1, F2, q2804[D], q2801ext[E], q2801ext[F], q2801evi]</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Art. 11, parágrafo único, da Lei 14.133/2021: responsabilidade da alta administração pela governança das contratações, com processos, estruturas, gestão de riscos e controles internos.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Art. 18, caput e §1º, incisos I, IV, V, VIII, IX, X e XIII, da Lei 14.133/2021: fase preparatória caracterizada pelo planejamento, compatibilização com o plano de contratações anual e elementos mínimos do estudo técnico preliminar.</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Art. 6º, inciso XXIII, alíneas "d", "e", "f" e "g", da Lei 14.133/2021: termo de referência deve conter requisitos da contratação, modelo de execução, modelo de gestão contratual e critérios de medição e pagamento.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Art. 19, inciso IV, da Lei 14.133/2021: instituição de modelos de minutas de editais, termos de referência, contratos padronizados e demais documentos.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Art. 7º, caput, incisos I a III e §1º, da Lei 14.133/2021: designação de agentes públicos para funções essenciais, observados atribuições, formação, segregação de funções e inexistência de vínculos que comprometam a atuação.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C6: Art. 117, caput, da Lei 14.133/2021: acompanhamento e fiscalização da execução contratual por representantes da Administração especialmente designados.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C7: Art. 140, incisos I e II, da Lei 14.133/2021: recebimento provisório e definitivo de obras, serviços e compras, com verificação da conformidade do objeto.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C8: Art. 46, caput e §2º, da Lei 13.709/2018: adoção de medidas de segurança, técnicas e administrativas, desde a concepção do produto ou serviço até sua execução.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C9: Art. 50, caput e §2º, inciso I, da Lei 13.709/2018: formulação de regras de boas práticas e governança para tratamento de dados pessoais, considerando riscos, salvaguardas e mecanismos de mitigação.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C10: COBIT 2019, BAI02.04 - Obter aprovação dos requisitos da solução: obter aprovação formal dos requisitos funcionais, técnicos, de segurança e de conformidade antes de prosseguir com a solução.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C11: COBIT 2019, APO01.05 - Estabelecer papéis e responsabilidades: definir e comunicar papéis e responsabilidades relacionados à informação e à tecnologia.</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C12: COBIT 2019, APO01.09 - Definir e comunicar políticas e procedimentos: manter políticas, procedimentos e orientações para direcionar processos de gestão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C13: COBIT 2019, APO10.03 - Gerenciar relacionamentos e contratos com fornecedores: estabelecer e acompanhar contratos, responsabilidades, níveis de serviço e obrigações de fornecedores.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C14: COBIT 2019, APO10.05 - Monitorar desempenho e conformidade de fornecedores: acompanhar desempenho, conformidade, qualidade e resultados pactuados com fornecedores.</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q2801, a existência de processo formal e padronizado para contratações de TIC;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Validar, pelas evidências anexadas à q2801, a existência de fluxo, papéis, responsabilidades, modelos, manuais, checklists ou normativos orientativos; [IR1, IR2,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q2804[A] e da q2804eviA, se as contratações de TIC são submetidas à análise prévia e aprovação técnica da área de TIC; [IR4,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P4: Verificar, por meio das q2102ext[C], q2802ext[C], q2802ext[D], q2804[B] e evidências q2102evi/q2802evi, se as contratações de TIC estão aderentes ao plano de TIC, ao plano de contratações e à proposta orçamentária;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P5: Verificar, por meio da q2804[C] e da q2801evi, se a equipe de planejamento da contratação é formalmente designada e possui participação técnica de TIC; [IR7]</w:t>
            </w:r>
          </w:p>
          <w:p ns2:paraId="4C6E5B2E" ns2:textId="42100C78" w:rsidR="00163D04" w:rsidRDefault="00873041" w:rsidP="00EC7681">
            <w:pPr>
              <w:pStyle w:val="Default"/>
              <w:jc w:val="both"/>
              <w:rPr>
                <w:b/>
                <w:bCs/>
                <w:color w:val="auto"/>
                <w:sz w:val="18"/>
                <w:szCs w:val="18"/>
              </w:rPr>
              <w:spacing w:after="120"/>
            </w:pPr>
            <w:r>
              <w:rPr>
                <w:color w:val="auto"/>
                <w:sz w:val="18"/>
                <w:szCs w:val="18"/>
              </w:rPr>
              <w:t>P6: Verificar, por meio das q2801ext[B], q2804[E] e q2801evi, se os artefatos de planejamento contemplam requisitos técnicos, riscos, segurança da informação, proteção de dados e critérios objetivos de aceite; [IR8]</w:t>
            </w:r>
          </w:p>
          <w:p ns2:paraId="4C6E5B2E" ns2:textId="42100C78" w:rsidR="00163D04" w:rsidRDefault="00873041" w:rsidP="00EC7681">
            <w:pPr>
              <w:pStyle w:val="Default"/>
              <w:jc w:val="both"/>
              <w:rPr>
                <w:b/>
                <w:bCs/>
                <w:color w:val="auto"/>
                <w:sz w:val="18"/>
                <w:szCs w:val="18"/>
              </w:rPr>
              <w:spacing w:after="120"/>
            </w:pPr>
            <w:r>
              <w:rPr>
                <w:color w:val="auto"/>
                <w:sz w:val="18"/>
                <w:szCs w:val="18"/>
              </w:rPr>
              <w:t>P7: Verificar, por meio das q2804[D], q2801ext[E], q2801ext[F] e q2801evi, se os contratos possuem níveis mínimos de serviço, métricas de desempenho ou critérios objetivos de fiscalização e recebimento; [IR9]</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Resposta negativa ou insuficiente sobre processo formal e padronizado para contratações de TIC;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Ausência, desatualização ou insuficiência de evidências de fluxo, papéis, responsabilidades, modelos, manuais, checklists ou normativos orientativos;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ou insuficiente sobre análise prévia e aprovação técnica da área de TIC;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Ausência de evidência específica de aprovação técnica da área de TIC em caso concreto;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Resposta negativa ou insuficiente sobre aderência das contratações ao plano de TIC ou ao plano de contratações;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Resposta negativa ou insuficiente sobre equipe de planejamento formalmente designada e com participação técnica de TIC;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Ausência ou insuficiência de requisitos técnicos, riscos, segurança da informação, proteção de dados ou critérios objetivos de aceite nos artefatos de planejamento;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E8: Ausência ou insuficiência de níveis mínimos de serviço, métricas de desempenho ou critérios objetivos de fiscalização e recebimento; [P7]</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A6: Contratações de TIC sem governança técnica e controle de resultados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S6.1: Inexistência ou fragilidade de processo formal e padronizado para contratações de TIC.; Severidade: alta; Referências: R6.1, R6.2, P1, E1, P2, E2; Encaminhamento: Recomendar que a organização formalize processo de contratação de TIC, contemplando fluxo, etapas, papéis, responsabilidades, modelos mínimos de artefatos, manuais, checklists ou orientações internas.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S6.2: Contratações de TIC sem análise prévia e aprovação técnica obrigatória da área de TIC.; Severidade: alta; Referências: R6.3, P3, E3, E4; Encaminhamento: Recomendar que as contratações de TIC sejam submetidas à análise prévia e aprovação técnica da área de TIC, inclusive quando demandadas por outras áreas da organização.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S6.3: Contratações de TIC sem aderência ao plano de TIC, ao plano de contratações ou à proposta orçamentária.; Severidade: alta; Referências: R6.3, P4, E5; Encaminhamento: Recomendar que a organização condicione as contratações de TIC à vinculação com o planejamento de TIC, com o plano de contratações e com a proposta orçamentária, ressalvadas situações excepcionais devidamente justificadas.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S6.4: Contratações de TIC sem equipe de planejamento formalmente designada e com participação técnica de TIC.; Severidade: alta; Referências: R6.4, P5, E6; Encaminhamento: Recomendar que a organização designe formalmente equipe de planejamento da contratação de TIC, com participação da área requisitante, área técnica de TIC e demais áreas necessárias.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S6.5: Artefatos de planejamento das contratações de TIC sem requisitos técnicos, análise de riscos, segurança da informação, proteção de dados ou critérios objetivos de aceite.; Severidade: alta; Referências: R6.4, P6, E7; Encaminhamento: Recomendar que os artefatos de planejamento das contratações de TIC contemplem requisitos técnicos, análise de riscos, requisitos de segurança da informação, proteção de dados pessoais quando aplicável e critérios objetivos de aceite.</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S6.6: Contratações de TIC sem níveis mínimos de serviço, métricas de desempenho ou critérios objetivos de fiscalização e recebimento.; Severidade: alta; Referências: R6.5, P7, E8; Encaminhamento: Recomendar que os TRs, projetos básicos, contratos ou instrumentos equivalentes de TIC estabeleçam níveis mínimos de serviço, indicadores, critérios de medição, critérios de recebimento e vinculação do pagamento à efetiva entrega de resultados ou níveis de qualidade.</w:t>
            </w:r>
          </w:p>
        </w:tc>
      </w:tr>
    </w:tbl>
    <w:p/>
    <w:tbl>
      <w:tblPr>
        <w:tblStyle w:val="Tabelacomgrade"/>
        <w:tblpPr w:leftFromText="141" w:rightFromText="141" w:vertAnchor="text" w:tblpY="1"/>
        <w:tblOverlap w:val="never"/>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QT: As organizações anteriormente avaliadas apresentaram evolução mensurável, em termos agregados, em governança e gestão de TIC e no atendimento aos encaminhamentos da fiscalização anterior? (levantamento)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Houve variação agregada positiva, negativa ou estável nos indicadores comparáveis de governança e gestão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Quais dimensões, práticas ou indicadores agregados apresentaram maior evolução?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Quais dimensões, práticas ou indicadores agregados permaneceram estáveis ou regrediram?</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Qual foi o grau agregado de atendimento aos encaminhamentos propostos na fiscalização anterior?</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Há diferença relevante entre a evolução agregada dos municípios avaliados em 2023 e a evolução agregada das organizações do Poder Executivo?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diferenças metodológicas entre os ciclos limitam a comparabilidade dos resultados?</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Critérios de comparabilidade:</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CT1: Comparar apenas organizações presentes nos dois ciclos ou, quando houver alteração de universo, explicitar separadamente o universo comum e o universo total de cada ciclo.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CT2: Comparar apenas indicadores, dimensões, práticas ou faixas com correspondência metodológica suficiente; quando a correspondência for parcial, registrar a limitação e evitar conclusão categórica.</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CT3: Utilizar quantitativos absolutos e percentuais para descrever variações agregadas, distinguindo evolução, estabilidade e regressão.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CT4: Distinguir mudança em resultado agregado de atendimento efetivo de encaminhamento; melhoria no indicador não implica, por si só, cumprimento integral da recomendação anterior.</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CT5: Classificar atendimento dos encaminhamentos anteriores em categorias explícitas, como atendido, parcialmente atendido, não atendido e não avaliável, com base em evidências disponíveis nos autos, registros da fiscalização anterior e informações do iGovTI 2026.</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CT6: Registrar limitações decorrentes de mudanças metodológicas, de diferenças de escopo, de alteração de pesos, de alteração de itens do questionário ou de indisponibilidade de dados históricos.</w:t>
            </w:r>
          </w:p>
        </w:tc>
      </w:tr>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ANÁLISE / RESULTADOS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Resultados, respostas e indicadores calculados no iGovTI 2026 para as organizações também avaliadas na fiscalização anterior.</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Resultados, respostas, indicadores, achados e encaminhamentos da fiscalização anterior de 2023 relativa ao iGovTI em municípios.</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F3: Resultados, respostas, indicadores, achados e encaminhamentos da fiscalização anterior de 2023 relativa ao iGovTI nas organizações do Poder Executivo estadual.</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F4: Metodologias de cálculo, dicionários de variáveis, questionários, planilhas de correspondência e demais registros necessários para compatibilizar os ciclos de avaliação.</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F5: Informações, evidências e registros produzidos no iGovTI 2026 que permitam inferir, em termos agregados, atendimento, não atendimento ou atendimento parcial dos encaminhamentos anteriores.</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Relação das organizações avaliadas na fiscalização anterior que também integram o iGovTI 2026, segregadas, quando aplicável, entre municípios e organizações do Poder Executivo estadual; [F1, F2, F3]</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Indicadores, dimensões, práticas, faixas de maturidade ou métricas da fiscalização anterior que sejam comparáveis com os resultados do iGovTI 2026; [F1, F2, F3, F4]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Tabela de correspondência entre indicadores, práticas, dimensões ou métricas dos ciclos de avaliação, com indicação do grau de comparabilidade; [F4]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Distribuição agregada dos resultados da fiscalização anterior e do iGovTI 2026, incluindo quantitativo e percentual de organizações por nível, faixa, dimensão, prática ou indicador comparável; [F1, F2, F3]</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Variação agregada entre os ciclos, incluindo evolução, estabilidade ou regressão por indicador, dimensão, prática ou faixa de maturidade comparável; [F1, F2, F3, F4]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Relação dos encaminhamentos propostos na fiscalização anterior e sua classificação agregada quanto a atendimento, atendimento parcial, não atendimento ou impossibilidade de avaliação; [F2, F3, F5]</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Limitações metodológicas que afetem a comparação entre os ciclos, incluindo alteração de questionário, pesos, fórmulas, universo avaliado, escala de resposta ou critérios de classificação; [F1, F2, F3, F4]</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CT1: Comparar apenas organizações presentes nos dois ciclos ou, quando houver alteração de universo, explicitar separadamente o universo comum e o universo total de cada ciclo.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CT2: Comparar apenas indicadores, dimensões, práticas ou faixas com correspondência metodológica suficiente; quando a correspondência for parcial, registrar a limitação e evitar conclusão categórica.</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CT3: Utilizar quantitativos absolutos e percentuais para descrever variações agregadas, distinguindo evolução, estabilidade e regressão.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CT4: Distinguir mudança em resultado agregado de atendimento efetivo de encaminhamento; melhoria no indicador não implica, por si só, cumprimento integral da recomendação anterior.</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CT5: Classificar atendimento dos encaminhamentos anteriores em categorias explícitas, como atendido, parcialmente atendido, não atendido e não avaliável, com base em evidências disponíveis nos autos, registros da fiscalização anterior e informações do iGovTI 2026.</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CT6: Registrar limitações decorrentes de mudanças metodológicas, de diferenças de escopo, de alteração de pesos, de alteração de itens do questionário ou de indisponibilidade de dados históricos.</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Identificar o conjunto de organizações avaliadas na fiscalização anterior e cruzá-lo com o universo de organizações respondentes do iGovTI 2026;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Construir tabela de correspondência entre indicadores, dimensões, práticas, faixas de maturidade ou métricas comparáveis entre a fiscalização anterior e o iGovTI 2026; [IR2,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P3: Calcular, para o conjunto comum de organizações, a distribuição agregada dos resultados nos dois ciclos, por indicador, dimensão, prática ou faixa de maturidade comparável;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P4: Calcular a variação agregada entre os ciclos, distinguindo evolução, estabilidade e regressão, em quantitativos absolutos e percentuais;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P5: Segregar, quando aplicável, os resultados agregados dos municípios avaliados em 2023 e das organizações do Poder Executivo estadual avaliadas em 2023; [IR1, IR4,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P6: Classificar, em termos agregados, o atendimento dos encaminhamentos da fiscalização anterior, com base nos registros disponíveis e nas evidências ou respostas do iGovTI 2026;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P7: Identificar limitações metodológicas da comparação e indicar quais conclusões podem ou não ser extraídas dos dados disponíveis; [IR7]</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Relação consolidada das organizações presentes nos dois ciclos de avaliação;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Tabela de correspondência entre itens, indicadores, dimensões, práticas ou faixas comparáveis entre a fiscalização anterior e o iGovTI 2026;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Tabelas, gráficos ou painéis com distribuição agregada dos resultados da fiscalização anterior e do iGovTI 2026;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Cálculo da variação agregada dos resultados, em números absolutos e percentuais, indicando evolução, estabilidade ou regressão;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Comparativo agregado entre municípios avaliados em 2023 e organizações do Poder Executivo estadual avaliadas em 2023, quando os dados permitirem a segregação;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Quadro consolidado de atendimento, atendimento parcial, não atendimento ou impossibilidade de avaliação dos encaminhamentos anteriores;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Registro das limitações metodológicas e das cautelas necessárias para interpretação dos resultados comparativos; [P7]</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Não se aplica: questão de levantamento, sem geração de achado individual.</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O que a análise permite dizer:</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no conjunto comum de organizações, houve evolução, estabilidade ou regressão agregada em governança e gestão de TIC entre a fiscalização anterior e o iGovTI 2026.</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Quais dimensões, práticas ou indicadores comparáveis concentraram os maiores avanços agregados.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Quais dimensões, práticas ou indicadores comparáveis permaneceram com baixa evolução, estagnaram ou regrediram em termos agregados.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os encaminhamentos da fiscalização anterior foram atendidos, parcialmente atendidos, não atendidos ou não puderam ser avaliados, em termos agregados.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há diferença relevante entre a evolução agregada dos municípios avaliados em 2023 e das organizações do Poder Executivo estadual avaliadas em 2023.</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Em que medida diferenças metodológicas entre os ciclos limitam a força das conclusões comparativas.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Limitações e cautelas: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questão tem caráter de levantamento e análise longitudinal agregada, não gerando achado individual por organização.</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comparação não deve ser feita questão a questão quando não houver equivalência metodológica suficiente entre os instrumentos de avaliação.</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evolução agregada não autoriza, isoladamente, concluir que todas as organizações evoluíram individualmente.</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regressão agregada não autoriza, isoladamente, concluir descumprimento individual de encaminhamento anterior.</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O atendimento dos encaminhamentos anteriores deve ser analisado conforme o conteúdo de cada encaminhamento, as evidências disponíveis e a compatibilidade com os dados coletados no iGovTI 2026.</w:t>
            </w:r>
          </w:p>
        </w:tc>
      </w:tr>
    </w:tbl>
    <w:p/>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73"/>
        <w:gridCol w:w="10495"/>
      </w:tblGrid>
      <w:tr w:rsidR="00100C4E" w:rsidRPr="00636B72" ns2:paraId="5EC73B82" ns2:textId="77777777">
        <w:tc>
          <w:tcPr>
            <w:tcW w:w="2654"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27086525" ns2:textId="5BC84706" w:rsidR="00551257" w:rsidRPr="00636B72" w:rsidRDefault="004A6075" w:rsidP="006901C9">
            <w:pPr>
              <w:spacing w:line="276" w:lineRule="auto"/>
              <w:rPr>
                <w:rFonts w:ascii="Arial" w:hAnsi="Arial" w:cs="Arial"/>
                <w:b/>
                <w:bCs/>
              </w:rPr>
            </w:pPr>
            <w:r>
              <w:rPr>
                <w:rFonts w:ascii="Arial" w:hAnsi="Arial" w:cs="Arial"/>
              </w:rPr>
              <w:br w:type="page"/>
            </w:r>
            <w:r w:rsidR="00551257" w:rsidRPr="00636B72">
              <w:rPr>
                <w:rFonts w:ascii="Arial" w:hAnsi="Arial" w:cs="Arial"/>
                <w:b/>
                <w:bCs/>
              </w:rPr>
              <w:t>Equipe de Auditoria</w:t>
            </w:r>
          </w:p>
        </w:tc>
        <w:tc>
          <w:tcPr>
            <w:tcW w:w="2346"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081D154F" ns2:textId="77777777" w:rsidR="00551257" w:rsidRPr="00636B72" w:rsidRDefault="00551257" w:rsidP="006901C9">
            <w:pPr>
              <w:spacing w:line="276" w:lineRule="auto"/>
              <w:rPr>
                <w:rFonts w:ascii="Arial" w:hAnsi="Arial" w:cs="Arial"/>
                <w:b/>
                <w:bCs/>
              </w:rPr>
            </w:pPr>
            <w:r w:rsidRPr="00636B72">
              <w:rPr>
                <w:rFonts w:ascii="Arial" w:hAnsi="Arial" w:cs="Arial"/>
                <w:b/>
                <w:bCs/>
              </w:rPr>
              <w:t>Supervisor</w:t>
            </w:r>
          </w:p>
        </w:tc>
      </w:tr>
      <w:tr w:rsidR="00100C4E" w:rsidRPr="00636B72" ns2:paraId="4ADF87AF" ns2:textId="77777777">
        <w:tc>
          <w:tcPr>
            <w:tcW w:w="2654"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1C42D2D4" ns2:textId="44C819D1" w:rsidR="00551257" w:rsidRPr="00636B72" w:rsidRDefault="0010133B" w:rsidP="006901C9">
            <w:pPr>
              <w:spacing w:line="276" w:lineRule="auto"/>
              <w:rPr>
                <w:rFonts w:ascii="Arial" w:hAnsi="Arial" w:cs="Arial"/>
              </w:rPr>
            </w:pPr>
            <w:r>
              <w:rPr>
                <w:rFonts w:ascii="Arial" w:hAnsi="Arial" w:cs="Arial"/>
                <w:color w:val="212529"/>
                <w:shd w:val="clear" w:color="auto" w:fill="FFFFFF"/>
              </w:rPr>
              <w:t>Augusto César Benvenuto de Almeida</w:t>
            </w:r>
            <w:r w:rsidR="00551257" w:rsidRPr="00636B72">
              <w:rPr>
                <w:rFonts w:ascii="Arial" w:hAnsi="Arial" w:cs="Arial"/>
                <w:color w:val="212529"/>
                <w:shd w:val="clear" w:color="auto" w:fill="FFFFFF"/>
              </w:rPr>
              <w:t xml:space="preserve"> - 02/4</w:t>
            </w:r>
            <w:r w:rsidR="00826AD6">
              <w:rPr>
                <w:rFonts w:ascii="Arial" w:hAnsi="Arial" w:cs="Arial"/>
                <w:color w:val="212529"/>
                <w:shd w:val="clear" w:color="auto" w:fill="FFFFFF"/>
              </w:rPr>
              <w:t>823</w:t>
            </w:r>
          </w:p>
        </w:tc>
        <w:tc>
          <w:tcPr>
            <w:tcW w:w="2346"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4A9ED85F" ns2:textId="2B0DC6CF" w:rsidR="00551257" w:rsidRPr="00636B72" w:rsidRDefault="00F50C15" w:rsidP="006901C9">
            <w:pPr>
              <w:spacing w:line="276" w:lineRule="auto"/>
              <w:rPr>
                <w:rFonts w:ascii="Arial" w:hAnsi="Arial" w:cs="Arial"/>
              </w:rPr>
            </w:pPr>
            <w:r>
              <w:rPr>
                <w:rFonts w:ascii="Arial" w:hAnsi="Arial" w:cs="Arial"/>
                <w:lang w:eastAsia="en-US"/>
              </w:rPr>
              <w:t>Bruno Mattos Souza de Souza Melo</w:t>
            </w:r>
            <w:r w:rsidRPr="00636B72">
              <w:rPr>
                <w:rFonts w:ascii="Arial" w:hAnsi="Arial" w:cs="Arial"/>
              </w:rPr>
              <w:t xml:space="preserve"> </w:t>
            </w:r>
            <w:r w:rsidR="00551257" w:rsidRPr="00636B72">
              <w:rPr>
                <w:rFonts w:ascii="Arial" w:hAnsi="Arial" w:cs="Arial"/>
              </w:rPr>
              <w:t>– 02/42</w:t>
            </w:r>
            <w:r w:rsidR="006901C9">
              <w:rPr>
                <w:rFonts w:ascii="Arial" w:hAnsi="Arial" w:cs="Arial"/>
              </w:rPr>
              <w:t>5</w:t>
            </w:r>
            <w:r w:rsidR="00826AD6">
              <w:rPr>
                <w:rFonts w:ascii="Arial" w:hAnsi="Arial" w:cs="Arial"/>
              </w:rPr>
              <w:t>8</w:t>
            </w:r>
          </w:p>
        </w:tc>
      </w:tr>
      <w:tr w:rsidR="00100C4E" w:rsidRPr="00636B72" ns2:paraId="3400A8BC" ns2:textId="77777777">
        <w:tc>
          <w:tcPr>
            <w:tcW w:w="2654"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477C9695" ns2:textId="261A00B8" w:rsidR="006901C9" w:rsidRDefault="00644633" w:rsidP="006901C9">
            <w:pPr>
              <w:spacing w:line="276" w:lineRule="auto"/>
              <w:rPr>
                <w:rFonts w:ascii="Arial" w:hAnsi="Arial" w:cs="Arial"/>
                <w:color w:val="212529"/>
                <w:shd w:val="clear" w:color="auto" w:fill="FFFFFF"/>
              </w:rPr>
            </w:pPr>
            <w:r w:rsidRPr="00644633">
              <w:rPr>
                <w:rFonts w:ascii="Arial" w:hAnsi="Arial" w:cs="Arial"/>
                <w:color w:val="212529"/>
                <w:shd w:val="clear" w:color="auto" w:fill="FFFFFF"/>
              </w:rPr>
              <w:t>Fábio Souza Lima</w:t>
            </w:r>
            <w:r>
              <w:rPr>
                <w:rFonts w:ascii="Arial" w:hAnsi="Arial" w:cs="Arial"/>
                <w:color w:val="212529"/>
                <w:shd w:val="clear" w:color="auto" w:fill="FFFFFF"/>
              </w:rPr>
              <w:t xml:space="preserve"> -</w:t>
            </w:r>
            <w:r w:rsidRPr="00644633">
              <w:rPr>
                <w:rFonts w:ascii="Arial" w:hAnsi="Arial" w:cs="Arial"/>
                <w:color w:val="212529"/>
                <w:shd w:val="clear" w:color="auto" w:fill="FFFFFF"/>
              </w:rPr>
              <w:t xml:space="preserve"> 02/4822</w:t>
            </w:r>
          </w:p>
        </w:tc>
        <w:tc>
          <w:tcPr>
            <w:tcW w:w="2346"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11A9A3E1" ns2:textId="77777777" w:rsidR="006901C9" w:rsidRDefault="006901C9" w:rsidP="006901C9">
            <w:pPr>
              <w:spacing w:line="276" w:lineRule="auto"/>
              <w:rPr>
                <w:rFonts w:ascii="Arial" w:hAnsi="Arial" w:cs="Arial"/>
                <w:lang w:eastAsia="en-US"/>
              </w:rPr>
            </w:pPr>
          </w:p>
        </w:tc>
      </w:tr>
      <w:tr w:rsidR="00100C4E" w:rsidRPr="00636B72" ns2:paraId="5A67714F" ns2:textId="77777777">
        <w:tc>
          <w:tcPr>
            <w:tcW w:w="2654"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7C650FE0" ns2:textId="156A8C0C" w:rsidR="00551257" w:rsidRPr="00636B72" w:rsidRDefault="00826AD6" w:rsidP="006901C9">
            <w:pPr>
              <w:spacing w:line="276" w:lineRule="auto"/>
              <w:rPr>
                <w:rFonts w:ascii="Arial" w:hAnsi="Arial" w:cs="Arial"/>
              </w:rPr>
            </w:pPr>
            <w:r>
              <w:rPr>
                <w:rFonts w:ascii="Arial" w:hAnsi="Arial" w:cs="Arial"/>
              </w:rPr>
              <w:t xml:space="preserve">João Paulo </w:t>
            </w:r>
            <w:r w:rsidR="00644633">
              <w:rPr>
                <w:rFonts w:ascii="Arial" w:hAnsi="Arial" w:cs="Arial"/>
              </w:rPr>
              <w:t xml:space="preserve">de </w:t>
            </w:r>
            <w:r>
              <w:rPr>
                <w:rFonts w:ascii="Arial" w:hAnsi="Arial" w:cs="Arial"/>
              </w:rPr>
              <w:t>Freitas Ramirez</w:t>
            </w:r>
            <w:r w:rsidR="00551257" w:rsidRPr="00636B72">
              <w:rPr>
                <w:rFonts w:ascii="Arial" w:hAnsi="Arial" w:cs="Arial"/>
              </w:rPr>
              <w:t xml:space="preserve"> - 02/482</w:t>
            </w:r>
            <w:r>
              <w:rPr>
                <w:rFonts w:ascii="Arial" w:hAnsi="Arial" w:cs="Arial"/>
              </w:rPr>
              <w:t>0</w:t>
            </w:r>
          </w:p>
        </w:tc>
        <w:tc>
          <w:tcPr>
            <w:tcW w:w="2346"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4C1EF345" ns2:textId="77777777" w:rsidR="00551257" w:rsidRPr="00636B72" w:rsidRDefault="00551257" w:rsidP="006901C9">
            <w:pPr>
              <w:spacing w:line="276" w:lineRule="auto"/>
              <w:rPr>
                <w:rFonts w:ascii="Arial" w:hAnsi="Arial" w:cs="Arial"/>
              </w:rPr>
            </w:pPr>
          </w:p>
        </w:tc>
      </w:tr>
    </w:tbl>
    <w:sectPr w:rsidR="00790940" w:rsidRPr="00636B72" w:rsidSect="00E0568D">
      <w:headerReference w:type="default" r:id="rId31"/>
      <w:pgSz w:w="23808" w:h="16840" w:orient="landscape" w:code="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8211D" w14:textId="77777777" w:rsidR="004822D5" w:rsidRDefault="004822D5" w:rsidP="00E1739A">
      <w:r>
        <w:separator/>
      </w:r>
    </w:p>
  </w:endnote>
  <w:endnote w:type="continuationSeparator" w:id="0">
    <w:p w14:paraId="3475EB2F" w14:textId="77777777" w:rsidR="004822D5" w:rsidRDefault="004822D5" w:rsidP="00E1739A">
      <w:r>
        <w:continuationSeparator/>
      </w:r>
    </w:p>
  </w:endnote>
  <w:endnote w:type="continuationNotice" w:id="1">
    <w:p w14:paraId="7A504E6D" w14:textId="77777777" w:rsidR="004822D5" w:rsidRDefault="004822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B9FD3" w14:textId="77777777" w:rsidR="004822D5" w:rsidRDefault="004822D5" w:rsidP="00E1739A">
      <w:r>
        <w:separator/>
      </w:r>
    </w:p>
  </w:footnote>
  <w:footnote w:type="continuationSeparator" w:id="0">
    <w:p w14:paraId="3DE19FB1" w14:textId="77777777" w:rsidR="004822D5" w:rsidRDefault="004822D5" w:rsidP="00E1739A">
      <w:r>
        <w:continuationSeparator/>
      </w:r>
    </w:p>
  </w:footnote>
  <w:footnote w:type="continuationNotice" w:id="1">
    <w:p w14:paraId="16EFF2DF" w14:textId="77777777" w:rsidR="004822D5" w:rsidRDefault="004822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22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093"/>
      <w:gridCol w:w="13466"/>
    </w:tblGrid>
    <w:tr w:rsidR="00476021" w14:paraId="260A0D9D" w14:textId="77777777" w:rsidTr="00164EE8">
      <w:tc>
        <w:tcPr>
          <w:tcW w:w="1838" w:type="dxa"/>
        </w:tcPr>
        <w:p w14:paraId="4885B09B" w14:textId="42238352" w:rsidR="009036F0" w:rsidRDefault="009036F0" w:rsidP="009036F0">
          <w:pPr>
            <w:pStyle w:val="Ttulo"/>
            <w:spacing w:before="0"/>
            <w:ind w:left="0"/>
          </w:pPr>
          <w:r>
            <w:rPr>
              <w:noProof/>
            </w:rPr>
            <w:drawing>
              <wp:anchor distT="0" distB="0" distL="114300" distR="114300" simplePos="0" relativeHeight="251658240" behindDoc="0" locked="0" layoutInCell="1" allowOverlap="1" wp14:anchorId="6771BF46" wp14:editId="0782D34F">
                <wp:simplePos x="0" y="0"/>
                <wp:positionH relativeFrom="column">
                  <wp:posOffset>181637</wp:posOffset>
                </wp:positionH>
                <wp:positionV relativeFrom="paragraph">
                  <wp:posOffset>4815</wp:posOffset>
                </wp:positionV>
                <wp:extent cx="903478" cy="381468"/>
                <wp:effectExtent l="0" t="0" r="0" b="0"/>
                <wp:wrapNone/>
                <wp:docPr id="954985232" name="Picture 95498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horizontal-colorida-para_fundo_branc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30644" cy="392938"/>
                        </a:xfrm>
                        <a:prstGeom prst="rect">
                          <a:avLst/>
                        </a:prstGeom>
                      </pic:spPr>
                    </pic:pic>
                  </a:graphicData>
                </a:graphic>
                <wp14:sizeRelH relativeFrom="page">
                  <wp14:pctWidth>0</wp14:pctWidth>
                </wp14:sizeRelH>
                <wp14:sizeRelV relativeFrom="page">
                  <wp14:pctHeight>0</wp14:pctHeight>
                </wp14:sizeRelV>
              </wp:anchor>
            </w:drawing>
          </w:r>
        </w:p>
      </w:tc>
      <w:tc>
        <w:tcPr>
          <w:tcW w:w="7093" w:type="dxa"/>
        </w:tcPr>
        <w:p w14:paraId="7692314E" w14:textId="7732243A" w:rsidR="009036F0" w:rsidRPr="003C6BC3" w:rsidRDefault="009036F0" w:rsidP="003C6BC3">
          <w:pPr>
            <w:pStyle w:val="Cabealho"/>
            <w:rPr>
              <w:rFonts w:ascii="Arial" w:hAnsi="Arial" w:cs="Arial"/>
              <w:sz w:val="16"/>
              <w:szCs w:val="16"/>
            </w:rPr>
          </w:pPr>
          <w:r w:rsidRPr="003C6BC3">
            <w:rPr>
              <w:rFonts w:ascii="Arial" w:hAnsi="Arial" w:cs="Arial"/>
              <w:sz w:val="16"/>
              <w:szCs w:val="16"/>
            </w:rPr>
            <w:t>SECRETARIA-GERAL</w:t>
          </w:r>
          <w:r w:rsidRPr="003C6BC3">
            <w:rPr>
              <w:rFonts w:ascii="Arial" w:hAnsi="Arial" w:cs="Arial"/>
              <w:spacing w:val="-2"/>
              <w:sz w:val="16"/>
              <w:szCs w:val="16"/>
            </w:rPr>
            <w:t xml:space="preserve"> </w:t>
          </w:r>
          <w:r w:rsidRPr="003C6BC3">
            <w:rPr>
              <w:rFonts w:ascii="Arial" w:hAnsi="Arial" w:cs="Arial"/>
              <w:sz w:val="16"/>
              <w:szCs w:val="16"/>
            </w:rPr>
            <w:t>DE</w:t>
          </w:r>
          <w:r w:rsidRPr="003C6BC3">
            <w:rPr>
              <w:rFonts w:ascii="Arial" w:hAnsi="Arial" w:cs="Arial"/>
              <w:spacing w:val="-1"/>
              <w:sz w:val="16"/>
              <w:szCs w:val="16"/>
            </w:rPr>
            <w:t xml:space="preserve"> </w:t>
          </w:r>
          <w:r w:rsidRPr="003C6BC3">
            <w:rPr>
              <w:rFonts w:ascii="Arial" w:hAnsi="Arial" w:cs="Arial"/>
              <w:sz w:val="16"/>
              <w:szCs w:val="16"/>
            </w:rPr>
            <w:t>CONTROLE</w:t>
          </w:r>
          <w:r w:rsidRPr="003C6BC3">
            <w:rPr>
              <w:rFonts w:ascii="Arial" w:hAnsi="Arial" w:cs="Arial"/>
              <w:spacing w:val="-1"/>
              <w:sz w:val="16"/>
              <w:szCs w:val="16"/>
            </w:rPr>
            <w:t xml:space="preserve"> </w:t>
          </w:r>
          <w:r w:rsidRPr="003C6BC3">
            <w:rPr>
              <w:rFonts w:ascii="Arial" w:hAnsi="Arial" w:cs="Arial"/>
              <w:sz w:val="16"/>
              <w:szCs w:val="16"/>
            </w:rPr>
            <w:t>EXTERNO</w:t>
          </w:r>
        </w:p>
        <w:p w14:paraId="617A7E23" w14:textId="59A4ABCC" w:rsidR="009036F0" w:rsidRPr="003C6BC3" w:rsidRDefault="009036F0" w:rsidP="003C6BC3">
          <w:pPr>
            <w:pStyle w:val="Ttulo"/>
            <w:tabs>
              <w:tab w:val="left" w:pos="6105"/>
            </w:tabs>
            <w:spacing w:before="0"/>
            <w:ind w:left="0"/>
            <w:jc w:val="left"/>
            <w:rPr>
              <w:rFonts w:eastAsia="Arial MT"/>
              <w:b w:val="0"/>
              <w:bCs w:val="0"/>
              <w:sz w:val="16"/>
              <w:szCs w:val="16"/>
            </w:rPr>
          </w:pPr>
          <w:r w:rsidRPr="003C6BC3">
            <w:rPr>
              <w:rFonts w:eastAsia="Arial MT"/>
              <w:b w:val="0"/>
              <w:bCs w:val="0"/>
              <w:sz w:val="16"/>
              <w:szCs w:val="16"/>
            </w:rPr>
            <w:t>SUBSECRETARIA DE CONTROLE DE POLÍTICAS DE CIDADANIA</w:t>
          </w:r>
        </w:p>
        <w:p w14:paraId="4BD4FB4E" w14:textId="3216BC59" w:rsidR="009036F0" w:rsidRPr="003C6BC3" w:rsidRDefault="009036F0" w:rsidP="003C6BC3">
          <w:pPr>
            <w:pStyle w:val="Ttulo"/>
            <w:spacing w:before="0"/>
            <w:ind w:left="0"/>
            <w:jc w:val="left"/>
            <w:rPr>
              <w:sz w:val="16"/>
              <w:szCs w:val="16"/>
            </w:rPr>
          </w:pPr>
          <w:r w:rsidRPr="003C6BC3">
            <w:rPr>
              <w:rFonts w:eastAsia="Arial MT"/>
              <w:b w:val="0"/>
              <w:bCs w:val="0"/>
              <w:sz w:val="16"/>
              <w:szCs w:val="16"/>
            </w:rPr>
            <w:t>COORDENADORIA DE AUDITORIA DE POLÍTICAS EM TECNOLOGIA DA INFORMAÇÃO</w:t>
          </w:r>
        </w:p>
      </w:tc>
      <w:tc>
        <w:tcPr>
          <w:tcW w:w="13466" w:type="dxa"/>
        </w:tcPr>
        <w:p w14:paraId="17267BE2" w14:textId="617A7088" w:rsidR="00D62CE9" w:rsidRPr="00F25234" w:rsidRDefault="00D62CE9" w:rsidP="00F42298">
          <w:pPr>
            <w:tabs>
              <w:tab w:val="right" w:pos="14034"/>
            </w:tabs>
            <w:autoSpaceDE w:val="0"/>
            <w:autoSpaceDN w:val="0"/>
            <w:adjustRightInd w:val="0"/>
            <w:spacing w:after="120"/>
            <w:ind w:left="-386" w:firstLine="386"/>
            <w:rPr>
              <w:rFonts w:ascii="Arial" w:hAnsi="Arial" w:cs="Arial"/>
              <w:sz w:val="18"/>
              <w:szCs w:val="18"/>
            </w:rPr>
          </w:pPr>
          <w:r w:rsidRPr="00F25234">
            <w:rPr>
              <w:rFonts w:ascii="Arial" w:hAnsi="Arial" w:cs="Arial"/>
              <w:b/>
              <w:bCs/>
              <w:sz w:val="18"/>
              <w:szCs w:val="18"/>
            </w:rPr>
            <w:t>FISCALIZAÇÃO</w:t>
          </w:r>
          <w:r w:rsidRPr="00F25234">
            <w:rPr>
              <w:rFonts w:ascii="Arial" w:hAnsi="Arial" w:cs="Arial"/>
              <w:sz w:val="18"/>
              <w:szCs w:val="18"/>
            </w:rPr>
            <w:t>: 1</w:t>
          </w:r>
          <w:r w:rsidR="009E60F6">
            <w:rPr>
              <w:rFonts w:ascii="Arial" w:hAnsi="Arial" w:cs="Arial"/>
              <w:sz w:val="18"/>
              <w:szCs w:val="18"/>
            </w:rPr>
            <w:t>8</w:t>
          </w:r>
          <w:r w:rsidRPr="00F25234">
            <w:rPr>
              <w:rFonts w:ascii="Arial" w:hAnsi="Arial" w:cs="Arial"/>
              <w:sz w:val="18"/>
              <w:szCs w:val="18"/>
            </w:rPr>
            <w:t>/202</w:t>
          </w:r>
          <w:r w:rsidR="009E60F6">
            <w:rPr>
              <w:rFonts w:ascii="Arial" w:hAnsi="Arial" w:cs="Arial"/>
              <w:sz w:val="18"/>
              <w:szCs w:val="18"/>
            </w:rPr>
            <w:t>6</w:t>
          </w:r>
        </w:p>
        <w:p w14:paraId="3A6B45F9" w14:textId="6FCBAC11" w:rsidR="00D62CE9" w:rsidRPr="00F25234" w:rsidRDefault="00D62CE9" w:rsidP="00D62CE9">
          <w:pPr>
            <w:autoSpaceDE w:val="0"/>
            <w:autoSpaceDN w:val="0"/>
            <w:adjustRightInd w:val="0"/>
            <w:spacing w:after="120"/>
            <w:jc w:val="both"/>
            <w:rPr>
              <w:rFonts w:ascii="Arial" w:hAnsi="Arial" w:cs="Arial"/>
              <w:sz w:val="18"/>
              <w:szCs w:val="18"/>
            </w:rPr>
          </w:pPr>
          <w:r w:rsidRPr="00F25234">
            <w:rPr>
              <w:rFonts w:ascii="Arial" w:hAnsi="Arial" w:cs="Arial"/>
              <w:b/>
              <w:bCs/>
              <w:sz w:val="18"/>
              <w:szCs w:val="18"/>
            </w:rPr>
            <w:t>JURISDICIONADOS</w:t>
          </w:r>
          <w:r w:rsidRPr="00F25234">
            <w:rPr>
              <w:rFonts w:ascii="Arial" w:hAnsi="Arial" w:cs="Arial"/>
              <w:sz w:val="18"/>
              <w:szCs w:val="18"/>
            </w:rPr>
            <w:t xml:space="preserve">: </w:t>
          </w:r>
          <w:r w:rsidR="001A6023" w:rsidRPr="001A6023">
            <w:rPr>
              <w:rFonts w:ascii="Arial" w:hAnsi="Arial" w:cs="Arial"/>
              <w:sz w:val="18"/>
              <w:szCs w:val="18"/>
            </w:rPr>
            <w:t>AGENERSA, AGERIO, AGETRANSP, CASERJ, CEASA, CECIERJ, CEDAE, CEHAB, CENTRAL, CEPERJ, CODERTE, CODIN, CGE, DEGASE, DERRJ, DETRAN, DETRO, DPGE, DRM, EMATER, EMOP, FAETEC, FAPERJ, FCFB, FIA, FIPERJ, FLXIII, FMIS, FS, FSC, FTM, FUNARJ, GSI, IASERJ, IEEA, INEA, INEPAC, IRM, IO, IPEM, ITERJ, IVB, JUCERJA, LOTERJ, MPE, PESAGRO, PGE, PMAR, PMA, PMAB, PMAC, PMBP, PMBR, PMCF, PMCG, PMCA, PMDC, PMG, PMI, PMJ, PMM, PMM, PMM, PMM, PMN, PMNF, PMNI, PMP, PMP, PMPR, PMQ, PMQ, PMQ, PMRO, PMSJB, PMSJM, PMSPA, PMS, PMS, PMSG, PMT, PMVR, PROCON, PRODERJ, RIOTRILHOS, RJ PREV, SEAP, SEAPA, SECTI, SECEC, SECC, SECID, SEDEC, SEDCON, SEDEICS, SEDSODH, SEEDUC, SEENEMAR, SEENVS, SEELJE, SEFAZ, SEGG, SEGOV, SEHIS, SEIOP, SEPLAG, SEPOL, SEPM, SES, SETD, SETRANS, SETUR, SUDERJ, TCE, TJERJ, TURISRIO, UENF, UERJ, UEZO</w:t>
          </w:r>
          <w:r w:rsidRPr="00F25234">
            <w:rPr>
              <w:rFonts w:ascii="Arial" w:hAnsi="Arial" w:cs="Arial"/>
              <w:sz w:val="16"/>
              <w:szCs w:val="16"/>
            </w:rPr>
            <w:t>.</w:t>
          </w:r>
        </w:p>
        <w:p w14:paraId="44B9C6BD" w14:textId="61CE63E0" w:rsidR="009036F0" w:rsidRPr="003C6BC3" w:rsidRDefault="00D62CE9" w:rsidP="00D62CE9">
          <w:pPr>
            <w:pStyle w:val="Corpodetexto"/>
            <w:spacing w:after="120"/>
            <w:rPr>
              <w:rFonts w:ascii="Arial" w:hAnsi="Arial" w:cs="Arial"/>
            </w:rPr>
          </w:pPr>
          <w:r w:rsidRPr="00F25234">
            <w:rPr>
              <w:rFonts w:ascii="Arial" w:hAnsi="Arial" w:cs="Arial"/>
              <w:b/>
              <w:bCs/>
              <w:sz w:val="18"/>
              <w:szCs w:val="18"/>
            </w:rPr>
            <w:t>OBJETIVO DA AUDITORIA</w:t>
          </w:r>
          <w:r w:rsidRPr="00F25234">
            <w:rPr>
              <w:rFonts w:ascii="Arial" w:hAnsi="Arial" w:cs="Arial"/>
              <w:sz w:val="18"/>
              <w:szCs w:val="18"/>
            </w:rPr>
            <w:t xml:space="preserve">: </w:t>
          </w:r>
          <w:r w:rsidR="009E6A50" w:rsidRPr="009E6A50">
            <w:rPr>
              <w:rFonts w:ascii="Arial" w:hAnsi="Arial" w:cs="Arial"/>
              <w:sz w:val="18"/>
              <w:szCs w:val="18"/>
            </w:rPr>
            <w:t>Avaliar o grau de maturidade e a conformidade das práticas de governança e gestão de Tecnologia da Informação e Comunicação (TIC) adotadas pelos jurisdicionados, identificando evoluções em relação ao ciclo de 2023 e induzindo a adoção de boas práticas internacionais</w:t>
          </w:r>
          <w:r w:rsidRPr="00F25234">
            <w:rPr>
              <w:rFonts w:ascii="Arial" w:hAnsi="Arial" w:cs="Arial"/>
              <w:sz w:val="18"/>
              <w:szCs w:val="18"/>
            </w:rPr>
            <w:t>.</w:t>
          </w:r>
        </w:p>
      </w:tc>
    </w:tr>
  </w:tbl>
  <w:p w14:paraId="3AB268CB" w14:textId="77777777" w:rsidR="0041253F" w:rsidRPr="0041253F" w:rsidRDefault="0041253F" w:rsidP="00ED5C0C">
    <w:pPr>
      <w:jc w:val="center"/>
      <w:rPr>
        <w:bCs/>
        <w:sz w:val="12"/>
        <w:szCs w:val="12"/>
      </w:rPr>
    </w:pPr>
  </w:p>
  <w:p w14:paraId="10951264" w14:textId="77777777" w:rsidR="000A68D2" w:rsidRPr="000A68D2" w:rsidRDefault="000A68D2" w:rsidP="009036F0">
    <w:pPr>
      <w:pStyle w:val="Cabealh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245D"/>
    <w:multiLevelType w:val="hybridMultilevel"/>
    <w:tmpl w:val="0EC850A0"/>
    <w:lvl w:ilvl="0" w:tplc="04160001">
      <w:start w:val="1"/>
      <w:numFmt w:val="bullet"/>
      <w:lvlText w:val=""/>
      <w:lvlJc w:val="left"/>
      <w:pPr>
        <w:ind w:left="720" w:hanging="360"/>
      </w:pPr>
      <w:rPr>
        <w:rFonts w:ascii="Symbol" w:hAnsi="Symbol"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0FF0906"/>
    <w:multiLevelType w:val="hybridMultilevel"/>
    <w:tmpl w:val="A6D832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4CD1382"/>
    <w:multiLevelType w:val="hybridMultilevel"/>
    <w:tmpl w:val="221E19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D831BD"/>
    <w:multiLevelType w:val="hybridMultilevel"/>
    <w:tmpl w:val="56B6D9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98136D"/>
    <w:multiLevelType w:val="hybridMultilevel"/>
    <w:tmpl w:val="5DE0F044"/>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BE16D3"/>
    <w:multiLevelType w:val="hybridMultilevel"/>
    <w:tmpl w:val="AAE224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78F57FC"/>
    <w:multiLevelType w:val="hybridMultilevel"/>
    <w:tmpl w:val="56B6D9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D4027FB"/>
    <w:multiLevelType w:val="hybridMultilevel"/>
    <w:tmpl w:val="12E8A7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2F56DB6"/>
    <w:multiLevelType w:val="hybridMultilevel"/>
    <w:tmpl w:val="3BF80A9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76AC7162"/>
    <w:multiLevelType w:val="hybridMultilevel"/>
    <w:tmpl w:val="C58040D0"/>
    <w:lvl w:ilvl="0" w:tplc="B4BAB86E">
      <w:start w:val="1"/>
      <w:numFmt w:val="decimal"/>
      <w:lvlText w:val="C%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E4D28B5"/>
    <w:multiLevelType w:val="hybridMultilevel"/>
    <w:tmpl w:val="C25004F8"/>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F385108"/>
    <w:multiLevelType w:val="hybridMultilevel"/>
    <w:tmpl w:val="BD8C24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55688378">
    <w:abstractNumId w:val="1"/>
  </w:num>
  <w:num w:numId="2" w16cid:durableId="1802962893">
    <w:abstractNumId w:val="11"/>
  </w:num>
  <w:num w:numId="3" w16cid:durableId="828132850">
    <w:abstractNumId w:val="10"/>
  </w:num>
  <w:num w:numId="4" w16cid:durableId="1057122054">
    <w:abstractNumId w:val="0"/>
  </w:num>
  <w:num w:numId="5" w16cid:durableId="56782156">
    <w:abstractNumId w:val="7"/>
  </w:num>
  <w:num w:numId="6" w16cid:durableId="1705597396">
    <w:abstractNumId w:val="3"/>
  </w:num>
  <w:num w:numId="7" w16cid:durableId="462815941">
    <w:abstractNumId w:val="6"/>
  </w:num>
  <w:num w:numId="8" w16cid:durableId="1116830289">
    <w:abstractNumId w:val="5"/>
  </w:num>
  <w:num w:numId="9" w16cid:durableId="1940595995">
    <w:abstractNumId w:val="4"/>
  </w:num>
  <w:num w:numId="10" w16cid:durableId="557208518">
    <w:abstractNumId w:val="2"/>
  </w:num>
  <w:num w:numId="11" w16cid:durableId="2032679892">
    <w:abstractNumId w:val="8"/>
  </w:num>
  <w:num w:numId="12" w16cid:durableId="1557938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9A"/>
    <w:rsid w:val="00000009"/>
    <w:rsid w:val="000009DD"/>
    <w:rsid w:val="00001C78"/>
    <w:rsid w:val="00002542"/>
    <w:rsid w:val="00002785"/>
    <w:rsid w:val="00002F98"/>
    <w:rsid w:val="00003A1C"/>
    <w:rsid w:val="00003BA1"/>
    <w:rsid w:val="00003CA5"/>
    <w:rsid w:val="0000415B"/>
    <w:rsid w:val="00005867"/>
    <w:rsid w:val="00005909"/>
    <w:rsid w:val="00005E5B"/>
    <w:rsid w:val="00005FC6"/>
    <w:rsid w:val="000070A6"/>
    <w:rsid w:val="000071E2"/>
    <w:rsid w:val="00007D3E"/>
    <w:rsid w:val="00007D68"/>
    <w:rsid w:val="0001093D"/>
    <w:rsid w:val="00010B84"/>
    <w:rsid w:val="00010B94"/>
    <w:rsid w:val="00010F94"/>
    <w:rsid w:val="00011064"/>
    <w:rsid w:val="00011793"/>
    <w:rsid w:val="00011A33"/>
    <w:rsid w:val="00011B33"/>
    <w:rsid w:val="00011F5F"/>
    <w:rsid w:val="00012102"/>
    <w:rsid w:val="00013547"/>
    <w:rsid w:val="000137FD"/>
    <w:rsid w:val="00014894"/>
    <w:rsid w:val="0001504C"/>
    <w:rsid w:val="00015A9E"/>
    <w:rsid w:val="00016143"/>
    <w:rsid w:val="0001648E"/>
    <w:rsid w:val="00017401"/>
    <w:rsid w:val="0001764B"/>
    <w:rsid w:val="00020202"/>
    <w:rsid w:val="0002081B"/>
    <w:rsid w:val="000230D8"/>
    <w:rsid w:val="00023BC3"/>
    <w:rsid w:val="00024774"/>
    <w:rsid w:val="00024FD9"/>
    <w:rsid w:val="0002518A"/>
    <w:rsid w:val="0002538F"/>
    <w:rsid w:val="00025A8F"/>
    <w:rsid w:val="00025EA0"/>
    <w:rsid w:val="0002600B"/>
    <w:rsid w:val="000269EB"/>
    <w:rsid w:val="00026BC5"/>
    <w:rsid w:val="00027AB9"/>
    <w:rsid w:val="000308EA"/>
    <w:rsid w:val="000310C3"/>
    <w:rsid w:val="000315A3"/>
    <w:rsid w:val="00031B7B"/>
    <w:rsid w:val="00033072"/>
    <w:rsid w:val="000335BC"/>
    <w:rsid w:val="00033E16"/>
    <w:rsid w:val="00033FC1"/>
    <w:rsid w:val="0003409C"/>
    <w:rsid w:val="00034D38"/>
    <w:rsid w:val="00036758"/>
    <w:rsid w:val="00036A32"/>
    <w:rsid w:val="00036B64"/>
    <w:rsid w:val="00037B57"/>
    <w:rsid w:val="00037F47"/>
    <w:rsid w:val="000406B0"/>
    <w:rsid w:val="00040832"/>
    <w:rsid w:val="00040A57"/>
    <w:rsid w:val="00040F90"/>
    <w:rsid w:val="0004101E"/>
    <w:rsid w:val="0004134E"/>
    <w:rsid w:val="0004144D"/>
    <w:rsid w:val="00041D78"/>
    <w:rsid w:val="00041FBD"/>
    <w:rsid w:val="00042B16"/>
    <w:rsid w:val="000434B2"/>
    <w:rsid w:val="00043A06"/>
    <w:rsid w:val="0004477A"/>
    <w:rsid w:val="0004543E"/>
    <w:rsid w:val="00045966"/>
    <w:rsid w:val="00045D00"/>
    <w:rsid w:val="00046FF2"/>
    <w:rsid w:val="0005089E"/>
    <w:rsid w:val="00050ACE"/>
    <w:rsid w:val="00051731"/>
    <w:rsid w:val="00051DBA"/>
    <w:rsid w:val="00052375"/>
    <w:rsid w:val="0005249E"/>
    <w:rsid w:val="00052B40"/>
    <w:rsid w:val="00052B98"/>
    <w:rsid w:val="0005310A"/>
    <w:rsid w:val="000533C5"/>
    <w:rsid w:val="00053C0D"/>
    <w:rsid w:val="00056E0B"/>
    <w:rsid w:val="0005798B"/>
    <w:rsid w:val="00060D42"/>
    <w:rsid w:val="000610EF"/>
    <w:rsid w:val="0006135D"/>
    <w:rsid w:val="0006169D"/>
    <w:rsid w:val="00061BA6"/>
    <w:rsid w:val="0006306A"/>
    <w:rsid w:val="000632A7"/>
    <w:rsid w:val="00063707"/>
    <w:rsid w:val="00064637"/>
    <w:rsid w:val="000650FA"/>
    <w:rsid w:val="000651FB"/>
    <w:rsid w:val="00065428"/>
    <w:rsid w:val="00065DF2"/>
    <w:rsid w:val="00066E80"/>
    <w:rsid w:val="00067795"/>
    <w:rsid w:val="000678A3"/>
    <w:rsid w:val="00067933"/>
    <w:rsid w:val="00072225"/>
    <w:rsid w:val="0007378B"/>
    <w:rsid w:val="00073EDB"/>
    <w:rsid w:val="000743D7"/>
    <w:rsid w:val="00074E65"/>
    <w:rsid w:val="00075AE5"/>
    <w:rsid w:val="000761FF"/>
    <w:rsid w:val="00076244"/>
    <w:rsid w:val="00077113"/>
    <w:rsid w:val="0007781D"/>
    <w:rsid w:val="00077F74"/>
    <w:rsid w:val="000800E0"/>
    <w:rsid w:val="00080F6C"/>
    <w:rsid w:val="00082523"/>
    <w:rsid w:val="0008253A"/>
    <w:rsid w:val="000825D5"/>
    <w:rsid w:val="00083207"/>
    <w:rsid w:val="00083597"/>
    <w:rsid w:val="00083A63"/>
    <w:rsid w:val="00083BAE"/>
    <w:rsid w:val="00084D33"/>
    <w:rsid w:val="00085B13"/>
    <w:rsid w:val="000860A1"/>
    <w:rsid w:val="00086B7F"/>
    <w:rsid w:val="0008706D"/>
    <w:rsid w:val="000909F2"/>
    <w:rsid w:val="00091F06"/>
    <w:rsid w:val="000925E6"/>
    <w:rsid w:val="000927A3"/>
    <w:rsid w:val="00092D66"/>
    <w:rsid w:val="00094067"/>
    <w:rsid w:val="0009439B"/>
    <w:rsid w:val="00094BCE"/>
    <w:rsid w:val="00096DEF"/>
    <w:rsid w:val="00097268"/>
    <w:rsid w:val="000A0C75"/>
    <w:rsid w:val="000A10D3"/>
    <w:rsid w:val="000A1729"/>
    <w:rsid w:val="000A1792"/>
    <w:rsid w:val="000A2B23"/>
    <w:rsid w:val="000A2B4E"/>
    <w:rsid w:val="000A33AE"/>
    <w:rsid w:val="000A36B1"/>
    <w:rsid w:val="000A3C50"/>
    <w:rsid w:val="000A3F5F"/>
    <w:rsid w:val="000A588A"/>
    <w:rsid w:val="000A624A"/>
    <w:rsid w:val="000A6618"/>
    <w:rsid w:val="000A68D2"/>
    <w:rsid w:val="000B04FA"/>
    <w:rsid w:val="000B09C5"/>
    <w:rsid w:val="000B0D68"/>
    <w:rsid w:val="000B0FAE"/>
    <w:rsid w:val="000B1794"/>
    <w:rsid w:val="000B2BE1"/>
    <w:rsid w:val="000B425C"/>
    <w:rsid w:val="000B4649"/>
    <w:rsid w:val="000B4E5B"/>
    <w:rsid w:val="000B4EB7"/>
    <w:rsid w:val="000B53C5"/>
    <w:rsid w:val="000B53C8"/>
    <w:rsid w:val="000B56A3"/>
    <w:rsid w:val="000B5E73"/>
    <w:rsid w:val="000B6819"/>
    <w:rsid w:val="000B7A3F"/>
    <w:rsid w:val="000C2252"/>
    <w:rsid w:val="000C23CC"/>
    <w:rsid w:val="000C2C67"/>
    <w:rsid w:val="000C34AA"/>
    <w:rsid w:val="000C468B"/>
    <w:rsid w:val="000C675A"/>
    <w:rsid w:val="000C67D5"/>
    <w:rsid w:val="000C693D"/>
    <w:rsid w:val="000C700D"/>
    <w:rsid w:val="000C7881"/>
    <w:rsid w:val="000D0A9A"/>
    <w:rsid w:val="000D1AE6"/>
    <w:rsid w:val="000D1EA8"/>
    <w:rsid w:val="000D3D36"/>
    <w:rsid w:val="000D4C1D"/>
    <w:rsid w:val="000D5743"/>
    <w:rsid w:val="000D5EB4"/>
    <w:rsid w:val="000D6BF7"/>
    <w:rsid w:val="000D6E72"/>
    <w:rsid w:val="000E00EC"/>
    <w:rsid w:val="000E0978"/>
    <w:rsid w:val="000E0B92"/>
    <w:rsid w:val="000E0BAF"/>
    <w:rsid w:val="000E244A"/>
    <w:rsid w:val="000E2C23"/>
    <w:rsid w:val="000E2CDE"/>
    <w:rsid w:val="000E3C38"/>
    <w:rsid w:val="000E4775"/>
    <w:rsid w:val="000E516E"/>
    <w:rsid w:val="000E56CB"/>
    <w:rsid w:val="000E5E8E"/>
    <w:rsid w:val="000E6420"/>
    <w:rsid w:val="000E6A95"/>
    <w:rsid w:val="000E6E19"/>
    <w:rsid w:val="000E78D6"/>
    <w:rsid w:val="000F02D3"/>
    <w:rsid w:val="000F05D8"/>
    <w:rsid w:val="000F0DB0"/>
    <w:rsid w:val="000F0EB9"/>
    <w:rsid w:val="000F1445"/>
    <w:rsid w:val="000F2FA3"/>
    <w:rsid w:val="000F4DC8"/>
    <w:rsid w:val="000F571A"/>
    <w:rsid w:val="000F5727"/>
    <w:rsid w:val="000F6298"/>
    <w:rsid w:val="000F640C"/>
    <w:rsid w:val="000F655B"/>
    <w:rsid w:val="000F6A18"/>
    <w:rsid w:val="000F7859"/>
    <w:rsid w:val="00100C4E"/>
    <w:rsid w:val="00101170"/>
    <w:rsid w:val="0010133B"/>
    <w:rsid w:val="00101D07"/>
    <w:rsid w:val="00101E48"/>
    <w:rsid w:val="00102037"/>
    <w:rsid w:val="0010281A"/>
    <w:rsid w:val="00102A7D"/>
    <w:rsid w:val="001031D7"/>
    <w:rsid w:val="00103423"/>
    <w:rsid w:val="00104322"/>
    <w:rsid w:val="00104BD4"/>
    <w:rsid w:val="00106398"/>
    <w:rsid w:val="00106582"/>
    <w:rsid w:val="00106AF2"/>
    <w:rsid w:val="0011017D"/>
    <w:rsid w:val="00111BB7"/>
    <w:rsid w:val="00112CF1"/>
    <w:rsid w:val="00112F81"/>
    <w:rsid w:val="00113F4A"/>
    <w:rsid w:val="001146A5"/>
    <w:rsid w:val="00114C51"/>
    <w:rsid w:val="00115B90"/>
    <w:rsid w:val="001163B0"/>
    <w:rsid w:val="001165A8"/>
    <w:rsid w:val="00117235"/>
    <w:rsid w:val="001173F3"/>
    <w:rsid w:val="001176B6"/>
    <w:rsid w:val="00120BF1"/>
    <w:rsid w:val="001211CB"/>
    <w:rsid w:val="00121282"/>
    <w:rsid w:val="001212B0"/>
    <w:rsid w:val="001216C5"/>
    <w:rsid w:val="00121DC0"/>
    <w:rsid w:val="001220FE"/>
    <w:rsid w:val="00122A8D"/>
    <w:rsid w:val="00124F1F"/>
    <w:rsid w:val="00125383"/>
    <w:rsid w:val="00127435"/>
    <w:rsid w:val="00131949"/>
    <w:rsid w:val="00131A78"/>
    <w:rsid w:val="00133F35"/>
    <w:rsid w:val="00134847"/>
    <w:rsid w:val="00134ED7"/>
    <w:rsid w:val="00134F8C"/>
    <w:rsid w:val="001357E9"/>
    <w:rsid w:val="0013597B"/>
    <w:rsid w:val="00135A71"/>
    <w:rsid w:val="0013614A"/>
    <w:rsid w:val="0013624B"/>
    <w:rsid w:val="00136487"/>
    <w:rsid w:val="0013661E"/>
    <w:rsid w:val="0013674C"/>
    <w:rsid w:val="00136C81"/>
    <w:rsid w:val="00137034"/>
    <w:rsid w:val="0013738A"/>
    <w:rsid w:val="0013747F"/>
    <w:rsid w:val="0013763B"/>
    <w:rsid w:val="00137BC8"/>
    <w:rsid w:val="001420BD"/>
    <w:rsid w:val="001420EB"/>
    <w:rsid w:val="0014258E"/>
    <w:rsid w:val="00142699"/>
    <w:rsid w:val="00142BFE"/>
    <w:rsid w:val="00142C1C"/>
    <w:rsid w:val="00142F0B"/>
    <w:rsid w:val="00143A4E"/>
    <w:rsid w:val="00143D3D"/>
    <w:rsid w:val="00143E2D"/>
    <w:rsid w:val="00144523"/>
    <w:rsid w:val="001445B6"/>
    <w:rsid w:val="001475ED"/>
    <w:rsid w:val="00150F7E"/>
    <w:rsid w:val="001511CA"/>
    <w:rsid w:val="00151844"/>
    <w:rsid w:val="00151869"/>
    <w:rsid w:val="001528C5"/>
    <w:rsid w:val="00153482"/>
    <w:rsid w:val="001553E4"/>
    <w:rsid w:val="00155DA2"/>
    <w:rsid w:val="001561C7"/>
    <w:rsid w:val="001561D3"/>
    <w:rsid w:val="001563E2"/>
    <w:rsid w:val="001565D8"/>
    <w:rsid w:val="00156902"/>
    <w:rsid w:val="00156E91"/>
    <w:rsid w:val="00156EAE"/>
    <w:rsid w:val="001575CC"/>
    <w:rsid w:val="00157679"/>
    <w:rsid w:val="001576B5"/>
    <w:rsid w:val="0016094C"/>
    <w:rsid w:val="0016138E"/>
    <w:rsid w:val="0016159C"/>
    <w:rsid w:val="0016182A"/>
    <w:rsid w:val="00161C1C"/>
    <w:rsid w:val="001621FF"/>
    <w:rsid w:val="00162254"/>
    <w:rsid w:val="001622D6"/>
    <w:rsid w:val="00162570"/>
    <w:rsid w:val="001625CE"/>
    <w:rsid w:val="001626F9"/>
    <w:rsid w:val="0016297C"/>
    <w:rsid w:val="00162AFC"/>
    <w:rsid w:val="001635A6"/>
    <w:rsid w:val="00163D04"/>
    <w:rsid w:val="00163F56"/>
    <w:rsid w:val="00164D76"/>
    <w:rsid w:val="00164EE8"/>
    <w:rsid w:val="0016598F"/>
    <w:rsid w:val="00166B34"/>
    <w:rsid w:val="00166E3A"/>
    <w:rsid w:val="001674B1"/>
    <w:rsid w:val="00167600"/>
    <w:rsid w:val="00167E32"/>
    <w:rsid w:val="001701AD"/>
    <w:rsid w:val="0017090A"/>
    <w:rsid w:val="00170ABE"/>
    <w:rsid w:val="00171CAC"/>
    <w:rsid w:val="00172222"/>
    <w:rsid w:val="00172A64"/>
    <w:rsid w:val="001732EF"/>
    <w:rsid w:val="00174521"/>
    <w:rsid w:val="00174C30"/>
    <w:rsid w:val="001759AA"/>
    <w:rsid w:val="00175D60"/>
    <w:rsid w:val="00175E21"/>
    <w:rsid w:val="00176317"/>
    <w:rsid w:val="00176A1C"/>
    <w:rsid w:val="00176C58"/>
    <w:rsid w:val="00177AEA"/>
    <w:rsid w:val="00180301"/>
    <w:rsid w:val="001807F0"/>
    <w:rsid w:val="00180E5D"/>
    <w:rsid w:val="00181C6C"/>
    <w:rsid w:val="00182819"/>
    <w:rsid w:val="00183399"/>
    <w:rsid w:val="00183E8B"/>
    <w:rsid w:val="001849F1"/>
    <w:rsid w:val="001850FF"/>
    <w:rsid w:val="0018524F"/>
    <w:rsid w:val="0018759C"/>
    <w:rsid w:val="0019009C"/>
    <w:rsid w:val="00192944"/>
    <w:rsid w:val="001942E2"/>
    <w:rsid w:val="0019494C"/>
    <w:rsid w:val="00195E2F"/>
    <w:rsid w:val="00196854"/>
    <w:rsid w:val="00196C6E"/>
    <w:rsid w:val="001977AE"/>
    <w:rsid w:val="001A0165"/>
    <w:rsid w:val="001A01DB"/>
    <w:rsid w:val="001A03FD"/>
    <w:rsid w:val="001A0710"/>
    <w:rsid w:val="001A1605"/>
    <w:rsid w:val="001A1AE1"/>
    <w:rsid w:val="001A1F10"/>
    <w:rsid w:val="001A3226"/>
    <w:rsid w:val="001A326F"/>
    <w:rsid w:val="001A3AB2"/>
    <w:rsid w:val="001A4005"/>
    <w:rsid w:val="001A4460"/>
    <w:rsid w:val="001A455A"/>
    <w:rsid w:val="001A46E3"/>
    <w:rsid w:val="001A55A7"/>
    <w:rsid w:val="001A6023"/>
    <w:rsid w:val="001A625B"/>
    <w:rsid w:val="001A6A14"/>
    <w:rsid w:val="001A7283"/>
    <w:rsid w:val="001A774B"/>
    <w:rsid w:val="001B11B6"/>
    <w:rsid w:val="001B2611"/>
    <w:rsid w:val="001B278B"/>
    <w:rsid w:val="001B394D"/>
    <w:rsid w:val="001B4AFF"/>
    <w:rsid w:val="001B5647"/>
    <w:rsid w:val="001B5FA7"/>
    <w:rsid w:val="001B64B7"/>
    <w:rsid w:val="001B708D"/>
    <w:rsid w:val="001B7815"/>
    <w:rsid w:val="001C0BE2"/>
    <w:rsid w:val="001C2188"/>
    <w:rsid w:val="001C3D2E"/>
    <w:rsid w:val="001C44A7"/>
    <w:rsid w:val="001C479D"/>
    <w:rsid w:val="001C5465"/>
    <w:rsid w:val="001C5D6C"/>
    <w:rsid w:val="001C6048"/>
    <w:rsid w:val="001C6A96"/>
    <w:rsid w:val="001C6EE3"/>
    <w:rsid w:val="001C7CA6"/>
    <w:rsid w:val="001D04D4"/>
    <w:rsid w:val="001D05C9"/>
    <w:rsid w:val="001D1121"/>
    <w:rsid w:val="001D13CF"/>
    <w:rsid w:val="001D192B"/>
    <w:rsid w:val="001D3404"/>
    <w:rsid w:val="001D3C2C"/>
    <w:rsid w:val="001D4F02"/>
    <w:rsid w:val="001D563D"/>
    <w:rsid w:val="001D5FAF"/>
    <w:rsid w:val="001D5FF9"/>
    <w:rsid w:val="001D626D"/>
    <w:rsid w:val="001D72D8"/>
    <w:rsid w:val="001D7766"/>
    <w:rsid w:val="001E1235"/>
    <w:rsid w:val="001E12A0"/>
    <w:rsid w:val="001E1439"/>
    <w:rsid w:val="001E18A1"/>
    <w:rsid w:val="001E1D25"/>
    <w:rsid w:val="001E21A3"/>
    <w:rsid w:val="001E3B81"/>
    <w:rsid w:val="001E3E00"/>
    <w:rsid w:val="001E4471"/>
    <w:rsid w:val="001E4AED"/>
    <w:rsid w:val="001E4CDB"/>
    <w:rsid w:val="001E4ED5"/>
    <w:rsid w:val="001E5349"/>
    <w:rsid w:val="001E5C16"/>
    <w:rsid w:val="001E5D3D"/>
    <w:rsid w:val="001E62C9"/>
    <w:rsid w:val="001E6730"/>
    <w:rsid w:val="001F176A"/>
    <w:rsid w:val="001F1FCB"/>
    <w:rsid w:val="001F2A34"/>
    <w:rsid w:val="001F34E0"/>
    <w:rsid w:val="001F36B7"/>
    <w:rsid w:val="001F3D8D"/>
    <w:rsid w:val="001F416B"/>
    <w:rsid w:val="001F4775"/>
    <w:rsid w:val="001F48CD"/>
    <w:rsid w:val="001F4ACB"/>
    <w:rsid w:val="001F4F44"/>
    <w:rsid w:val="001F57E4"/>
    <w:rsid w:val="001F6928"/>
    <w:rsid w:val="001F6F68"/>
    <w:rsid w:val="001F7BE1"/>
    <w:rsid w:val="001F7D57"/>
    <w:rsid w:val="001F7EEF"/>
    <w:rsid w:val="002001BE"/>
    <w:rsid w:val="002010F3"/>
    <w:rsid w:val="00201C29"/>
    <w:rsid w:val="002034F6"/>
    <w:rsid w:val="00203E1C"/>
    <w:rsid w:val="002040D8"/>
    <w:rsid w:val="00205054"/>
    <w:rsid w:val="002050B7"/>
    <w:rsid w:val="00206019"/>
    <w:rsid w:val="00206375"/>
    <w:rsid w:val="00206AB0"/>
    <w:rsid w:val="00206BF5"/>
    <w:rsid w:val="00207B4E"/>
    <w:rsid w:val="00207D41"/>
    <w:rsid w:val="00210224"/>
    <w:rsid w:val="0021056F"/>
    <w:rsid w:val="00210879"/>
    <w:rsid w:val="00211D87"/>
    <w:rsid w:val="0021252A"/>
    <w:rsid w:val="00212646"/>
    <w:rsid w:val="002128C4"/>
    <w:rsid w:val="00212F12"/>
    <w:rsid w:val="00213FDF"/>
    <w:rsid w:val="0021404E"/>
    <w:rsid w:val="002149A8"/>
    <w:rsid w:val="00214F60"/>
    <w:rsid w:val="00215616"/>
    <w:rsid w:val="002157F1"/>
    <w:rsid w:val="002161FB"/>
    <w:rsid w:val="00216486"/>
    <w:rsid w:val="00216DBF"/>
    <w:rsid w:val="002171FD"/>
    <w:rsid w:val="002173BC"/>
    <w:rsid w:val="00217786"/>
    <w:rsid w:val="002208B4"/>
    <w:rsid w:val="002213DC"/>
    <w:rsid w:val="00221712"/>
    <w:rsid w:val="0022189F"/>
    <w:rsid w:val="002226E0"/>
    <w:rsid w:val="00222A23"/>
    <w:rsid w:val="00223588"/>
    <w:rsid w:val="00223A26"/>
    <w:rsid w:val="00224452"/>
    <w:rsid w:val="0022448A"/>
    <w:rsid w:val="00224BCD"/>
    <w:rsid w:val="00225A39"/>
    <w:rsid w:val="00225E91"/>
    <w:rsid w:val="00225F42"/>
    <w:rsid w:val="002263AE"/>
    <w:rsid w:val="0022667F"/>
    <w:rsid w:val="00227138"/>
    <w:rsid w:val="00227281"/>
    <w:rsid w:val="002279FA"/>
    <w:rsid w:val="0023131C"/>
    <w:rsid w:val="00231765"/>
    <w:rsid w:val="00231B6E"/>
    <w:rsid w:val="002326E8"/>
    <w:rsid w:val="00232CB5"/>
    <w:rsid w:val="00232F3C"/>
    <w:rsid w:val="0023302B"/>
    <w:rsid w:val="00233BDE"/>
    <w:rsid w:val="00234BA8"/>
    <w:rsid w:val="00234C98"/>
    <w:rsid w:val="00234ED1"/>
    <w:rsid w:val="00235C0D"/>
    <w:rsid w:val="00235E74"/>
    <w:rsid w:val="0023611D"/>
    <w:rsid w:val="002367C4"/>
    <w:rsid w:val="0023681C"/>
    <w:rsid w:val="00236A6B"/>
    <w:rsid w:val="00237931"/>
    <w:rsid w:val="00240072"/>
    <w:rsid w:val="00240187"/>
    <w:rsid w:val="002407D6"/>
    <w:rsid w:val="002413F3"/>
    <w:rsid w:val="002416DC"/>
    <w:rsid w:val="00241D31"/>
    <w:rsid w:val="0024509F"/>
    <w:rsid w:val="00245F05"/>
    <w:rsid w:val="0024623A"/>
    <w:rsid w:val="00247180"/>
    <w:rsid w:val="00247328"/>
    <w:rsid w:val="002479BD"/>
    <w:rsid w:val="002501BB"/>
    <w:rsid w:val="00250870"/>
    <w:rsid w:val="00251589"/>
    <w:rsid w:val="00251CDE"/>
    <w:rsid w:val="0025207F"/>
    <w:rsid w:val="002524C1"/>
    <w:rsid w:val="00253846"/>
    <w:rsid w:val="00253852"/>
    <w:rsid w:val="00253B1A"/>
    <w:rsid w:val="00255108"/>
    <w:rsid w:val="002555FA"/>
    <w:rsid w:val="002556F1"/>
    <w:rsid w:val="00256870"/>
    <w:rsid w:val="00257FCB"/>
    <w:rsid w:val="00260B3F"/>
    <w:rsid w:val="00260D29"/>
    <w:rsid w:val="00260EB1"/>
    <w:rsid w:val="00261067"/>
    <w:rsid w:val="00262247"/>
    <w:rsid w:val="002632D8"/>
    <w:rsid w:val="00263BED"/>
    <w:rsid w:val="00264E3C"/>
    <w:rsid w:val="00264F68"/>
    <w:rsid w:val="002651E2"/>
    <w:rsid w:val="00265AE8"/>
    <w:rsid w:val="00265DCC"/>
    <w:rsid w:val="00266EBB"/>
    <w:rsid w:val="002678ED"/>
    <w:rsid w:val="00267929"/>
    <w:rsid w:val="00270853"/>
    <w:rsid w:val="00270959"/>
    <w:rsid w:val="00271030"/>
    <w:rsid w:val="002711B2"/>
    <w:rsid w:val="00271BF4"/>
    <w:rsid w:val="00274354"/>
    <w:rsid w:val="00275411"/>
    <w:rsid w:val="0027604E"/>
    <w:rsid w:val="002767D6"/>
    <w:rsid w:val="002769AE"/>
    <w:rsid w:val="00276C12"/>
    <w:rsid w:val="00280562"/>
    <w:rsid w:val="0028140B"/>
    <w:rsid w:val="00281E49"/>
    <w:rsid w:val="00282E61"/>
    <w:rsid w:val="00283756"/>
    <w:rsid w:val="0028474B"/>
    <w:rsid w:val="002848DB"/>
    <w:rsid w:val="00284F7A"/>
    <w:rsid w:val="00285269"/>
    <w:rsid w:val="002856BD"/>
    <w:rsid w:val="002859B7"/>
    <w:rsid w:val="00285C64"/>
    <w:rsid w:val="002873EC"/>
    <w:rsid w:val="0029007A"/>
    <w:rsid w:val="0029069F"/>
    <w:rsid w:val="002908C4"/>
    <w:rsid w:val="00290EEC"/>
    <w:rsid w:val="0029158E"/>
    <w:rsid w:val="0029171D"/>
    <w:rsid w:val="00291B6A"/>
    <w:rsid w:val="00291B90"/>
    <w:rsid w:val="0029632E"/>
    <w:rsid w:val="002968E0"/>
    <w:rsid w:val="00297488"/>
    <w:rsid w:val="00297679"/>
    <w:rsid w:val="002A06A2"/>
    <w:rsid w:val="002A1097"/>
    <w:rsid w:val="002A13D1"/>
    <w:rsid w:val="002A27E0"/>
    <w:rsid w:val="002A2E6A"/>
    <w:rsid w:val="002A3E12"/>
    <w:rsid w:val="002A462E"/>
    <w:rsid w:val="002A4B4D"/>
    <w:rsid w:val="002A5258"/>
    <w:rsid w:val="002A5B44"/>
    <w:rsid w:val="002A5F22"/>
    <w:rsid w:val="002A661D"/>
    <w:rsid w:val="002A76C6"/>
    <w:rsid w:val="002A7720"/>
    <w:rsid w:val="002A7D23"/>
    <w:rsid w:val="002B035D"/>
    <w:rsid w:val="002B0CF6"/>
    <w:rsid w:val="002B16FD"/>
    <w:rsid w:val="002B3A1C"/>
    <w:rsid w:val="002B3C7B"/>
    <w:rsid w:val="002B4062"/>
    <w:rsid w:val="002B437E"/>
    <w:rsid w:val="002B4825"/>
    <w:rsid w:val="002B4B69"/>
    <w:rsid w:val="002B5095"/>
    <w:rsid w:val="002B53AC"/>
    <w:rsid w:val="002B6D2B"/>
    <w:rsid w:val="002B7421"/>
    <w:rsid w:val="002B7A0D"/>
    <w:rsid w:val="002B7B83"/>
    <w:rsid w:val="002C03BB"/>
    <w:rsid w:val="002C094B"/>
    <w:rsid w:val="002C1B8A"/>
    <w:rsid w:val="002C29BB"/>
    <w:rsid w:val="002C2D8F"/>
    <w:rsid w:val="002C34E3"/>
    <w:rsid w:val="002C5F4D"/>
    <w:rsid w:val="002C6CE1"/>
    <w:rsid w:val="002C6D06"/>
    <w:rsid w:val="002C6FC8"/>
    <w:rsid w:val="002D0267"/>
    <w:rsid w:val="002D06BA"/>
    <w:rsid w:val="002D123E"/>
    <w:rsid w:val="002D27F3"/>
    <w:rsid w:val="002D2960"/>
    <w:rsid w:val="002D2F01"/>
    <w:rsid w:val="002D2F16"/>
    <w:rsid w:val="002D30A8"/>
    <w:rsid w:val="002D4556"/>
    <w:rsid w:val="002D499A"/>
    <w:rsid w:val="002D4AA1"/>
    <w:rsid w:val="002D563A"/>
    <w:rsid w:val="002D5BF8"/>
    <w:rsid w:val="002E11CF"/>
    <w:rsid w:val="002E3C59"/>
    <w:rsid w:val="002E42CD"/>
    <w:rsid w:val="002E45FA"/>
    <w:rsid w:val="002E532D"/>
    <w:rsid w:val="002E65C2"/>
    <w:rsid w:val="002E6DF7"/>
    <w:rsid w:val="002E6EC7"/>
    <w:rsid w:val="002E77D2"/>
    <w:rsid w:val="002E7D62"/>
    <w:rsid w:val="002F1127"/>
    <w:rsid w:val="002F2761"/>
    <w:rsid w:val="002F32CB"/>
    <w:rsid w:val="002F347D"/>
    <w:rsid w:val="002F4656"/>
    <w:rsid w:val="002F492B"/>
    <w:rsid w:val="002F4AEB"/>
    <w:rsid w:val="002F51E8"/>
    <w:rsid w:val="002F5F7D"/>
    <w:rsid w:val="002F79B9"/>
    <w:rsid w:val="003017D2"/>
    <w:rsid w:val="00301C30"/>
    <w:rsid w:val="00301E49"/>
    <w:rsid w:val="003024B6"/>
    <w:rsid w:val="00302EA7"/>
    <w:rsid w:val="003030EB"/>
    <w:rsid w:val="0030359C"/>
    <w:rsid w:val="00304C98"/>
    <w:rsid w:val="00304D39"/>
    <w:rsid w:val="00305E56"/>
    <w:rsid w:val="003071F7"/>
    <w:rsid w:val="00307301"/>
    <w:rsid w:val="0031007B"/>
    <w:rsid w:val="003102DF"/>
    <w:rsid w:val="003110CF"/>
    <w:rsid w:val="003113C9"/>
    <w:rsid w:val="00312484"/>
    <w:rsid w:val="00312747"/>
    <w:rsid w:val="00313363"/>
    <w:rsid w:val="003134B5"/>
    <w:rsid w:val="00313F72"/>
    <w:rsid w:val="00314561"/>
    <w:rsid w:val="00314D29"/>
    <w:rsid w:val="00315A50"/>
    <w:rsid w:val="00315B8B"/>
    <w:rsid w:val="00315BFB"/>
    <w:rsid w:val="00316A0B"/>
    <w:rsid w:val="00316DE4"/>
    <w:rsid w:val="00317DDD"/>
    <w:rsid w:val="00320763"/>
    <w:rsid w:val="00320B1D"/>
    <w:rsid w:val="00320C39"/>
    <w:rsid w:val="00322E66"/>
    <w:rsid w:val="00323D33"/>
    <w:rsid w:val="00324056"/>
    <w:rsid w:val="0033065E"/>
    <w:rsid w:val="00330BF1"/>
    <w:rsid w:val="003312A3"/>
    <w:rsid w:val="00334BD3"/>
    <w:rsid w:val="003351F8"/>
    <w:rsid w:val="0033660C"/>
    <w:rsid w:val="00336E19"/>
    <w:rsid w:val="00337970"/>
    <w:rsid w:val="00337DA1"/>
    <w:rsid w:val="00337F4F"/>
    <w:rsid w:val="003404C4"/>
    <w:rsid w:val="0034065E"/>
    <w:rsid w:val="00340905"/>
    <w:rsid w:val="00340D59"/>
    <w:rsid w:val="00341FBC"/>
    <w:rsid w:val="00342C44"/>
    <w:rsid w:val="003438A9"/>
    <w:rsid w:val="00343C7C"/>
    <w:rsid w:val="003464D8"/>
    <w:rsid w:val="003465B9"/>
    <w:rsid w:val="00347391"/>
    <w:rsid w:val="00350919"/>
    <w:rsid w:val="00351812"/>
    <w:rsid w:val="00354088"/>
    <w:rsid w:val="0035475D"/>
    <w:rsid w:val="00354DC7"/>
    <w:rsid w:val="00356CC1"/>
    <w:rsid w:val="00357ACF"/>
    <w:rsid w:val="003603A3"/>
    <w:rsid w:val="00360DE5"/>
    <w:rsid w:val="00361526"/>
    <w:rsid w:val="003615A6"/>
    <w:rsid w:val="003617E1"/>
    <w:rsid w:val="003619F1"/>
    <w:rsid w:val="00361C47"/>
    <w:rsid w:val="00363A1D"/>
    <w:rsid w:val="00363B9B"/>
    <w:rsid w:val="00364A90"/>
    <w:rsid w:val="00364FBD"/>
    <w:rsid w:val="0036526C"/>
    <w:rsid w:val="00365C01"/>
    <w:rsid w:val="00366CDE"/>
    <w:rsid w:val="003670B0"/>
    <w:rsid w:val="003674B6"/>
    <w:rsid w:val="003712C6"/>
    <w:rsid w:val="003713A9"/>
    <w:rsid w:val="0037158A"/>
    <w:rsid w:val="00371874"/>
    <w:rsid w:val="003723D6"/>
    <w:rsid w:val="00372DB7"/>
    <w:rsid w:val="00372E24"/>
    <w:rsid w:val="00374555"/>
    <w:rsid w:val="00375030"/>
    <w:rsid w:val="0037695D"/>
    <w:rsid w:val="00376F51"/>
    <w:rsid w:val="00377F58"/>
    <w:rsid w:val="00380403"/>
    <w:rsid w:val="003812FB"/>
    <w:rsid w:val="00381761"/>
    <w:rsid w:val="003821F6"/>
    <w:rsid w:val="003829FF"/>
    <w:rsid w:val="00382E97"/>
    <w:rsid w:val="00382F53"/>
    <w:rsid w:val="0038342B"/>
    <w:rsid w:val="003838D9"/>
    <w:rsid w:val="003842EB"/>
    <w:rsid w:val="00384D42"/>
    <w:rsid w:val="00384FCA"/>
    <w:rsid w:val="003857F8"/>
    <w:rsid w:val="0038604D"/>
    <w:rsid w:val="0038623D"/>
    <w:rsid w:val="0038628C"/>
    <w:rsid w:val="00387240"/>
    <w:rsid w:val="00387714"/>
    <w:rsid w:val="00390F26"/>
    <w:rsid w:val="00391876"/>
    <w:rsid w:val="00392878"/>
    <w:rsid w:val="003932E0"/>
    <w:rsid w:val="00395F63"/>
    <w:rsid w:val="003961EF"/>
    <w:rsid w:val="003A0CBF"/>
    <w:rsid w:val="003A179B"/>
    <w:rsid w:val="003A2209"/>
    <w:rsid w:val="003A2469"/>
    <w:rsid w:val="003A27EB"/>
    <w:rsid w:val="003A3269"/>
    <w:rsid w:val="003A3F71"/>
    <w:rsid w:val="003A4550"/>
    <w:rsid w:val="003A48B1"/>
    <w:rsid w:val="003A48C8"/>
    <w:rsid w:val="003A5117"/>
    <w:rsid w:val="003A5EF9"/>
    <w:rsid w:val="003A6468"/>
    <w:rsid w:val="003A6DE8"/>
    <w:rsid w:val="003A7657"/>
    <w:rsid w:val="003A7C6F"/>
    <w:rsid w:val="003B0BD4"/>
    <w:rsid w:val="003B0E20"/>
    <w:rsid w:val="003B18AC"/>
    <w:rsid w:val="003B1DB4"/>
    <w:rsid w:val="003B2240"/>
    <w:rsid w:val="003B3180"/>
    <w:rsid w:val="003B3773"/>
    <w:rsid w:val="003B3A57"/>
    <w:rsid w:val="003B3C4B"/>
    <w:rsid w:val="003B4675"/>
    <w:rsid w:val="003B46F5"/>
    <w:rsid w:val="003B55AA"/>
    <w:rsid w:val="003B74BA"/>
    <w:rsid w:val="003C1248"/>
    <w:rsid w:val="003C1389"/>
    <w:rsid w:val="003C1AE2"/>
    <w:rsid w:val="003C33A9"/>
    <w:rsid w:val="003C3F9D"/>
    <w:rsid w:val="003C470E"/>
    <w:rsid w:val="003C4F68"/>
    <w:rsid w:val="003C57FE"/>
    <w:rsid w:val="003C6BC3"/>
    <w:rsid w:val="003C7275"/>
    <w:rsid w:val="003C7BDB"/>
    <w:rsid w:val="003D0FF4"/>
    <w:rsid w:val="003D146B"/>
    <w:rsid w:val="003D1559"/>
    <w:rsid w:val="003D2A4C"/>
    <w:rsid w:val="003D41FA"/>
    <w:rsid w:val="003D4905"/>
    <w:rsid w:val="003D4DA0"/>
    <w:rsid w:val="003D4E1F"/>
    <w:rsid w:val="003D4E4E"/>
    <w:rsid w:val="003D5044"/>
    <w:rsid w:val="003D57B8"/>
    <w:rsid w:val="003D5B89"/>
    <w:rsid w:val="003D5F48"/>
    <w:rsid w:val="003D676D"/>
    <w:rsid w:val="003D68CD"/>
    <w:rsid w:val="003D6FB4"/>
    <w:rsid w:val="003D7D8C"/>
    <w:rsid w:val="003E0131"/>
    <w:rsid w:val="003E015E"/>
    <w:rsid w:val="003E02FC"/>
    <w:rsid w:val="003E03C0"/>
    <w:rsid w:val="003E0A16"/>
    <w:rsid w:val="003E1705"/>
    <w:rsid w:val="003E207C"/>
    <w:rsid w:val="003E2666"/>
    <w:rsid w:val="003E2D3B"/>
    <w:rsid w:val="003E5CB3"/>
    <w:rsid w:val="003E6178"/>
    <w:rsid w:val="003E7AD9"/>
    <w:rsid w:val="003F0CC6"/>
    <w:rsid w:val="003F14E1"/>
    <w:rsid w:val="003F16B0"/>
    <w:rsid w:val="003F1DA9"/>
    <w:rsid w:val="003F1FF2"/>
    <w:rsid w:val="003F3462"/>
    <w:rsid w:val="003F49B0"/>
    <w:rsid w:val="003F5088"/>
    <w:rsid w:val="003F5989"/>
    <w:rsid w:val="003F689E"/>
    <w:rsid w:val="003F715A"/>
    <w:rsid w:val="003F736A"/>
    <w:rsid w:val="003F7381"/>
    <w:rsid w:val="003F77BD"/>
    <w:rsid w:val="003F7B47"/>
    <w:rsid w:val="004002FB"/>
    <w:rsid w:val="00400719"/>
    <w:rsid w:val="004008E7"/>
    <w:rsid w:val="00400AD1"/>
    <w:rsid w:val="00401030"/>
    <w:rsid w:val="00401BE3"/>
    <w:rsid w:val="0040216D"/>
    <w:rsid w:val="00402E87"/>
    <w:rsid w:val="00403EE9"/>
    <w:rsid w:val="00403F53"/>
    <w:rsid w:val="00404B63"/>
    <w:rsid w:val="004070DC"/>
    <w:rsid w:val="00410799"/>
    <w:rsid w:val="00410FA6"/>
    <w:rsid w:val="00411998"/>
    <w:rsid w:val="00411C7F"/>
    <w:rsid w:val="0041253F"/>
    <w:rsid w:val="0041306D"/>
    <w:rsid w:val="0041338E"/>
    <w:rsid w:val="00413EC5"/>
    <w:rsid w:val="00415C56"/>
    <w:rsid w:val="00420624"/>
    <w:rsid w:val="00423018"/>
    <w:rsid w:val="00423A78"/>
    <w:rsid w:val="004251BB"/>
    <w:rsid w:val="004271AA"/>
    <w:rsid w:val="00427563"/>
    <w:rsid w:val="004278CA"/>
    <w:rsid w:val="004302A5"/>
    <w:rsid w:val="004305E0"/>
    <w:rsid w:val="004306DD"/>
    <w:rsid w:val="004318A1"/>
    <w:rsid w:val="00431900"/>
    <w:rsid w:val="00432F6B"/>
    <w:rsid w:val="004337D9"/>
    <w:rsid w:val="0043493F"/>
    <w:rsid w:val="004350CF"/>
    <w:rsid w:val="00435F4A"/>
    <w:rsid w:val="00436BCB"/>
    <w:rsid w:val="00437BB9"/>
    <w:rsid w:val="004401CE"/>
    <w:rsid w:val="004405F2"/>
    <w:rsid w:val="00440AC0"/>
    <w:rsid w:val="00441FAA"/>
    <w:rsid w:val="00443399"/>
    <w:rsid w:val="0044392B"/>
    <w:rsid w:val="004444D9"/>
    <w:rsid w:val="00445801"/>
    <w:rsid w:val="00445EF3"/>
    <w:rsid w:val="0044675A"/>
    <w:rsid w:val="00446DBA"/>
    <w:rsid w:val="004476B8"/>
    <w:rsid w:val="00450115"/>
    <w:rsid w:val="00450354"/>
    <w:rsid w:val="00450E71"/>
    <w:rsid w:val="004519AD"/>
    <w:rsid w:val="00452F5B"/>
    <w:rsid w:val="00455B60"/>
    <w:rsid w:val="00456547"/>
    <w:rsid w:val="0045662C"/>
    <w:rsid w:val="00456705"/>
    <w:rsid w:val="00456C60"/>
    <w:rsid w:val="0045780C"/>
    <w:rsid w:val="00457B68"/>
    <w:rsid w:val="0046023F"/>
    <w:rsid w:val="00460472"/>
    <w:rsid w:val="00460D2C"/>
    <w:rsid w:val="00460D39"/>
    <w:rsid w:val="004632E1"/>
    <w:rsid w:val="00463A33"/>
    <w:rsid w:val="00463CFC"/>
    <w:rsid w:val="0046406E"/>
    <w:rsid w:val="004643AC"/>
    <w:rsid w:val="004652E6"/>
    <w:rsid w:val="00465DE3"/>
    <w:rsid w:val="0046739D"/>
    <w:rsid w:val="00467B3A"/>
    <w:rsid w:val="004703FB"/>
    <w:rsid w:val="004704AA"/>
    <w:rsid w:val="00470CFB"/>
    <w:rsid w:val="004718A5"/>
    <w:rsid w:val="00473049"/>
    <w:rsid w:val="00473D69"/>
    <w:rsid w:val="00474AFC"/>
    <w:rsid w:val="00474D3F"/>
    <w:rsid w:val="00475072"/>
    <w:rsid w:val="00475365"/>
    <w:rsid w:val="00475AF8"/>
    <w:rsid w:val="0047601C"/>
    <w:rsid w:val="00476021"/>
    <w:rsid w:val="004761D7"/>
    <w:rsid w:val="00476A67"/>
    <w:rsid w:val="00476CE6"/>
    <w:rsid w:val="00477926"/>
    <w:rsid w:val="0048046B"/>
    <w:rsid w:val="00480477"/>
    <w:rsid w:val="0048051F"/>
    <w:rsid w:val="00480D11"/>
    <w:rsid w:val="00480E6C"/>
    <w:rsid w:val="00481433"/>
    <w:rsid w:val="00481D76"/>
    <w:rsid w:val="00481E55"/>
    <w:rsid w:val="00481FC7"/>
    <w:rsid w:val="004822D5"/>
    <w:rsid w:val="00482685"/>
    <w:rsid w:val="00482DEB"/>
    <w:rsid w:val="004830F1"/>
    <w:rsid w:val="00485CCC"/>
    <w:rsid w:val="00485D1A"/>
    <w:rsid w:val="00486378"/>
    <w:rsid w:val="004863D4"/>
    <w:rsid w:val="00486B13"/>
    <w:rsid w:val="0048774E"/>
    <w:rsid w:val="0049059C"/>
    <w:rsid w:val="0049103A"/>
    <w:rsid w:val="00491094"/>
    <w:rsid w:val="00491C75"/>
    <w:rsid w:val="00491E28"/>
    <w:rsid w:val="00492670"/>
    <w:rsid w:val="004927B7"/>
    <w:rsid w:val="00492B1F"/>
    <w:rsid w:val="00492BDB"/>
    <w:rsid w:val="004934F1"/>
    <w:rsid w:val="00494412"/>
    <w:rsid w:val="004944F8"/>
    <w:rsid w:val="0049456F"/>
    <w:rsid w:val="00494866"/>
    <w:rsid w:val="00494A92"/>
    <w:rsid w:val="0049556B"/>
    <w:rsid w:val="0049625B"/>
    <w:rsid w:val="004966FA"/>
    <w:rsid w:val="00497269"/>
    <w:rsid w:val="004975F7"/>
    <w:rsid w:val="00497B80"/>
    <w:rsid w:val="004A0184"/>
    <w:rsid w:val="004A0350"/>
    <w:rsid w:val="004A0BB9"/>
    <w:rsid w:val="004A0E26"/>
    <w:rsid w:val="004A12F7"/>
    <w:rsid w:val="004A1671"/>
    <w:rsid w:val="004A31A4"/>
    <w:rsid w:val="004A33C4"/>
    <w:rsid w:val="004A3562"/>
    <w:rsid w:val="004A3BB2"/>
    <w:rsid w:val="004A3CB8"/>
    <w:rsid w:val="004A440C"/>
    <w:rsid w:val="004A44F7"/>
    <w:rsid w:val="004A477B"/>
    <w:rsid w:val="004A4919"/>
    <w:rsid w:val="004A6075"/>
    <w:rsid w:val="004A61A8"/>
    <w:rsid w:val="004A7020"/>
    <w:rsid w:val="004A706B"/>
    <w:rsid w:val="004A752B"/>
    <w:rsid w:val="004B0235"/>
    <w:rsid w:val="004B050C"/>
    <w:rsid w:val="004B0F56"/>
    <w:rsid w:val="004B39D6"/>
    <w:rsid w:val="004B3E86"/>
    <w:rsid w:val="004B56C9"/>
    <w:rsid w:val="004B5927"/>
    <w:rsid w:val="004B5C3C"/>
    <w:rsid w:val="004B6562"/>
    <w:rsid w:val="004B67C3"/>
    <w:rsid w:val="004B67D0"/>
    <w:rsid w:val="004B78A0"/>
    <w:rsid w:val="004C05FA"/>
    <w:rsid w:val="004C0E49"/>
    <w:rsid w:val="004C0F26"/>
    <w:rsid w:val="004C163F"/>
    <w:rsid w:val="004C20CB"/>
    <w:rsid w:val="004C22EB"/>
    <w:rsid w:val="004C27AA"/>
    <w:rsid w:val="004C2DF2"/>
    <w:rsid w:val="004C3058"/>
    <w:rsid w:val="004C377D"/>
    <w:rsid w:val="004C5F7A"/>
    <w:rsid w:val="004C6EE6"/>
    <w:rsid w:val="004C7AA8"/>
    <w:rsid w:val="004D0206"/>
    <w:rsid w:val="004D09BA"/>
    <w:rsid w:val="004D1018"/>
    <w:rsid w:val="004D2856"/>
    <w:rsid w:val="004D3C4B"/>
    <w:rsid w:val="004D3EA5"/>
    <w:rsid w:val="004D418D"/>
    <w:rsid w:val="004D7B71"/>
    <w:rsid w:val="004E053E"/>
    <w:rsid w:val="004E17BC"/>
    <w:rsid w:val="004E1A2C"/>
    <w:rsid w:val="004E1DD9"/>
    <w:rsid w:val="004E2406"/>
    <w:rsid w:val="004E2E09"/>
    <w:rsid w:val="004E342B"/>
    <w:rsid w:val="004E5E42"/>
    <w:rsid w:val="004E60B7"/>
    <w:rsid w:val="004E6258"/>
    <w:rsid w:val="004F0649"/>
    <w:rsid w:val="004F1658"/>
    <w:rsid w:val="004F166D"/>
    <w:rsid w:val="004F1EE7"/>
    <w:rsid w:val="004F2064"/>
    <w:rsid w:val="004F267D"/>
    <w:rsid w:val="004F2C0B"/>
    <w:rsid w:val="004F37C8"/>
    <w:rsid w:val="004F47AA"/>
    <w:rsid w:val="004F535A"/>
    <w:rsid w:val="004F5459"/>
    <w:rsid w:val="004F5C61"/>
    <w:rsid w:val="004F65D9"/>
    <w:rsid w:val="004F6749"/>
    <w:rsid w:val="00500B17"/>
    <w:rsid w:val="00501070"/>
    <w:rsid w:val="005011D4"/>
    <w:rsid w:val="005015D7"/>
    <w:rsid w:val="0050186D"/>
    <w:rsid w:val="00501ACA"/>
    <w:rsid w:val="00501B57"/>
    <w:rsid w:val="00501C96"/>
    <w:rsid w:val="00502542"/>
    <w:rsid w:val="005026B4"/>
    <w:rsid w:val="00502A0D"/>
    <w:rsid w:val="00502B81"/>
    <w:rsid w:val="00503493"/>
    <w:rsid w:val="00503CB6"/>
    <w:rsid w:val="005045FE"/>
    <w:rsid w:val="00507046"/>
    <w:rsid w:val="005071A4"/>
    <w:rsid w:val="00507490"/>
    <w:rsid w:val="00507700"/>
    <w:rsid w:val="00510A37"/>
    <w:rsid w:val="00510AF5"/>
    <w:rsid w:val="00511044"/>
    <w:rsid w:val="0051164A"/>
    <w:rsid w:val="00511EB1"/>
    <w:rsid w:val="00512AFC"/>
    <w:rsid w:val="00512BA3"/>
    <w:rsid w:val="00513B9B"/>
    <w:rsid w:val="00513CCD"/>
    <w:rsid w:val="00514CC9"/>
    <w:rsid w:val="00515198"/>
    <w:rsid w:val="00515389"/>
    <w:rsid w:val="00516DED"/>
    <w:rsid w:val="00517B1A"/>
    <w:rsid w:val="0052032E"/>
    <w:rsid w:val="00520983"/>
    <w:rsid w:val="005209D9"/>
    <w:rsid w:val="00522712"/>
    <w:rsid w:val="00522E98"/>
    <w:rsid w:val="00523694"/>
    <w:rsid w:val="00523E23"/>
    <w:rsid w:val="00524187"/>
    <w:rsid w:val="005242FC"/>
    <w:rsid w:val="0052473E"/>
    <w:rsid w:val="0052686C"/>
    <w:rsid w:val="005271CB"/>
    <w:rsid w:val="005277C5"/>
    <w:rsid w:val="005277DF"/>
    <w:rsid w:val="0053087B"/>
    <w:rsid w:val="00530CF5"/>
    <w:rsid w:val="005312A3"/>
    <w:rsid w:val="0053146F"/>
    <w:rsid w:val="00532625"/>
    <w:rsid w:val="0053266E"/>
    <w:rsid w:val="0053346F"/>
    <w:rsid w:val="00533BE2"/>
    <w:rsid w:val="005357AF"/>
    <w:rsid w:val="00536073"/>
    <w:rsid w:val="0053612F"/>
    <w:rsid w:val="00536904"/>
    <w:rsid w:val="0053775A"/>
    <w:rsid w:val="00541967"/>
    <w:rsid w:val="0054201B"/>
    <w:rsid w:val="005433DE"/>
    <w:rsid w:val="00543794"/>
    <w:rsid w:val="00543F60"/>
    <w:rsid w:val="00544691"/>
    <w:rsid w:val="0054535C"/>
    <w:rsid w:val="0054599E"/>
    <w:rsid w:val="00545DD1"/>
    <w:rsid w:val="00546D21"/>
    <w:rsid w:val="00546F22"/>
    <w:rsid w:val="005472AC"/>
    <w:rsid w:val="00550025"/>
    <w:rsid w:val="00550152"/>
    <w:rsid w:val="00550EA2"/>
    <w:rsid w:val="00551257"/>
    <w:rsid w:val="005512A7"/>
    <w:rsid w:val="0055146E"/>
    <w:rsid w:val="005521EC"/>
    <w:rsid w:val="00552589"/>
    <w:rsid w:val="00552C4B"/>
    <w:rsid w:val="00552D9D"/>
    <w:rsid w:val="00552DEC"/>
    <w:rsid w:val="00553082"/>
    <w:rsid w:val="00553445"/>
    <w:rsid w:val="00554E2A"/>
    <w:rsid w:val="005558BF"/>
    <w:rsid w:val="00556D6B"/>
    <w:rsid w:val="0055748C"/>
    <w:rsid w:val="00557766"/>
    <w:rsid w:val="00557E36"/>
    <w:rsid w:val="0056071C"/>
    <w:rsid w:val="00560E3A"/>
    <w:rsid w:val="005616DD"/>
    <w:rsid w:val="0056187C"/>
    <w:rsid w:val="00562619"/>
    <w:rsid w:val="005640CD"/>
    <w:rsid w:val="00564124"/>
    <w:rsid w:val="0056436F"/>
    <w:rsid w:val="00564740"/>
    <w:rsid w:val="005647C1"/>
    <w:rsid w:val="00564D7F"/>
    <w:rsid w:val="00565074"/>
    <w:rsid w:val="005652FD"/>
    <w:rsid w:val="00565637"/>
    <w:rsid w:val="00565664"/>
    <w:rsid w:val="00565D4B"/>
    <w:rsid w:val="00567FDC"/>
    <w:rsid w:val="005708FF"/>
    <w:rsid w:val="00571799"/>
    <w:rsid w:val="005719B7"/>
    <w:rsid w:val="005723EB"/>
    <w:rsid w:val="0057254C"/>
    <w:rsid w:val="005727D1"/>
    <w:rsid w:val="0057287E"/>
    <w:rsid w:val="0057299F"/>
    <w:rsid w:val="00572E8E"/>
    <w:rsid w:val="00572FCA"/>
    <w:rsid w:val="005733B8"/>
    <w:rsid w:val="00575977"/>
    <w:rsid w:val="00576CDF"/>
    <w:rsid w:val="0057782C"/>
    <w:rsid w:val="005779D8"/>
    <w:rsid w:val="00577EA3"/>
    <w:rsid w:val="005803A0"/>
    <w:rsid w:val="00580D96"/>
    <w:rsid w:val="00583259"/>
    <w:rsid w:val="00583BB9"/>
    <w:rsid w:val="00583C85"/>
    <w:rsid w:val="005840BD"/>
    <w:rsid w:val="005846DB"/>
    <w:rsid w:val="00584E73"/>
    <w:rsid w:val="00585C57"/>
    <w:rsid w:val="00585ECA"/>
    <w:rsid w:val="00586BDD"/>
    <w:rsid w:val="00586F25"/>
    <w:rsid w:val="00586F8E"/>
    <w:rsid w:val="00587FD9"/>
    <w:rsid w:val="00590944"/>
    <w:rsid w:val="00591A5A"/>
    <w:rsid w:val="00592EDB"/>
    <w:rsid w:val="00594AA8"/>
    <w:rsid w:val="00595268"/>
    <w:rsid w:val="00595343"/>
    <w:rsid w:val="00595464"/>
    <w:rsid w:val="0059714E"/>
    <w:rsid w:val="00597484"/>
    <w:rsid w:val="00597786"/>
    <w:rsid w:val="005978DB"/>
    <w:rsid w:val="005A0046"/>
    <w:rsid w:val="005A0E95"/>
    <w:rsid w:val="005A0FCC"/>
    <w:rsid w:val="005A1398"/>
    <w:rsid w:val="005A1BE4"/>
    <w:rsid w:val="005A23DF"/>
    <w:rsid w:val="005A27CD"/>
    <w:rsid w:val="005A3531"/>
    <w:rsid w:val="005A3742"/>
    <w:rsid w:val="005A3FF0"/>
    <w:rsid w:val="005A4F0D"/>
    <w:rsid w:val="005A54D3"/>
    <w:rsid w:val="005A5866"/>
    <w:rsid w:val="005A59A4"/>
    <w:rsid w:val="005A7123"/>
    <w:rsid w:val="005B0446"/>
    <w:rsid w:val="005B04B7"/>
    <w:rsid w:val="005B0E2F"/>
    <w:rsid w:val="005B1BF1"/>
    <w:rsid w:val="005B33C2"/>
    <w:rsid w:val="005B3836"/>
    <w:rsid w:val="005B38C9"/>
    <w:rsid w:val="005B6714"/>
    <w:rsid w:val="005B715C"/>
    <w:rsid w:val="005B7283"/>
    <w:rsid w:val="005C0100"/>
    <w:rsid w:val="005C0B42"/>
    <w:rsid w:val="005C145B"/>
    <w:rsid w:val="005C1DF3"/>
    <w:rsid w:val="005C28A7"/>
    <w:rsid w:val="005C34D2"/>
    <w:rsid w:val="005C38AF"/>
    <w:rsid w:val="005C40D4"/>
    <w:rsid w:val="005C44F5"/>
    <w:rsid w:val="005C4F4B"/>
    <w:rsid w:val="005C5EB8"/>
    <w:rsid w:val="005C6B4D"/>
    <w:rsid w:val="005D0070"/>
    <w:rsid w:val="005D12D8"/>
    <w:rsid w:val="005D1A8F"/>
    <w:rsid w:val="005D2879"/>
    <w:rsid w:val="005D3671"/>
    <w:rsid w:val="005D375F"/>
    <w:rsid w:val="005D3B76"/>
    <w:rsid w:val="005D3D5C"/>
    <w:rsid w:val="005D5A01"/>
    <w:rsid w:val="005D5A14"/>
    <w:rsid w:val="005D62B0"/>
    <w:rsid w:val="005D66B0"/>
    <w:rsid w:val="005D73D5"/>
    <w:rsid w:val="005D7F76"/>
    <w:rsid w:val="005E0FD3"/>
    <w:rsid w:val="005E1B0A"/>
    <w:rsid w:val="005E2985"/>
    <w:rsid w:val="005E31C1"/>
    <w:rsid w:val="005E4D96"/>
    <w:rsid w:val="005E5FF4"/>
    <w:rsid w:val="005E74FD"/>
    <w:rsid w:val="005F03FD"/>
    <w:rsid w:val="005F138E"/>
    <w:rsid w:val="005F1843"/>
    <w:rsid w:val="005F1867"/>
    <w:rsid w:val="005F1B62"/>
    <w:rsid w:val="005F1BFD"/>
    <w:rsid w:val="005F3C8A"/>
    <w:rsid w:val="005F43D9"/>
    <w:rsid w:val="005F44BE"/>
    <w:rsid w:val="005F4DB8"/>
    <w:rsid w:val="005F578D"/>
    <w:rsid w:val="005F5A23"/>
    <w:rsid w:val="005F66BA"/>
    <w:rsid w:val="005F7256"/>
    <w:rsid w:val="005F72E6"/>
    <w:rsid w:val="005F73DF"/>
    <w:rsid w:val="005F7950"/>
    <w:rsid w:val="005F7BC3"/>
    <w:rsid w:val="00600BFA"/>
    <w:rsid w:val="00600E52"/>
    <w:rsid w:val="00602498"/>
    <w:rsid w:val="006024B5"/>
    <w:rsid w:val="0060338B"/>
    <w:rsid w:val="00603832"/>
    <w:rsid w:val="006040FB"/>
    <w:rsid w:val="00604822"/>
    <w:rsid w:val="00604A45"/>
    <w:rsid w:val="00605E3E"/>
    <w:rsid w:val="00606349"/>
    <w:rsid w:val="00607B01"/>
    <w:rsid w:val="00610604"/>
    <w:rsid w:val="006124D6"/>
    <w:rsid w:val="00612700"/>
    <w:rsid w:val="006129E5"/>
    <w:rsid w:val="0061371E"/>
    <w:rsid w:val="00613A41"/>
    <w:rsid w:val="006144D6"/>
    <w:rsid w:val="0061479E"/>
    <w:rsid w:val="00614882"/>
    <w:rsid w:val="00615AFA"/>
    <w:rsid w:val="00615EAD"/>
    <w:rsid w:val="00616542"/>
    <w:rsid w:val="00616C61"/>
    <w:rsid w:val="006200B1"/>
    <w:rsid w:val="00620D4C"/>
    <w:rsid w:val="006217D7"/>
    <w:rsid w:val="006221CB"/>
    <w:rsid w:val="006221E5"/>
    <w:rsid w:val="00622D1D"/>
    <w:rsid w:val="00622F7C"/>
    <w:rsid w:val="0062338C"/>
    <w:rsid w:val="0062356A"/>
    <w:rsid w:val="006256FE"/>
    <w:rsid w:val="0062599A"/>
    <w:rsid w:val="00626962"/>
    <w:rsid w:val="00626CF7"/>
    <w:rsid w:val="006275C2"/>
    <w:rsid w:val="00627F02"/>
    <w:rsid w:val="0063065D"/>
    <w:rsid w:val="00630F91"/>
    <w:rsid w:val="00631FF2"/>
    <w:rsid w:val="006320E2"/>
    <w:rsid w:val="006321A2"/>
    <w:rsid w:val="0063294F"/>
    <w:rsid w:val="00632E14"/>
    <w:rsid w:val="006330D8"/>
    <w:rsid w:val="00633303"/>
    <w:rsid w:val="00634059"/>
    <w:rsid w:val="00634196"/>
    <w:rsid w:val="006345EE"/>
    <w:rsid w:val="006352BC"/>
    <w:rsid w:val="00635776"/>
    <w:rsid w:val="00635BC6"/>
    <w:rsid w:val="006363C5"/>
    <w:rsid w:val="00636B72"/>
    <w:rsid w:val="00636E56"/>
    <w:rsid w:val="00636FE9"/>
    <w:rsid w:val="0063750C"/>
    <w:rsid w:val="006378B7"/>
    <w:rsid w:val="00640035"/>
    <w:rsid w:val="00641028"/>
    <w:rsid w:val="00642406"/>
    <w:rsid w:val="00642516"/>
    <w:rsid w:val="006442A1"/>
    <w:rsid w:val="00644633"/>
    <w:rsid w:val="006449F2"/>
    <w:rsid w:val="00645273"/>
    <w:rsid w:val="00645A9E"/>
    <w:rsid w:val="00645BBD"/>
    <w:rsid w:val="00645CEE"/>
    <w:rsid w:val="006472EE"/>
    <w:rsid w:val="00647438"/>
    <w:rsid w:val="00650CEF"/>
    <w:rsid w:val="00650E9D"/>
    <w:rsid w:val="00650EA0"/>
    <w:rsid w:val="00650FE4"/>
    <w:rsid w:val="00651D07"/>
    <w:rsid w:val="006523D2"/>
    <w:rsid w:val="00652EC5"/>
    <w:rsid w:val="006542A5"/>
    <w:rsid w:val="006575A8"/>
    <w:rsid w:val="00657AB8"/>
    <w:rsid w:val="00657FF6"/>
    <w:rsid w:val="006609FA"/>
    <w:rsid w:val="006610E5"/>
    <w:rsid w:val="00661A01"/>
    <w:rsid w:val="006646BC"/>
    <w:rsid w:val="006648B9"/>
    <w:rsid w:val="00665C38"/>
    <w:rsid w:val="00665E54"/>
    <w:rsid w:val="00665FB8"/>
    <w:rsid w:val="00666155"/>
    <w:rsid w:val="00666889"/>
    <w:rsid w:val="00666A71"/>
    <w:rsid w:val="00666AB1"/>
    <w:rsid w:val="00666B3E"/>
    <w:rsid w:val="00667B91"/>
    <w:rsid w:val="00667BF8"/>
    <w:rsid w:val="00667D59"/>
    <w:rsid w:val="006712D6"/>
    <w:rsid w:val="00672551"/>
    <w:rsid w:val="00674355"/>
    <w:rsid w:val="00674441"/>
    <w:rsid w:val="006753C3"/>
    <w:rsid w:val="0067581C"/>
    <w:rsid w:val="00675AD0"/>
    <w:rsid w:val="00675E10"/>
    <w:rsid w:val="00676E50"/>
    <w:rsid w:val="00680436"/>
    <w:rsid w:val="006809BA"/>
    <w:rsid w:val="00680A8C"/>
    <w:rsid w:val="006821B5"/>
    <w:rsid w:val="006828FB"/>
    <w:rsid w:val="00684CDA"/>
    <w:rsid w:val="00686211"/>
    <w:rsid w:val="00686A18"/>
    <w:rsid w:val="00687ACC"/>
    <w:rsid w:val="00690003"/>
    <w:rsid w:val="006901C9"/>
    <w:rsid w:val="00691C0D"/>
    <w:rsid w:val="00692BF6"/>
    <w:rsid w:val="006941C5"/>
    <w:rsid w:val="0069483C"/>
    <w:rsid w:val="006952E7"/>
    <w:rsid w:val="00695512"/>
    <w:rsid w:val="00696582"/>
    <w:rsid w:val="006966A4"/>
    <w:rsid w:val="0069731A"/>
    <w:rsid w:val="00697A33"/>
    <w:rsid w:val="00697D64"/>
    <w:rsid w:val="006A099C"/>
    <w:rsid w:val="006A0DA0"/>
    <w:rsid w:val="006A1596"/>
    <w:rsid w:val="006A21E9"/>
    <w:rsid w:val="006A2758"/>
    <w:rsid w:val="006A3EB4"/>
    <w:rsid w:val="006A462F"/>
    <w:rsid w:val="006A47F4"/>
    <w:rsid w:val="006A5396"/>
    <w:rsid w:val="006A5BE5"/>
    <w:rsid w:val="006A736E"/>
    <w:rsid w:val="006B09D2"/>
    <w:rsid w:val="006B0DBD"/>
    <w:rsid w:val="006B10B5"/>
    <w:rsid w:val="006B1E8F"/>
    <w:rsid w:val="006B2A90"/>
    <w:rsid w:val="006B3E0C"/>
    <w:rsid w:val="006B4B9E"/>
    <w:rsid w:val="006B5B6C"/>
    <w:rsid w:val="006B5CBB"/>
    <w:rsid w:val="006B6121"/>
    <w:rsid w:val="006B622E"/>
    <w:rsid w:val="006B7482"/>
    <w:rsid w:val="006B7D13"/>
    <w:rsid w:val="006B7F06"/>
    <w:rsid w:val="006B7FED"/>
    <w:rsid w:val="006C02CF"/>
    <w:rsid w:val="006C0698"/>
    <w:rsid w:val="006C0CB1"/>
    <w:rsid w:val="006C1671"/>
    <w:rsid w:val="006C1A02"/>
    <w:rsid w:val="006C1E13"/>
    <w:rsid w:val="006C1E4F"/>
    <w:rsid w:val="006C3450"/>
    <w:rsid w:val="006C363B"/>
    <w:rsid w:val="006C3725"/>
    <w:rsid w:val="006C443C"/>
    <w:rsid w:val="006C492C"/>
    <w:rsid w:val="006C4DBD"/>
    <w:rsid w:val="006C507B"/>
    <w:rsid w:val="006C518C"/>
    <w:rsid w:val="006D07C5"/>
    <w:rsid w:val="006D13CA"/>
    <w:rsid w:val="006D17C6"/>
    <w:rsid w:val="006D238A"/>
    <w:rsid w:val="006D50D8"/>
    <w:rsid w:val="006D5636"/>
    <w:rsid w:val="006D63B0"/>
    <w:rsid w:val="006D7A4E"/>
    <w:rsid w:val="006E0388"/>
    <w:rsid w:val="006E054A"/>
    <w:rsid w:val="006E0D39"/>
    <w:rsid w:val="006E0EDC"/>
    <w:rsid w:val="006E13F7"/>
    <w:rsid w:val="006E1F04"/>
    <w:rsid w:val="006E26BE"/>
    <w:rsid w:val="006E2E59"/>
    <w:rsid w:val="006E3265"/>
    <w:rsid w:val="006E49D6"/>
    <w:rsid w:val="006E4FCA"/>
    <w:rsid w:val="006F0114"/>
    <w:rsid w:val="006F0F96"/>
    <w:rsid w:val="006F1741"/>
    <w:rsid w:val="006F2864"/>
    <w:rsid w:val="006F2DF4"/>
    <w:rsid w:val="006F5CE9"/>
    <w:rsid w:val="006F5CED"/>
    <w:rsid w:val="006F663B"/>
    <w:rsid w:val="006F75FC"/>
    <w:rsid w:val="006F7889"/>
    <w:rsid w:val="0070109A"/>
    <w:rsid w:val="007024DC"/>
    <w:rsid w:val="007027F5"/>
    <w:rsid w:val="0070360E"/>
    <w:rsid w:val="007036B1"/>
    <w:rsid w:val="007040BD"/>
    <w:rsid w:val="00705415"/>
    <w:rsid w:val="007056ED"/>
    <w:rsid w:val="00705A51"/>
    <w:rsid w:val="007110D8"/>
    <w:rsid w:val="00711797"/>
    <w:rsid w:val="007117E3"/>
    <w:rsid w:val="00711DC8"/>
    <w:rsid w:val="00711E30"/>
    <w:rsid w:val="00712D05"/>
    <w:rsid w:val="00712F96"/>
    <w:rsid w:val="007137B0"/>
    <w:rsid w:val="007141AB"/>
    <w:rsid w:val="00714FB6"/>
    <w:rsid w:val="007150FC"/>
    <w:rsid w:val="00715A5A"/>
    <w:rsid w:val="00715E79"/>
    <w:rsid w:val="007163FA"/>
    <w:rsid w:val="00716A9C"/>
    <w:rsid w:val="007175CD"/>
    <w:rsid w:val="00717C77"/>
    <w:rsid w:val="00721699"/>
    <w:rsid w:val="00721768"/>
    <w:rsid w:val="00723A49"/>
    <w:rsid w:val="00724D3B"/>
    <w:rsid w:val="00725148"/>
    <w:rsid w:val="00725F08"/>
    <w:rsid w:val="00732334"/>
    <w:rsid w:val="0073239C"/>
    <w:rsid w:val="00732671"/>
    <w:rsid w:val="0073326A"/>
    <w:rsid w:val="007336EA"/>
    <w:rsid w:val="00733ADA"/>
    <w:rsid w:val="00734A51"/>
    <w:rsid w:val="00734B3E"/>
    <w:rsid w:val="00734F74"/>
    <w:rsid w:val="0073539E"/>
    <w:rsid w:val="00735939"/>
    <w:rsid w:val="00735E43"/>
    <w:rsid w:val="00735FC7"/>
    <w:rsid w:val="00737221"/>
    <w:rsid w:val="00737ED1"/>
    <w:rsid w:val="007401CE"/>
    <w:rsid w:val="007402DD"/>
    <w:rsid w:val="007404B8"/>
    <w:rsid w:val="00740EC6"/>
    <w:rsid w:val="00741FE1"/>
    <w:rsid w:val="00743095"/>
    <w:rsid w:val="007443CD"/>
    <w:rsid w:val="00744448"/>
    <w:rsid w:val="007450AC"/>
    <w:rsid w:val="00745EE8"/>
    <w:rsid w:val="00746A69"/>
    <w:rsid w:val="00746E28"/>
    <w:rsid w:val="00747277"/>
    <w:rsid w:val="00747827"/>
    <w:rsid w:val="00747C5A"/>
    <w:rsid w:val="007503E2"/>
    <w:rsid w:val="00750B12"/>
    <w:rsid w:val="00750C65"/>
    <w:rsid w:val="007527DE"/>
    <w:rsid w:val="00752B52"/>
    <w:rsid w:val="00752EE7"/>
    <w:rsid w:val="00754A55"/>
    <w:rsid w:val="007553C3"/>
    <w:rsid w:val="00756590"/>
    <w:rsid w:val="00757626"/>
    <w:rsid w:val="007602DC"/>
    <w:rsid w:val="007613B1"/>
    <w:rsid w:val="0076172F"/>
    <w:rsid w:val="00761843"/>
    <w:rsid w:val="007625C9"/>
    <w:rsid w:val="007637EB"/>
    <w:rsid w:val="00763BD6"/>
    <w:rsid w:val="00763CC0"/>
    <w:rsid w:val="0076432B"/>
    <w:rsid w:val="00764DEA"/>
    <w:rsid w:val="00764FC2"/>
    <w:rsid w:val="00765389"/>
    <w:rsid w:val="007654E6"/>
    <w:rsid w:val="00765585"/>
    <w:rsid w:val="00765998"/>
    <w:rsid w:val="00767867"/>
    <w:rsid w:val="007706BC"/>
    <w:rsid w:val="0077119E"/>
    <w:rsid w:val="00771332"/>
    <w:rsid w:val="0077392B"/>
    <w:rsid w:val="00775436"/>
    <w:rsid w:val="00776958"/>
    <w:rsid w:val="007773C5"/>
    <w:rsid w:val="00780AE3"/>
    <w:rsid w:val="00781893"/>
    <w:rsid w:val="00782282"/>
    <w:rsid w:val="00782AB7"/>
    <w:rsid w:val="00782CAA"/>
    <w:rsid w:val="007831B5"/>
    <w:rsid w:val="00783315"/>
    <w:rsid w:val="0078391A"/>
    <w:rsid w:val="00783A5E"/>
    <w:rsid w:val="00784342"/>
    <w:rsid w:val="007844EE"/>
    <w:rsid w:val="00784C4B"/>
    <w:rsid w:val="0078545A"/>
    <w:rsid w:val="00785C50"/>
    <w:rsid w:val="00785E84"/>
    <w:rsid w:val="00786120"/>
    <w:rsid w:val="00786220"/>
    <w:rsid w:val="007863F7"/>
    <w:rsid w:val="00787305"/>
    <w:rsid w:val="00790128"/>
    <w:rsid w:val="0079069A"/>
    <w:rsid w:val="00790940"/>
    <w:rsid w:val="00791A2D"/>
    <w:rsid w:val="00792CA7"/>
    <w:rsid w:val="00793207"/>
    <w:rsid w:val="0079399B"/>
    <w:rsid w:val="00793E48"/>
    <w:rsid w:val="007943E4"/>
    <w:rsid w:val="007958D9"/>
    <w:rsid w:val="00797053"/>
    <w:rsid w:val="007972EA"/>
    <w:rsid w:val="00797A86"/>
    <w:rsid w:val="00797B93"/>
    <w:rsid w:val="00797FD9"/>
    <w:rsid w:val="007A06E7"/>
    <w:rsid w:val="007A219C"/>
    <w:rsid w:val="007A259A"/>
    <w:rsid w:val="007A2AD3"/>
    <w:rsid w:val="007A3DCD"/>
    <w:rsid w:val="007A3EBA"/>
    <w:rsid w:val="007A44D0"/>
    <w:rsid w:val="007A5B29"/>
    <w:rsid w:val="007A5B44"/>
    <w:rsid w:val="007A686F"/>
    <w:rsid w:val="007A68E7"/>
    <w:rsid w:val="007A7CFB"/>
    <w:rsid w:val="007A7E89"/>
    <w:rsid w:val="007B0838"/>
    <w:rsid w:val="007B095A"/>
    <w:rsid w:val="007B095C"/>
    <w:rsid w:val="007B0D1E"/>
    <w:rsid w:val="007B0F16"/>
    <w:rsid w:val="007B15FF"/>
    <w:rsid w:val="007B3FEB"/>
    <w:rsid w:val="007B44CD"/>
    <w:rsid w:val="007B52F1"/>
    <w:rsid w:val="007B53A7"/>
    <w:rsid w:val="007B5AB0"/>
    <w:rsid w:val="007B6720"/>
    <w:rsid w:val="007B6DF9"/>
    <w:rsid w:val="007B74B7"/>
    <w:rsid w:val="007B798A"/>
    <w:rsid w:val="007B7E1D"/>
    <w:rsid w:val="007C05B4"/>
    <w:rsid w:val="007C0E4B"/>
    <w:rsid w:val="007C1875"/>
    <w:rsid w:val="007C19D0"/>
    <w:rsid w:val="007C1D0A"/>
    <w:rsid w:val="007C22CC"/>
    <w:rsid w:val="007C22D9"/>
    <w:rsid w:val="007C2B10"/>
    <w:rsid w:val="007C31FB"/>
    <w:rsid w:val="007C3567"/>
    <w:rsid w:val="007C40DC"/>
    <w:rsid w:val="007C43A7"/>
    <w:rsid w:val="007C44CD"/>
    <w:rsid w:val="007C4996"/>
    <w:rsid w:val="007C4F8B"/>
    <w:rsid w:val="007C58FD"/>
    <w:rsid w:val="007C66F8"/>
    <w:rsid w:val="007C6D7C"/>
    <w:rsid w:val="007C728A"/>
    <w:rsid w:val="007C752A"/>
    <w:rsid w:val="007C77A2"/>
    <w:rsid w:val="007C7D36"/>
    <w:rsid w:val="007C7EF5"/>
    <w:rsid w:val="007D0A6B"/>
    <w:rsid w:val="007D34FD"/>
    <w:rsid w:val="007D3CB6"/>
    <w:rsid w:val="007D3ED6"/>
    <w:rsid w:val="007D4BEA"/>
    <w:rsid w:val="007D54D5"/>
    <w:rsid w:val="007D557A"/>
    <w:rsid w:val="007D5931"/>
    <w:rsid w:val="007D63F0"/>
    <w:rsid w:val="007D79E1"/>
    <w:rsid w:val="007E024E"/>
    <w:rsid w:val="007E0492"/>
    <w:rsid w:val="007E33F7"/>
    <w:rsid w:val="007E42F9"/>
    <w:rsid w:val="007E4745"/>
    <w:rsid w:val="007E4C40"/>
    <w:rsid w:val="007E4DC5"/>
    <w:rsid w:val="007E4E7E"/>
    <w:rsid w:val="007E4EB2"/>
    <w:rsid w:val="007E5339"/>
    <w:rsid w:val="007E5BB2"/>
    <w:rsid w:val="007E5F23"/>
    <w:rsid w:val="007E60E8"/>
    <w:rsid w:val="007E683B"/>
    <w:rsid w:val="007E6976"/>
    <w:rsid w:val="007E6A9F"/>
    <w:rsid w:val="007E7FE6"/>
    <w:rsid w:val="007F02B7"/>
    <w:rsid w:val="007F18DC"/>
    <w:rsid w:val="007F271B"/>
    <w:rsid w:val="007F31BD"/>
    <w:rsid w:val="007F3A75"/>
    <w:rsid w:val="007F4780"/>
    <w:rsid w:val="007F57FD"/>
    <w:rsid w:val="007F5B71"/>
    <w:rsid w:val="007F6385"/>
    <w:rsid w:val="007F6738"/>
    <w:rsid w:val="007F6A75"/>
    <w:rsid w:val="007F70ED"/>
    <w:rsid w:val="007F7DE0"/>
    <w:rsid w:val="0080097F"/>
    <w:rsid w:val="00800F49"/>
    <w:rsid w:val="008015DD"/>
    <w:rsid w:val="00801621"/>
    <w:rsid w:val="00801A6E"/>
    <w:rsid w:val="00801EA9"/>
    <w:rsid w:val="00801F40"/>
    <w:rsid w:val="008022FA"/>
    <w:rsid w:val="008023BD"/>
    <w:rsid w:val="00802475"/>
    <w:rsid w:val="0080274C"/>
    <w:rsid w:val="00802938"/>
    <w:rsid w:val="00802AAA"/>
    <w:rsid w:val="008030D0"/>
    <w:rsid w:val="00803748"/>
    <w:rsid w:val="008046CC"/>
    <w:rsid w:val="00804D2E"/>
    <w:rsid w:val="0080603D"/>
    <w:rsid w:val="0080702B"/>
    <w:rsid w:val="0081036A"/>
    <w:rsid w:val="00810CCC"/>
    <w:rsid w:val="008116E7"/>
    <w:rsid w:val="008123E5"/>
    <w:rsid w:val="008126B8"/>
    <w:rsid w:val="00813116"/>
    <w:rsid w:val="008132F8"/>
    <w:rsid w:val="00813404"/>
    <w:rsid w:val="00814151"/>
    <w:rsid w:val="00814B22"/>
    <w:rsid w:val="00814EED"/>
    <w:rsid w:val="00815153"/>
    <w:rsid w:val="0081526E"/>
    <w:rsid w:val="008156BF"/>
    <w:rsid w:val="00815881"/>
    <w:rsid w:val="00815B81"/>
    <w:rsid w:val="00816AF0"/>
    <w:rsid w:val="00817981"/>
    <w:rsid w:val="008200CF"/>
    <w:rsid w:val="00820203"/>
    <w:rsid w:val="00820530"/>
    <w:rsid w:val="00821401"/>
    <w:rsid w:val="00821503"/>
    <w:rsid w:val="00822D89"/>
    <w:rsid w:val="00823311"/>
    <w:rsid w:val="008236AD"/>
    <w:rsid w:val="0082371E"/>
    <w:rsid w:val="0082420D"/>
    <w:rsid w:val="00824EF0"/>
    <w:rsid w:val="008254DB"/>
    <w:rsid w:val="0082603A"/>
    <w:rsid w:val="008263AE"/>
    <w:rsid w:val="00826AD6"/>
    <w:rsid w:val="00827CD2"/>
    <w:rsid w:val="008302B6"/>
    <w:rsid w:val="00830D5B"/>
    <w:rsid w:val="00830DEB"/>
    <w:rsid w:val="00832577"/>
    <w:rsid w:val="008329FB"/>
    <w:rsid w:val="00832C51"/>
    <w:rsid w:val="00833274"/>
    <w:rsid w:val="008337E5"/>
    <w:rsid w:val="008339CD"/>
    <w:rsid w:val="00833B84"/>
    <w:rsid w:val="00834A9A"/>
    <w:rsid w:val="00835B2C"/>
    <w:rsid w:val="00835EF6"/>
    <w:rsid w:val="00835F3F"/>
    <w:rsid w:val="00836870"/>
    <w:rsid w:val="008369AA"/>
    <w:rsid w:val="00836F61"/>
    <w:rsid w:val="00837919"/>
    <w:rsid w:val="00837CCF"/>
    <w:rsid w:val="00841307"/>
    <w:rsid w:val="00841C3D"/>
    <w:rsid w:val="00842ECC"/>
    <w:rsid w:val="00842EE8"/>
    <w:rsid w:val="008430A0"/>
    <w:rsid w:val="00843345"/>
    <w:rsid w:val="00843D36"/>
    <w:rsid w:val="00843F50"/>
    <w:rsid w:val="00843FA8"/>
    <w:rsid w:val="00844AC7"/>
    <w:rsid w:val="00845440"/>
    <w:rsid w:val="00845B03"/>
    <w:rsid w:val="00845F9F"/>
    <w:rsid w:val="00846809"/>
    <w:rsid w:val="00846E06"/>
    <w:rsid w:val="00852130"/>
    <w:rsid w:val="0085252C"/>
    <w:rsid w:val="00853BD7"/>
    <w:rsid w:val="00853F56"/>
    <w:rsid w:val="0085475E"/>
    <w:rsid w:val="00854AA3"/>
    <w:rsid w:val="008551C7"/>
    <w:rsid w:val="00855AA9"/>
    <w:rsid w:val="00855B30"/>
    <w:rsid w:val="0085628B"/>
    <w:rsid w:val="008565E7"/>
    <w:rsid w:val="008615E4"/>
    <w:rsid w:val="00862CDB"/>
    <w:rsid w:val="00863791"/>
    <w:rsid w:val="00865056"/>
    <w:rsid w:val="00865915"/>
    <w:rsid w:val="00866D94"/>
    <w:rsid w:val="00867968"/>
    <w:rsid w:val="0087079F"/>
    <w:rsid w:val="00870976"/>
    <w:rsid w:val="00871FA3"/>
    <w:rsid w:val="0087293E"/>
    <w:rsid w:val="00873041"/>
    <w:rsid w:val="00873876"/>
    <w:rsid w:val="00873C7B"/>
    <w:rsid w:val="00874111"/>
    <w:rsid w:val="00874560"/>
    <w:rsid w:val="008745D0"/>
    <w:rsid w:val="00875397"/>
    <w:rsid w:val="00875481"/>
    <w:rsid w:val="0087611C"/>
    <w:rsid w:val="0087652F"/>
    <w:rsid w:val="00876599"/>
    <w:rsid w:val="00876C79"/>
    <w:rsid w:val="00881F0D"/>
    <w:rsid w:val="008827FC"/>
    <w:rsid w:val="00883E10"/>
    <w:rsid w:val="0088484E"/>
    <w:rsid w:val="008848EF"/>
    <w:rsid w:val="0088498F"/>
    <w:rsid w:val="00884FB9"/>
    <w:rsid w:val="008858DC"/>
    <w:rsid w:val="008864AD"/>
    <w:rsid w:val="008869AF"/>
    <w:rsid w:val="00886D3A"/>
    <w:rsid w:val="0089028D"/>
    <w:rsid w:val="008902F8"/>
    <w:rsid w:val="0089294F"/>
    <w:rsid w:val="00892D3B"/>
    <w:rsid w:val="00892E56"/>
    <w:rsid w:val="0089341D"/>
    <w:rsid w:val="00893EBD"/>
    <w:rsid w:val="0089432F"/>
    <w:rsid w:val="00895696"/>
    <w:rsid w:val="00895D6D"/>
    <w:rsid w:val="0089691C"/>
    <w:rsid w:val="00896B96"/>
    <w:rsid w:val="00896BD7"/>
    <w:rsid w:val="0089779A"/>
    <w:rsid w:val="008A0442"/>
    <w:rsid w:val="008A05A8"/>
    <w:rsid w:val="008A169F"/>
    <w:rsid w:val="008A187A"/>
    <w:rsid w:val="008A1B0A"/>
    <w:rsid w:val="008A1C13"/>
    <w:rsid w:val="008A212B"/>
    <w:rsid w:val="008A2238"/>
    <w:rsid w:val="008A32CF"/>
    <w:rsid w:val="008A3CA5"/>
    <w:rsid w:val="008A3D5D"/>
    <w:rsid w:val="008A3F6D"/>
    <w:rsid w:val="008A43FF"/>
    <w:rsid w:val="008A5B8D"/>
    <w:rsid w:val="008A6030"/>
    <w:rsid w:val="008A75C2"/>
    <w:rsid w:val="008B00FC"/>
    <w:rsid w:val="008B0259"/>
    <w:rsid w:val="008B028A"/>
    <w:rsid w:val="008B0E6C"/>
    <w:rsid w:val="008B222F"/>
    <w:rsid w:val="008B2AEF"/>
    <w:rsid w:val="008B33BB"/>
    <w:rsid w:val="008B3B36"/>
    <w:rsid w:val="008B44D7"/>
    <w:rsid w:val="008B484C"/>
    <w:rsid w:val="008B493B"/>
    <w:rsid w:val="008B5B05"/>
    <w:rsid w:val="008B6C8D"/>
    <w:rsid w:val="008B79AD"/>
    <w:rsid w:val="008B7AD8"/>
    <w:rsid w:val="008B7D9F"/>
    <w:rsid w:val="008C0BF5"/>
    <w:rsid w:val="008C0D2A"/>
    <w:rsid w:val="008C1009"/>
    <w:rsid w:val="008C11B2"/>
    <w:rsid w:val="008C1BB9"/>
    <w:rsid w:val="008C299E"/>
    <w:rsid w:val="008C3CC7"/>
    <w:rsid w:val="008C3E99"/>
    <w:rsid w:val="008C55D0"/>
    <w:rsid w:val="008C5687"/>
    <w:rsid w:val="008C5EA1"/>
    <w:rsid w:val="008C63A0"/>
    <w:rsid w:val="008C726E"/>
    <w:rsid w:val="008D011F"/>
    <w:rsid w:val="008D1A7D"/>
    <w:rsid w:val="008D1D3F"/>
    <w:rsid w:val="008D2037"/>
    <w:rsid w:val="008D2A0C"/>
    <w:rsid w:val="008D319D"/>
    <w:rsid w:val="008D3503"/>
    <w:rsid w:val="008D38FC"/>
    <w:rsid w:val="008D3FA0"/>
    <w:rsid w:val="008D451B"/>
    <w:rsid w:val="008D484E"/>
    <w:rsid w:val="008D4E3A"/>
    <w:rsid w:val="008D55C7"/>
    <w:rsid w:val="008D5949"/>
    <w:rsid w:val="008D5E43"/>
    <w:rsid w:val="008D73CF"/>
    <w:rsid w:val="008D78CC"/>
    <w:rsid w:val="008D7CB3"/>
    <w:rsid w:val="008E04FB"/>
    <w:rsid w:val="008E144E"/>
    <w:rsid w:val="008E1540"/>
    <w:rsid w:val="008E2EC9"/>
    <w:rsid w:val="008E3192"/>
    <w:rsid w:val="008E3921"/>
    <w:rsid w:val="008E39E7"/>
    <w:rsid w:val="008E3FFB"/>
    <w:rsid w:val="008E4F8A"/>
    <w:rsid w:val="008E6547"/>
    <w:rsid w:val="008E74AA"/>
    <w:rsid w:val="008E7744"/>
    <w:rsid w:val="008E7B5A"/>
    <w:rsid w:val="008F0F92"/>
    <w:rsid w:val="008F12D6"/>
    <w:rsid w:val="008F149D"/>
    <w:rsid w:val="008F23B1"/>
    <w:rsid w:val="008F2C13"/>
    <w:rsid w:val="008F3304"/>
    <w:rsid w:val="008F3C0C"/>
    <w:rsid w:val="008F4B7E"/>
    <w:rsid w:val="008F52D3"/>
    <w:rsid w:val="008F5BF1"/>
    <w:rsid w:val="008F663B"/>
    <w:rsid w:val="008F73A8"/>
    <w:rsid w:val="008F7935"/>
    <w:rsid w:val="00900EBB"/>
    <w:rsid w:val="00900FD4"/>
    <w:rsid w:val="009013FD"/>
    <w:rsid w:val="0090172E"/>
    <w:rsid w:val="00901C93"/>
    <w:rsid w:val="00902DE6"/>
    <w:rsid w:val="00902FF1"/>
    <w:rsid w:val="009036F0"/>
    <w:rsid w:val="00903D36"/>
    <w:rsid w:val="00903E89"/>
    <w:rsid w:val="00904485"/>
    <w:rsid w:val="00904B45"/>
    <w:rsid w:val="009051FF"/>
    <w:rsid w:val="00905886"/>
    <w:rsid w:val="00906B89"/>
    <w:rsid w:val="00911FD3"/>
    <w:rsid w:val="00914305"/>
    <w:rsid w:val="009143D9"/>
    <w:rsid w:val="00914720"/>
    <w:rsid w:val="009148D5"/>
    <w:rsid w:val="0091571D"/>
    <w:rsid w:val="00915841"/>
    <w:rsid w:val="00916234"/>
    <w:rsid w:val="00917244"/>
    <w:rsid w:val="00917487"/>
    <w:rsid w:val="00917730"/>
    <w:rsid w:val="0092004A"/>
    <w:rsid w:val="009201CA"/>
    <w:rsid w:val="009205BB"/>
    <w:rsid w:val="00920676"/>
    <w:rsid w:val="0092103F"/>
    <w:rsid w:val="00921CC7"/>
    <w:rsid w:val="00922A50"/>
    <w:rsid w:val="00922A74"/>
    <w:rsid w:val="0092393F"/>
    <w:rsid w:val="00923FD9"/>
    <w:rsid w:val="0092457A"/>
    <w:rsid w:val="0092459C"/>
    <w:rsid w:val="00924B20"/>
    <w:rsid w:val="00924C52"/>
    <w:rsid w:val="0092519B"/>
    <w:rsid w:val="00925902"/>
    <w:rsid w:val="009259FF"/>
    <w:rsid w:val="00925BD4"/>
    <w:rsid w:val="00925F03"/>
    <w:rsid w:val="0092668A"/>
    <w:rsid w:val="00926C84"/>
    <w:rsid w:val="00926CBC"/>
    <w:rsid w:val="00927118"/>
    <w:rsid w:val="0093115D"/>
    <w:rsid w:val="00931267"/>
    <w:rsid w:val="00931825"/>
    <w:rsid w:val="00932E32"/>
    <w:rsid w:val="00933288"/>
    <w:rsid w:val="00933BFE"/>
    <w:rsid w:val="00933DC9"/>
    <w:rsid w:val="00934192"/>
    <w:rsid w:val="00934B40"/>
    <w:rsid w:val="0093567B"/>
    <w:rsid w:val="00935FCD"/>
    <w:rsid w:val="00936027"/>
    <w:rsid w:val="009372F0"/>
    <w:rsid w:val="00937373"/>
    <w:rsid w:val="009378BF"/>
    <w:rsid w:val="009407E1"/>
    <w:rsid w:val="00940CFC"/>
    <w:rsid w:val="009417BB"/>
    <w:rsid w:val="00943D37"/>
    <w:rsid w:val="00943ED1"/>
    <w:rsid w:val="009446A5"/>
    <w:rsid w:val="00944F20"/>
    <w:rsid w:val="00945251"/>
    <w:rsid w:val="009452B3"/>
    <w:rsid w:val="00945681"/>
    <w:rsid w:val="00946A55"/>
    <w:rsid w:val="00946B64"/>
    <w:rsid w:val="009472CD"/>
    <w:rsid w:val="00947798"/>
    <w:rsid w:val="009478F5"/>
    <w:rsid w:val="0095021D"/>
    <w:rsid w:val="00950DE7"/>
    <w:rsid w:val="00951514"/>
    <w:rsid w:val="009526FD"/>
    <w:rsid w:val="0095408D"/>
    <w:rsid w:val="0095664D"/>
    <w:rsid w:val="00957387"/>
    <w:rsid w:val="00962873"/>
    <w:rsid w:val="00963C5C"/>
    <w:rsid w:val="00964641"/>
    <w:rsid w:val="009656F2"/>
    <w:rsid w:val="00965A2C"/>
    <w:rsid w:val="0096662A"/>
    <w:rsid w:val="00966D45"/>
    <w:rsid w:val="009672B9"/>
    <w:rsid w:val="00967D69"/>
    <w:rsid w:val="00967E23"/>
    <w:rsid w:val="009716D7"/>
    <w:rsid w:val="00971FE4"/>
    <w:rsid w:val="00972845"/>
    <w:rsid w:val="009767C7"/>
    <w:rsid w:val="0097771C"/>
    <w:rsid w:val="00977A3A"/>
    <w:rsid w:val="00977E8B"/>
    <w:rsid w:val="00980BCD"/>
    <w:rsid w:val="00980F93"/>
    <w:rsid w:val="009812FE"/>
    <w:rsid w:val="00981C2F"/>
    <w:rsid w:val="00981EF8"/>
    <w:rsid w:val="00984018"/>
    <w:rsid w:val="00984D4A"/>
    <w:rsid w:val="009858C4"/>
    <w:rsid w:val="009869E6"/>
    <w:rsid w:val="00986A80"/>
    <w:rsid w:val="00987CBA"/>
    <w:rsid w:val="009905BC"/>
    <w:rsid w:val="009908DE"/>
    <w:rsid w:val="00990ECC"/>
    <w:rsid w:val="00991702"/>
    <w:rsid w:val="00991E91"/>
    <w:rsid w:val="00992825"/>
    <w:rsid w:val="00992B13"/>
    <w:rsid w:val="00992E35"/>
    <w:rsid w:val="00993661"/>
    <w:rsid w:val="009938BC"/>
    <w:rsid w:val="009951AF"/>
    <w:rsid w:val="0099553A"/>
    <w:rsid w:val="009957EF"/>
    <w:rsid w:val="0099581B"/>
    <w:rsid w:val="00995BB4"/>
    <w:rsid w:val="00997696"/>
    <w:rsid w:val="00997824"/>
    <w:rsid w:val="009A0B80"/>
    <w:rsid w:val="009A149A"/>
    <w:rsid w:val="009A33F4"/>
    <w:rsid w:val="009A34D1"/>
    <w:rsid w:val="009A4D2D"/>
    <w:rsid w:val="009A4E64"/>
    <w:rsid w:val="009A5041"/>
    <w:rsid w:val="009A5785"/>
    <w:rsid w:val="009A5E40"/>
    <w:rsid w:val="009A6F13"/>
    <w:rsid w:val="009B1A0E"/>
    <w:rsid w:val="009B21B0"/>
    <w:rsid w:val="009B3502"/>
    <w:rsid w:val="009B53F5"/>
    <w:rsid w:val="009B6F49"/>
    <w:rsid w:val="009B708D"/>
    <w:rsid w:val="009B790C"/>
    <w:rsid w:val="009C0448"/>
    <w:rsid w:val="009C0BEC"/>
    <w:rsid w:val="009C2191"/>
    <w:rsid w:val="009C49B1"/>
    <w:rsid w:val="009C5202"/>
    <w:rsid w:val="009C5AA7"/>
    <w:rsid w:val="009C747B"/>
    <w:rsid w:val="009C748A"/>
    <w:rsid w:val="009C7796"/>
    <w:rsid w:val="009C78BC"/>
    <w:rsid w:val="009C7950"/>
    <w:rsid w:val="009D06C8"/>
    <w:rsid w:val="009D0AFA"/>
    <w:rsid w:val="009D0D3A"/>
    <w:rsid w:val="009D1256"/>
    <w:rsid w:val="009D2387"/>
    <w:rsid w:val="009D256B"/>
    <w:rsid w:val="009D25B6"/>
    <w:rsid w:val="009D3787"/>
    <w:rsid w:val="009D38F3"/>
    <w:rsid w:val="009D4739"/>
    <w:rsid w:val="009D5E86"/>
    <w:rsid w:val="009D6985"/>
    <w:rsid w:val="009D6A66"/>
    <w:rsid w:val="009D6D30"/>
    <w:rsid w:val="009D7CBB"/>
    <w:rsid w:val="009E023C"/>
    <w:rsid w:val="009E0608"/>
    <w:rsid w:val="009E08BC"/>
    <w:rsid w:val="009E09DE"/>
    <w:rsid w:val="009E10AD"/>
    <w:rsid w:val="009E3273"/>
    <w:rsid w:val="009E397B"/>
    <w:rsid w:val="009E3FEC"/>
    <w:rsid w:val="009E412C"/>
    <w:rsid w:val="009E4786"/>
    <w:rsid w:val="009E4C39"/>
    <w:rsid w:val="009E4DD6"/>
    <w:rsid w:val="009E5259"/>
    <w:rsid w:val="009E536F"/>
    <w:rsid w:val="009E5DB6"/>
    <w:rsid w:val="009E60F6"/>
    <w:rsid w:val="009E6A50"/>
    <w:rsid w:val="009E78E0"/>
    <w:rsid w:val="009E7AAD"/>
    <w:rsid w:val="009F0303"/>
    <w:rsid w:val="009F0FD2"/>
    <w:rsid w:val="009F12BA"/>
    <w:rsid w:val="009F1AD8"/>
    <w:rsid w:val="009F2191"/>
    <w:rsid w:val="009F22EE"/>
    <w:rsid w:val="009F356C"/>
    <w:rsid w:val="009F469F"/>
    <w:rsid w:val="009F4B20"/>
    <w:rsid w:val="009F5350"/>
    <w:rsid w:val="009F5DFC"/>
    <w:rsid w:val="009F7A36"/>
    <w:rsid w:val="009F7A63"/>
    <w:rsid w:val="009F7B4A"/>
    <w:rsid w:val="009F7CA1"/>
    <w:rsid w:val="00A0034A"/>
    <w:rsid w:val="00A007A5"/>
    <w:rsid w:val="00A00EAE"/>
    <w:rsid w:val="00A01C3E"/>
    <w:rsid w:val="00A01C8C"/>
    <w:rsid w:val="00A01E76"/>
    <w:rsid w:val="00A02BDB"/>
    <w:rsid w:val="00A02D89"/>
    <w:rsid w:val="00A03071"/>
    <w:rsid w:val="00A04AF2"/>
    <w:rsid w:val="00A04D75"/>
    <w:rsid w:val="00A06928"/>
    <w:rsid w:val="00A0785F"/>
    <w:rsid w:val="00A1070D"/>
    <w:rsid w:val="00A127B7"/>
    <w:rsid w:val="00A1354E"/>
    <w:rsid w:val="00A13CA7"/>
    <w:rsid w:val="00A13E4D"/>
    <w:rsid w:val="00A14951"/>
    <w:rsid w:val="00A149B6"/>
    <w:rsid w:val="00A152AC"/>
    <w:rsid w:val="00A153A9"/>
    <w:rsid w:val="00A155B4"/>
    <w:rsid w:val="00A16082"/>
    <w:rsid w:val="00A16DBE"/>
    <w:rsid w:val="00A175FF"/>
    <w:rsid w:val="00A206CA"/>
    <w:rsid w:val="00A20BFA"/>
    <w:rsid w:val="00A213D0"/>
    <w:rsid w:val="00A220A6"/>
    <w:rsid w:val="00A2288E"/>
    <w:rsid w:val="00A22C87"/>
    <w:rsid w:val="00A241E3"/>
    <w:rsid w:val="00A244C7"/>
    <w:rsid w:val="00A249A7"/>
    <w:rsid w:val="00A25013"/>
    <w:rsid w:val="00A251E8"/>
    <w:rsid w:val="00A259EF"/>
    <w:rsid w:val="00A26080"/>
    <w:rsid w:val="00A30528"/>
    <w:rsid w:val="00A307C1"/>
    <w:rsid w:val="00A30A02"/>
    <w:rsid w:val="00A3106F"/>
    <w:rsid w:val="00A311B0"/>
    <w:rsid w:val="00A31DE0"/>
    <w:rsid w:val="00A327A9"/>
    <w:rsid w:val="00A327AE"/>
    <w:rsid w:val="00A331AA"/>
    <w:rsid w:val="00A336E2"/>
    <w:rsid w:val="00A33986"/>
    <w:rsid w:val="00A34098"/>
    <w:rsid w:val="00A344F3"/>
    <w:rsid w:val="00A34794"/>
    <w:rsid w:val="00A34D1B"/>
    <w:rsid w:val="00A359AC"/>
    <w:rsid w:val="00A35D20"/>
    <w:rsid w:val="00A36BA5"/>
    <w:rsid w:val="00A36DE6"/>
    <w:rsid w:val="00A377C8"/>
    <w:rsid w:val="00A3797A"/>
    <w:rsid w:val="00A37E94"/>
    <w:rsid w:val="00A40593"/>
    <w:rsid w:val="00A40AFE"/>
    <w:rsid w:val="00A40ED5"/>
    <w:rsid w:val="00A41707"/>
    <w:rsid w:val="00A41DDB"/>
    <w:rsid w:val="00A42994"/>
    <w:rsid w:val="00A42B4F"/>
    <w:rsid w:val="00A42BBB"/>
    <w:rsid w:val="00A43377"/>
    <w:rsid w:val="00A4371A"/>
    <w:rsid w:val="00A442A2"/>
    <w:rsid w:val="00A44D32"/>
    <w:rsid w:val="00A45D1C"/>
    <w:rsid w:val="00A45EC8"/>
    <w:rsid w:val="00A465C5"/>
    <w:rsid w:val="00A4707F"/>
    <w:rsid w:val="00A47660"/>
    <w:rsid w:val="00A47BE9"/>
    <w:rsid w:val="00A47CE3"/>
    <w:rsid w:val="00A51C2A"/>
    <w:rsid w:val="00A53608"/>
    <w:rsid w:val="00A53E29"/>
    <w:rsid w:val="00A53FB0"/>
    <w:rsid w:val="00A55391"/>
    <w:rsid w:val="00A55F21"/>
    <w:rsid w:val="00A5671F"/>
    <w:rsid w:val="00A6010F"/>
    <w:rsid w:val="00A60CC0"/>
    <w:rsid w:val="00A60F52"/>
    <w:rsid w:val="00A615AB"/>
    <w:rsid w:val="00A61871"/>
    <w:rsid w:val="00A61E60"/>
    <w:rsid w:val="00A639D7"/>
    <w:rsid w:val="00A6458C"/>
    <w:rsid w:val="00A67191"/>
    <w:rsid w:val="00A71AF4"/>
    <w:rsid w:val="00A72EA2"/>
    <w:rsid w:val="00A73D77"/>
    <w:rsid w:val="00A73DCA"/>
    <w:rsid w:val="00A740F1"/>
    <w:rsid w:val="00A7416C"/>
    <w:rsid w:val="00A74356"/>
    <w:rsid w:val="00A756F2"/>
    <w:rsid w:val="00A75A88"/>
    <w:rsid w:val="00A75BC2"/>
    <w:rsid w:val="00A75F04"/>
    <w:rsid w:val="00A75F9E"/>
    <w:rsid w:val="00A760CD"/>
    <w:rsid w:val="00A77181"/>
    <w:rsid w:val="00A807FC"/>
    <w:rsid w:val="00A80D60"/>
    <w:rsid w:val="00A82120"/>
    <w:rsid w:val="00A8248D"/>
    <w:rsid w:val="00A83425"/>
    <w:rsid w:val="00A83800"/>
    <w:rsid w:val="00A83F44"/>
    <w:rsid w:val="00A840EA"/>
    <w:rsid w:val="00A84632"/>
    <w:rsid w:val="00A84D91"/>
    <w:rsid w:val="00A85084"/>
    <w:rsid w:val="00A852A6"/>
    <w:rsid w:val="00A85E8B"/>
    <w:rsid w:val="00A860AF"/>
    <w:rsid w:val="00A860E9"/>
    <w:rsid w:val="00A861C2"/>
    <w:rsid w:val="00A87A0D"/>
    <w:rsid w:val="00A87ACE"/>
    <w:rsid w:val="00A87B98"/>
    <w:rsid w:val="00A90577"/>
    <w:rsid w:val="00A90C05"/>
    <w:rsid w:val="00A92511"/>
    <w:rsid w:val="00A92548"/>
    <w:rsid w:val="00A93167"/>
    <w:rsid w:val="00A93933"/>
    <w:rsid w:val="00A94F03"/>
    <w:rsid w:val="00A954F1"/>
    <w:rsid w:val="00A95735"/>
    <w:rsid w:val="00A95E72"/>
    <w:rsid w:val="00A95F5F"/>
    <w:rsid w:val="00A973B6"/>
    <w:rsid w:val="00A9740D"/>
    <w:rsid w:val="00A97A6F"/>
    <w:rsid w:val="00AA0435"/>
    <w:rsid w:val="00AA0BEB"/>
    <w:rsid w:val="00AA0C44"/>
    <w:rsid w:val="00AA0C5C"/>
    <w:rsid w:val="00AA1414"/>
    <w:rsid w:val="00AA27FE"/>
    <w:rsid w:val="00AA32DA"/>
    <w:rsid w:val="00AA373A"/>
    <w:rsid w:val="00AA385A"/>
    <w:rsid w:val="00AA404C"/>
    <w:rsid w:val="00AA4857"/>
    <w:rsid w:val="00AA5773"/>
    <w:rsid w:val="00AA58F3"/>
    <w:rsid w:val="00AA6786"/>
    <w:rsid w:val="00AA6BCA"/>
    <w:rsid w:val="00AA6F6D"/>
    <w:rsid w:val="00AA790C"/>
    <w:rsid w:val="00AA7CC8"/>
    <w:rsid w:val="00AB0EC5"/>
    <w:rsid w:val="00AB1478"/>
    <w:rsid w:val="00AB19C1"/>
    <w:rsid w:val="00AB29A0"/>
    <w:rsid w:val="00AB2E84"/>
    <w:rsid w:val="00AB4037"/>
    <w:rsid w:val="00AB6D78"/>
    <w:rsid w:val="00AB70E8"/>
    <w:rsid w:val="00AB7163"/>
    <w:rsid w:val="00AB73AD"/>
    <w:rsid w:val="00AC08C0"/>
    <w:rsid w:val="00AC0DE5"/>
    <w:rsid w:val="00AC16BC"/>
    <w:rsid w:val="00AC2514"/>
    <w:rsid w:val="00AC2624"/>
    <w:rsid w:val="00AC2E08"/>
    <w:rsid w:val="00AC3817"/>
    <w:rsid w:val="00AC387A"/>
    <w:rsid w:val="00AC4272"/>
    <w:rsid w:val="00AC4596"/>
    <w:rsid w:val="00AC6A46"/>
    <w:rsid w:val="00AC6BA4"/>
    <w:rsid w:val="00AC6BB9"/>
    <w:rsid w:val="00AC7294"/>
    <w:rsid w:val="00AD00D7"/>
    <w:rsid w:val="00AD06E2"/>
    <w:rsid w:val="00AD0AB7"/>
    <w:rsid w:val="00AD1A3E"/>
    <w:rsid w:val="00AD2FB2"/>
    <w:rsid w:val="00AD3243"/>
    <w:rsid w:val="00AD3483"/>
    <w:rsid w:val="00AD390F"/>
    <w:rsid w:val="00AD45E3"/>
    <w:rsid w:val="00AD5D43"/>
    <w:rsid w:val="00AD6CB8"/>
    <w:rsid w:val="00AD6CEA"/>
    <w:rsid w:val="00AD6FEB"/>
    <w:rsid w:val="00AE1542"/>
    <w:rsid w:val="00AE1A2A"/>
    <w:rsid w:val="00AE1D28"/>
    <w:rsid w:val="00AE1D44"/>
    <w:rsid w:val="00AE30AA"/>
    <w:rsid w:val="00AE3B19"/>
    <w:rsid w:val="00AE3CA8"/>
    <w:rsid w:val="00AE6099"/>
    <w:rsid w:val="00AE71EC"/>
    <w:rsid w:val="00AE7776"/>
    <w:rsid w:val="00AF22F5"/>
    <w:rsid w:val="00AF2D3D"/>
    <w:rsid w:val="00AF3D1D"/>
    <w:rsid w:val="00AF3F95"/>
    <w:rsid w:val="00AF51E2"/>
    <w:rsid w:val="00AF532E"/>
    <w:rsid w:val="00AF5A0F"/>
    <w:rsid w:val="00AF60B5"/>
    <w:rsid w:val="00AF700D"/>
    <w:rsid w:val="00AF7B0B"/>
    <w:rsid w:val="00B006EB"/>
    <w:rsid w:val="00B011C7"/>
    <w:rsid w:val="00B016A0"/>
    <w:rsid w:val="00B0317B"/>
    <w:rsid w:val="00B0327B"/>
    <w:rsid w:val="00B04406"/>
    <w:rsid w:val="00B04661"/>
    <w:rsid w:val="00B0487F"/>
    <w:rsid w:val="00B0562B"/>
    <w:rsid w:val="00B0597B"/>
    <w:rsid w:val="00B060C9"/>
    <w:rsid w:val="00B06C37"/>
    <w:rsid w:val="00B072B0"/>
    <w:rsid w:val="00B0798C"/>
    <w:rsid w:val="00B10808"/>
    <w:rsid w:val="00B10A77"/>
    <w:rsid w:val="00B11436"/>
    <w:rsid w:val="00B117A9"/>
    <w:rsid w:val="00B12569"/>
    <w:rsid w:val="00B1275E"/>
    <w:rsid w:val="00B1340A"/>
    <w:rsid w:val="00B1395B"/>
    <w:rsid w:val="00B13BAE"/>
    <w:rsid w:val="00B13E56"/>
    <w:rsid w:val="00B1492A"/>
    <w:rsid w:val="00B15687"/>
    <w:rsid w:val="00B15A4F"/>
    <w:rsid w:val="00B15C37"/>
    <w:rsid w:val="00B1740C"/>
    <w:rsid w:val="00B2126D"/>
    <w:rsid w:val="00B22014"/>
    <w:rsid w:val="00B22016"/>
    <w:rsid w:val="00B227DE"/>
    <w:rsid w:val="00B23F64"/>
    <w:rsid w:val="00B24099"/>
    <w:rsid w:val="00B250B7"/>
    <w:rsid w:val="00B25959"/>
    <w:rsid w:val="00B263E3"/>
    <w:rsid w:val="00B2712C"/>
    <w:rsid w:val="00B273E7"/>
    <w:rsid w:val="00B27BC4"/>
    <w:rsid w:val="00B30AD3"/>
    <w:rsid w:val="00B317BC"/>
    <w:rsid w:val="00B32656"/>
    <w:rsid w:val="00B32B3B"/>
    <w:rsid w:val="00B332DF"/>
    <w:rsid w:val="00B334BA"/>
    <w:rsid w:val="00B3357C"/>
    <w:rsid w:val="00B34E03"/>
    <w:rsid w:val="00B35C7C"/>
    <w:rsid w:val="00B36802"/>
    <w:rsid w:val="00B369A6"/>
    <w:rsid w:val="00B36DB8"/>
    <w:rsid w:val="00B3738D"/>
    <w:rsid w:val="00B373BE"/>
    <w:rsid w:val="00B373E4"/>
    <w:rsid w:val="00B37BBF"/>
    <w:rsid w:val="00B40EDC"/>
    <w:rsid w:val="00B41EE1"/>
    <w:rsid w:val="00B423A8"/>
    <w:rsid w:val="00B424CA"/>
    <w:rsid w:val="00B43023"/>
    <w:rsid w:val="00B45140"/>
    <w:rsid w:val="00B457DF"/>
    <w:rsid w:val="00B45AF1"/>
    <w:rsid w:val="00B460D8"/>
    <w:rsid w:val="00B46709"/>
    <w:rsid w:val="00B46728"/>
    <w:rsid w:val="00B46877"/>
    <w:rsid w:val="00B46B99"/>
    <w:rsid w:val="00B46E86"/>
    <w:rsid w:val="00B474DF"/>
    <w:rsid w:val="00B505BB"/>
    <w:rsid w:val="00B50B77"/>
    <w:rsid w:val="00B50E3D"/>
    <w:rsid w:val="00B50E7A"/>
    <w:rsid w:val="00B513D4"/>
    <w:rsid w:val="00B51A2B"/>
    <w:rsid w:val="00B51E88"/>
    <w:rsid w:val="00B51F0F"/>
    <w:rsid w:val="00B52390"/>
    <w:rsid w:val="00B5469E"/>
    <w:rsid w:val="00B548EA"/>
    <w:rsid w:val="00B56063"/>
    <w:rsid w:val="00B56DDA"/>
    <w:rsid w:val="00B605AA"/>
    <w:rsid w:val="00B617DE"/>
    <w:rsid w:val="00B622FE"/>
    <w:rsid w:val="00B62732"/>
    <w:rsid w:val="00B62D65"/>
    <w:rsid w:val="00B634A6"/>
    <w:rsid w:val="00B63755"/>
    <w:rsid w:val="00B6393F"/>
    <w:rsid w:val="00B643B4"/>
    <w:rsid w:val="00B64EF1"/>
    <w:rsid w:val="00B64F4B"/>
    <w:rsid w:val="00B64FE3"/>
    <w:rsid w:val="00B65D6E"/>
    <w:rsid w:val="00B660C3"/>
    <w:rsid w:val="00B668AD"/>
    <w:rsid w:val="00B703FE"/>
    <w:rsid w:val="00B71788"/>
    <w:rsid w:val="00B71A06"/>
    <w:rsid w:val="00B71C89"/>
    <w:rsid w:val="00B726C7"/>
    <w:rsid w:val="00B72C46"/>
    <w:rsid w:val="00B73748"/>
    <w:rsid w:val="00B73B44"/>
    <w:rsid w:val="00B73CD3"/>
    <w:rsid w:val="00B73D40"/>
    <w:rsid w:val="00B7404E"/>
    <w:rsid w:val="00B747A5"/>
    <w:rsid w:val="00B7484D"/>
    <w:rsid w:val="00B75511"/>
    <w:rsid w:val="00B75845"/>
    <w:rsid w:val="00B75D1D"/>
    <w:rsid w:val="00B7617C"/>
    <w:rsid w:val="00B777CB"/>
    <w:rsid w:val="00B803E3"/>
    <w:rsid w:val="00B80910"/>
    <w:rsid w:val="00B8261D"/>
    <w:rsid w:val="00B82B7B"/>
    <w:rsid w:val="00B83B24"/>
    <w:rsid w:val="00B84872"/>
    <w:rsid w:val="00B86471"/>
    <w:rsid w:val="00B87142"/>
    <w:rsid w:val="00B90E45"/>
    <w:rsid w:val="00B912D1"/>
    <w:rsid w:val="00B92237"/>
    <w:rsid w:val="00B93A52"/>
    <w:rsid w:val="00B93CF8"/>
    <w:rsid w:val="00B944B1"/>
    <w:rsid w:val="00B9476B"/>
    <w:rsid w:val="00B94F49"/>
    <w:rsid w:val="00B95572"/>
    <w:rsid w:val="00B97102"/>
    <w:rsid w:val="00BA0F4F"/>
    <w:rsid w:val="00BA27BB"/>
    <w:rsid w:val="00BA2853"/>
    <w:rsid w:val="00BA2BFE"/>
    <w:rsid w:val="00BA2D31"/>
    <w:rsid w:val="00BA426A"/>
    <w:rsid w:val="00BA5097"/>
    <w:rsid w:val="00BA70A4"/>
    <w:rsid w:val="00BA7857"/>
    <w:rsid w:val="00BB0D6E"/>
    <w:rsid w:val="00BB1760"/>
    <w:rsid w:val="00BB1946"/>
    <w:rsid w:val="00BB1D60"/>
    <w:rsid w:val="00BB2803"/>
    <w:rsid w:val="00BB2973"/>
    <w:rsid w:val="00BB2CF7"/>
    <w:rsid w:val="00BB369C"/>
    <w:rsid w:val="00BB370F"/>
    <w:rsid w:val="00BB434B"/>
    <w:rsid w:val="00BB4C8D"/>
    <w:rsid w:val="00BB5293"/>
    <w:rsid w:val="00BB565D"/>
    <w:rsid w:val="00BB56CF"/>
    <w:rsid w:val="00BB61F9"/>
    <w:rsid w:val="00BB67E1"/>
    <w:rsid w:val="00BB6F14"/>
    <w:rsid w:val="00BB70BF"/>
    <w:rsid w:val="00BB7C1D"/>
    <w:rsid w:val="00BC0298"/>
    <w:rsid w:val="00BC04C0"/>
    <w:rsid w:val="00BC073A"/>
    <w:rsid w:val="00BC0A75"/>
    <w:rsid w:val="00BC121E"/>
    <w:rsid w:val="00BC1AF4"/>
    <w:rsid w:val="00BC200F"/>
    <w:rsid w:val="00BC298D"/>
    <w:rsid w:val="00BC335E"/>
    <w:rsid w:val="00BC411A"/>
    <w:rsid w:val="00BC4812"/>
    <w:rsid w:val="00BC5731"/>
    <w:rsid w:val="00BC58D1"/>
    <w:rsid w:val="00BC5969"/>
    <w:rsid w:val="00BC6536"/>
    <w:rsid w:val="00BC77F8"/>
    <w:rsid w:val="00BC79F4"/>
    <w:rsid w:val="00BD2D6B"/>
    <w:rsid w:val="00BD3E43"/>
    <w:rsid w:val="00BD4897"/>
    <w:rsid w:val="00BD7B47"/>
    <w:rsid w:val="00BE05EE"/>
    <w:rsid w:val="00BE0F96"/>
    <w:rsid w:val="00BE1100"/>
    <w:rsid w:val="00BE13E1"/>
    <w:rsid w:val="00BE1480"/>
    <w:rsid w:val="00BE2B33"/>
    <w:rsid w:val="00BE31E8"/>
    <w:rsid w:val="00BE375F"/>
    <w:rsid w:val="00BE3DF1"/>
    <w:rsid w:val="00BE4142"/>
    <w:rsid w:val="00BE4EBF"/>
    <w:rsid w:val="00BE5261"/>
    <w:rsid w:val="00BE5EEC"/>
    <w:rsid w:val="00BE73DF"/>
    <w:rsid w:val="00BE777B"/>
    <w:rsid w:val="00BF053B"/>
    <w:rsid w:val="00BF06CC"/>
    <w:rsid w:val="00BF0A53"/>
    <w:rsid w:val="00BF1BF8"/>
    <w:rsid w:val="00BF2458"/>
    <w:rsid w:val="00BF2512"/>
    <w:rsid w:val="00BF2C4B"/>
    <w:rsid w:val="00BF2CA4"/>
    <w:rsid w:val="00BF380D"/>
    <w:rsid w:val="00BF42F8"/>
    <w:rsid w:val="00BF4544"/>
    <w:rsid w:val="00BF458D"/>
    <w:rsid w:val="00BF45AF"/>
    <w:rsid w:val="00BF46C9"/>
    <w:rsid w:val="00BF5746"/>
    <w:rsid w:val="00BF58D5"/>
    <w:rsid w:val="00BF595E"/>
    <w:rsid w:val="00BF623C"/>
    <w:rsid w:val="00BF63D1"/>
    <w:rsid w:val="00BF6F93"/>
    <w:rsid w:val="00BF72AE"/>
    <w:rsid w:val="00BF730C"/>
    <w:rsid w:val="00BF7D03"/>
    <w:rsid w:val="00C0032A"/>
    <w:rsid w:val="00C016EF"/>
    <w:rsid w:val="00C02210"/>
    <w:rsid w:val="00C03C62"/>
    <w:rsid w:val="00C03FB3"/>
    <w:rsid w:val="00C04D1E"/>
    <w:rsid w:val="00C050D5"/>
    <w:rsid w:val="00C05993"/>
    <w:rsid w:val="00C0617F"/>
    <w:rsid w:val="00C066C9"/>
    <w:rsid w:val="00C06B93"/>
    <w:rsid w:val="00C07780"/>
    <w:rsid w:val="00C078A0"/>
    <w:rsid w:val="00C07EDD"/>
    <w:rsid w:val="00C122E9"/>
    <w:rsid w:val="00C1231E"/>
    <w:rsid w:val="00C138D9"/>
    <w:rsid w:val="00C13BE7"/>
    <w:rsid w:val="00C14887"/>
    <w:rsid w:val="00C14FAD"/>
    <w:rsid w:val="00C15867"/>
    <w:rsid w:val="00C15C81"/>
    <w:rsid w:val="00C15D4B"/>
    <w:rsid w:val="00C16D10"/>
    <w:rsid w:val="00C1745B"/>
    <w:rsid w:val="00C177D0"/>
    <w:rsid w:val="00C21CAF"/>
    <w:rsid w:val="00C21D34"/>
    <w:rsid w:val="00C22195"/>
    <w:rsid w:val="00C23E86"/>
    <w:rsid w:val="00C240DB"/>
    <w:rsid w:val="00C24741"/>
    <w:rsid w:val="00C24E12"/>
    <w:rsid w:val="00C2647D"/>
    <w:rsid w:val="00C264F3"/>
    <w:rsid w:val="00C26867"/>
    <w:rsid w:val="00C26EF2"/>
    <w:rsid w:val="00C27E25"/>
    <w:rsid w:val="00C3031E"/>
    <w:rsid w:val="00C3111A"/>
    <w:rsid w:val="00C329E3"/>
    <w:rsid w:val="00C32AE7"/>
    <w:rsid w:val="00C336EA"/>
    <w:rsid w:val="00C3433A"/>
    <w:rsid w:val="00C34A94"/>
    <w:rsid w:val="00C34C01"/>
    <w:rsid w:val="00C3503D"/>
    <w:rsid w:val="00C35B54"/>
    <w:rsid w:val="00C35FE2"/>
    <w:rsid w:val="00C36CA5"/>
    <w:rsid w:val="00C36DA4"/>
    <w:rsid w:val="00C3787F"/>
    <w:rsid w:val="00C37E16"/>
    <w:rsid w:val="00C37FD1"/>
    <w:rsid w:val="00C4020C"/>
    <w:rsid w:val="00C410D0"/>
    <w:rsid w:val="00C41B0C"/>
    <w:rsid w:val="00C42B92"/>
    <w:rsid w:val="00C42DF8"/>
    <w:rsid w:val="00C4389D"/>
    <w:rsid w:val="00C43D96"/>
    <w:rsid w:val="00C444A1"/>
    <w:rsid w:val="00C4478B"/>
    <w:rsid w:val="00C45141"/>
    <w:rsid w:val="00C46548"/>
    <w:rsid w:val="00C46C27"/>
    <w:rsid w:val="00C47168"/>
    <w:rsid w:val="00C4760F"/>
    <w:rsid w:val="00C501EA"/>
    <w:rsid w:val="00C5050E"/>
    <w:rsid w:val="00C5053F"/>
    <w:rsid w:val="00C50710"/>
    <w:rsid w:val="00C51039"/>
    <w:rsid w:val="00C51688"/>
    <w:rsid w:val="00C525F9"/>
    <w:rsid w:val="00C53F61"/>
    <w:rsid w:val="00C544DA"/>
    <w:rsid w:val="00C5465D"/>
    <w:rsid w:val="00C54CAA"/>
    <w:rsid w:val="00C54CAF"/>
    <w:rsid w:val="00C557BF"/>
    <w:rsid w:val="00C5588E"/>
    <w:rsid w:val="00C56118"/>
    <w:rsid w:val="00C5660A"/>
    <w:rsid w:val="00C570AE"/>
    <w:rsid w:val="00C60CE2"/>
    <w:rsid w:val="00C61120"/>
    <w:rsid w:val="00C611E7"/>
    <w:rsid w:val="00C61C87"/>
    <w:rsid w:val="00C63831"/>
    <w:rsid w:val="00C65287"/>
    <w:rsid w:val="00C659B6"/>
    <w:rsid w:val="00C65E28"/>
    <w:rsid w:val="00C66297"/>
    <w:rsid w:val="00C67811"/>
    <w:rsid w:val="00C705D2"/>
    <w:rsid w:val="00C716CC"/>
    <w:rsid w:val="00C7219A"/>
    <w:rsid w:val="00C724CE"/>
    <w:rsid w:val="00C72A46"/>
    <w:rsid w:val="00C7466E"/>
    <w:rsid w:val="00C75C70"/>
    <w:rsid w:val="00C761F0"/>
    <w:rsid w:val="00C77B8C"/>
    <w:rsid w:val="00C8048D"/>
    <w:rsid w:val="00C8054F"/>
    <w:rsid w:val="00C81BEB"/>
    <w:rsid w:val="00C81D9A"/>
    <w:rsid w:val="00C81F77"/>
    <w:rsid w:val="00C822F6"/>
    <w:rsid w:val="00C82479"/>
    <w:rsid w:val="00C8309B"/>
    <w:rsid w:val="00C83140"/>
    <w:rsid w:val="00C84BC0"/>
    <w:rsid w:val="00C84E04"/>
    <w:rsid w:val="00C85093"/>
    <w:rsid w:val="00C855D2"/>
    <w:rsid w:val="00C86345"/>
    <w:rsid w:val="00C9074D"/>
    <w:rsid w:val="00C9147E"/>
    <w:rsid w:val="00C9202A"/>
    <w:rsid w:val="00C9275F"/>
    <w:rsid w:val="00C9287F"/>
    <w:rsid w:val="00C92AC0"/>
    <w:rsid w:val="00C93141"/>
    <w:rsid w:val="00C937D2"/>
    <w:rsid w:val="00C94896"/>
    <w:rsid w:val="00C95133"/>
    <w:rsid w:val="00C96AD4"/>
    <w:rsid w:val="00C96C47"/>
    <w:rsid w:val="00C973A8"/>
    <w:rsid w:val="00C97463"/>
    <w:rsid w:val="00C978DD"/>
    <w:rsid w:val="00CA0014"/>
    <w:rsid w:val="00CA15B7"/>
    <w:rsid w:val="00CA2773"/>
    <w:rsid w:val="00CA2F28"/>
    <w:rsid w:val="00CA370A"/>
    <w:rsid w:val="00CA48E9"/>
    <w:rsid w:val="00CA4E57"/>
    <w:rsid w:val="00CA52BA"/>
    <w:rsid w:val="00CA5C8F"/>
    <w:rsid w:val="00CA5DFA"/>
    <w:rsid w:val="00CA62DC"/>
    <w:rsid w:val="00CB05BD"/>
    <w:rsid w:val="00CB10E3"/>
    <w:rsid w:val="00CB199A"/>
    <w:rsid w:val="00CB275C"/>
    <w:rsid w:val="00CB3236"/>
    <w:rsid w:val="00CB35F2"/>
    <w:rsid w:val="00CB4189"/>
    <w:rsid w:val="00CB41D9"/>
    <w:rsid w:val="00CB575B"/>
    <w:rsid w:val="00CB6964"/>
    <w:rsid w:val="00CB6A10"/>
    <w:rsid w:val="00CB71D5"/>
    <w:rsid w:val="00CB73C9"/>
    <w:rsid w:val="00CB765D"/>
    <w:rsid w:val="00CC00D7"/>
    <w:rsid w:val="00CC0644"/>
    <w:rsid w:val="00CC07B7"/>
    <w:rsid w:val="00CC0D4A"/>
    <w:rsid w:val="00CC1F5A"/>
    <w:rsid w:val="00CC2E28"/>
    <w:rsid w:val="00CC3142"/>
    <w:rsid w:val="00CC32E8"/>
    <w:rsid w:val="00CC3809"/>
    <w:rsid w:val="00CC3D4B"/>
    <w:rsid w:val="00CC3DBC"/>
    <w:rsid w:val="00CC4355"/>
    <w:rsid w:val="00CC4C6D"/>
    <w:rsid w:val="00CC4D36"/>
    <w:rsid w:val="00CC4E16"/>
    <w:rsid w:val="00CC51B5"/>
    <w:rsid w:val="00CC60A1"/>
    <w:rsid w:val="00CC6548"/>
    <w:rsid w:val="00CC6637"/>
    <w:rsid w:val="00CC6A5A"/>
    <w:rsid w:val="00CC79C8"/>
    <w:rsid w:val="00CD0887"/>
    <w:rsid w:val="00CD27AB"/>
    <w:rsid w:val="00CD2B7A"/>
    <w:rsid w:val="00CD2FE3"/>
    <w:rsid w:val="00CD41DA"/>
    <w:rsid w:val="00CD432C"/>
    <w:rsid w:val="00CD47AB"/>
    <w:rsid w:val="00CD47D5"/>
    <w:rsid w:val="00CD5577"/>
    <w:rsid w:val="00CD60CD"/>
    <w:rsid w:val="00CD645A"/>
    <w:rsid w:val="00CD6AD2"/>
    <w:rsid w:val="00CD7494"/>
    <w:rsid w:val="00CD759D"/>
    <w:rsid w:val="00CE04AD"/>
    <w:rsid w:val="00CE0525"/>
    <w:rsid w:val="00CE0600"/>
    <w:rsid w:val="00CE149A"/>
    <w:rsid w:val="00CE1B7A"/>
    <w:rsid w:val="00CE1CF3"/>
    <w:rsid w:val="00CE2019"/>
    <w:rsid w:val="00CE28ED"/>
    <w:rsid w:val="00CE3D71"/>
    <w:rsid w:val="00CE496B"/>
    <w:rsid w:val="00CE71F9"/>
    <w:rsid w:val="00CE72C1"/>
    <w:rsid w:val="00CE74BE"/>
    <w:rsid w:val="00CF0234"/>
    <w:rsid w:val="00CF09CB"/>
    <w:rsid w:val="00CF12A2"/>
    <w:rsid w:val="00CF3B62"/>
    <w:rsid w:val="00CF3C7C"/>
    <w:rsid w:val="00CF429B"/>
    <w:rsid w:val="00CF4D7F"/>
    <w:rsid w:val="00CF5BB7"/>
    <w:rsid w:val="00CF7325"/>
    <w:rsid w:val="00CF7912"/>
    <w:rsid w:val="00CF7B30"/>
    <w:rsid w:val="00CF7BE2"/>
    <w:rsid w:val="00D0057A"/>
    <w:rsid w:val="00D01505"/>
    <w:rsid w:val="00D017A6"/>
    <w:rsid w:val="00D01B24"/>
    <w:rsid w:val="00D01D7E"/>
    <w:rsid w:val="00D02EE3"/>
    <w:rsid w:val="00D03641"/>
    <w:rsid w:val="00D071F3"/>
    <w:rsid w:val="00D075AE"/>
    <w:rsid w:val="00D0765C"/>
    <w:rsid w:val="00D07C14"/>
    <w:rsid w:val="00D1108E"/>
    <w:rsid w:val="00D12765"/>
    <w:rsid w:val="00D12969"/>
    <w:rsid w:val="00D12F1D"/>
    <w:rsid w:val="00D139AC"/>
    <w:rsid w:val="00D139B2"/>
    <w:rsid w:val="00D13BD0"/>
    <w:rsid w:val="00D1463A"/>
    <w:rsid w:val="00D14F6A"/>
    <w:rsid w:val="00D1525D"/>
    <w:rsid w:val="00D1531B"/>
    <w:rsid w:val="00D15D81"/>
    <w:rsid w:val="00D160CC"/>
    <w:rsid w:val="00D16251"/>
    <w:rsid w:val="00D162CA"/>
    <w:rsid w:val="00D16CBE"/>
    <w:rsid w:val="00D2093B"/>
    <w:rsid w:val="00D20E16"/>
    <w:rsid w:val="00D22C46"/>
    <w:rsid w:val="00D241E4"/>
    <w:rsid w:val="00D302EF"/>
    <w:rsid w:val="00D31191"/>
    <w:rsid w:val="00D31408"/>
    <w:rsid w:val="00D31728"/>
    <w:rsid w:val="00D33FC9"/>
    <w:rsid w:val="00D3415E"/>
    <w:rsid w:val="00D35880"/>
    <w:rsid w:val="00D35971"/>
    <w:rsid w:val="00D35C47"/>
    <w:rsid w:val="00D35CDB"/>
    <w:rsid w:val="00D37AEB"/>
    <w:rsid w:val="00D40AF9"/>
    <w:rsid w:val="00D40B9A"/>
    <w:rsid w:val="00D40E79"/>
    <w:rsid w:val="00D416F7"/>
    <w:rsid w:val="00D41D55"/>
    <w:rsid w:val="00D43DC5"/>
    <w:rsid w:val="00D445FE"/>
    <w:rsid w:val="00D44647"/>
    <w:rsid w:val="00D44C37"/>
    <w:rsid w:val="00D458D1"/>
    <w:rsid w:val="00D46739"/>
    <w:rsid w:val="00D4696B"/>
    <w:rsid w:val="00D46BBC"/>
    <w:rsid w:val="00D46E52"/>
    <w:rsid w:val="00D4774B"/>
    <w:rsid w:val="00D4799D"/>
    <w:rsid w:val="00D50649"/>
    <w:rsid w:val="00D50719"/>
    <w:rsid w:val="00D50F2C"/>
    <w:rsid w:val="00D51E5B"/>
    <w:rsid w:val="00D521C8"/>
    <w:rsid w:val="00D5243A"/>
    <w:rsid w:val="00D527C6"/>
    <w:rsid w:val="00D53025"/>
    <w:rsid w:val="00D53621"/>
    <w:rsid w:val="00D53B0F"/>
    <w:rsid w:val="00D5486E"/>
    <w:rsid w:val="00D548E8"/>
    <w:rsid w:val="00D549B8"/>
    <w:rsid w:val="00D54E1C"/>
    <w:rsid w:val="00D550E9"/>
    <w:rsid w:val="00D55F06"/>
    <w:rsid w:val="00D56C0E"/>
    <w:rsid w:val="00D56ED4"/>
    <w:rsid w:val="00D56F91"/>
    <w:rsid w:val="00D57004"/>
    <w:rsid w:val="00D5745B"/>
    <w:rsid w:val="00D57516"/>
    <w:rsid w:val="00D57A12"/>
    <w:rsid w:val="00D60D89"/>
    <w:rsid w:val="00D61E31"/>
    <w:rsid w:val="00D62CE9"/>
    <w:rsid w:val="00D63028"/>
    <w:rsid w:val="00D63F47"/>
    <w:rsid w:val="00D70633"/>
    <w:rsid w:val="00D70BC9"/>
    <w:rsid w:val="00D71482"/>
    <w:rsid w:val="00D717EC"/>
    <w:rsid w:val="00D71941"/>
    <w:rsid w:val="00D71B8C"/>
    <w:rsid w:val="00D71DB3"/>
    <w:rsid w:val="00D72FA4"/>
    <w:rsid w:val="00D73576"/>
    <w:rsid w:val="00D73B26"/>
    <w:rsid w:val="00D74EFF"/>
    <w:rsid w:val="00D75282"/>
    <w:rsid w:val="00D75C7A"/>
    <w:rsid w:val="00D76D78"/>
    <w:rsid w:val="00D7749B"/>
    <w:rsid w:val="00D77B0B"/>
    <w:rsid w:val="00D77DE4"/>
    <w:rsid w:val="00D77F8D"/>
    <w:rsid w:val="00D808EB"/>
    <w:rsid w:val="00D80DC5"/>
    <w:rsid w:val="00D81EEB"/>
    <w:rsid w:val="00D82A57"/>
    <w:rsid w:val="00D84DEE"/>
    <w:rsid w:val="00D8514B"/>
    <w:rsid w:val="00D851BD"/>
    <w:rsid w:val="00D8565C"/>
    <w:rsid w:val="00D858CA"/>
    <w:rsid w:val="00D86F06"/>
    <w:rsid w:val="00D870CC"/>
    <w:rsid w:val="00D87500"/>
    <w:rsid w:val="00D875A0"/>
    <w:rsid w:val="00D87FE5"/>
    <w:rsid w:val="00D90E9F"/>
    <w:rsid w:val="00D9134E"/>
    <w:rsid w:val="00D9212C"/>
    <w:rsid w:val="00D92398"/>
    <w:rsid w:val="00D92551"/>
    <w:rsid w:val="00D93364"/>
    <w:rsid w:val="00D93A6D"/>
    <w:rsid w:val="00D93D58"/>
    <w:rsid w:val="00D96106"/>
    <w:rsid w:val="00D9614F"/>
    <w:rsid w:val="00D97A80"/>
    <w:rsid w:val="00DA04CE"/>
    <w:rsid w:val="00DA1323"/>
    <w:rsid w:val="00DA256D"/>
    <w:rsid w:val="00DA265A"/>
    <w:rsid w:val="00DA268A"/>
    <w:rsid w:val="00DA2FA4"/>
    <w:rsid w:val="00DA3AE6"/>
    <w:rsid w:val="00DA3D5D"/>
    <w:rsid w:val="00DA3DEC"/>
    <w:rsid w:val="00DA40CF"/>
    <w:rsid w:val="00DA4483"/>
    <w:rsid w:val="00DA5217"/>
    <w:rsid w:val="00DA53BA"/>
    <w:rsid w:val="00DA554E"/>
    <w:rsid w:val="00DA65B3"/>
    <w:rsid w:val="00DA708A"/>
    <w:rsid w:val="00DA73DA"/>
    <w:rsid w:val="00DB0441"/>
    <w:rsid w:val="00DB0635"/>
    <w:rsid w:val="00DB20B7"/>
    <w:rsid w:val="00DB2118"/>
    <w:rsid w:val="00DB29D8"/>
    <w:rsid w:val="00DB3F97"/>
    <w:rsid w:val="00DB47E0"/>
    <w:rsid w:val="00DB4845"/>
    <w:rsid w:val="00DB60D3"/>
    <w:rsid w:val="00DB6230"/>
    <w:rsid w:val="00DB714F"/>
    <w:rsid w:val="00DB76E3"/>
    <w:rsid w:val="00DC0994"/>
    <w:rsid w:val="00DC0CA1"/>
    <w:rsid w:val="00DC189C"/>
    <w:rsid w:val="00DC2A27"/>
    <w:rsid w:val="00DC2DF9"/>
    <w:rsid w:val="00DC3072"/>
    <w:rsid w:val="00DC3E65"/>
    <w:rsid w:val="00DC5B33"/>
    <w:rsid w:val="00DC6FC4"/>
    <w:rsid w:val="00DD1A6E"/>
    <w:rsid w:val="00DD1A84"/>
    <w:rsid w:val="00DD1FBB"/>
    <w:rsid w:val="00DD1FD2"/>
    <w:rsid w:val="00DD2176"/>
    <w:rsid w:val="00DD23CD"/>
    <w:rsid w:val="00DD29A9"/>
    <w:rsid w:val="00DD33D3"/>
    <w:rsid w:val="00DD4E64"/>
    <w:rsid w:val="00DD6F9C"/>
    <w:rsid w:val="00DD7017"/>
    <w:rsid w:val="00DD70D0"/>
    <w:rsid w:val="00DD7578"/>
    <w:rsid w:val="00DD79E2"/>
    <w:rsid w:val="00DE0825"/>
    <w:rsid w:val="00DE23EF"/>
    <w:rsid w:val="00DE2697"/>
    <w:rsid w:val="00DE2FB4"/>
    <w:rsid w:val="00DE3B83"/>
    <w:rsid w:val="00DE4EB5"/>
    <w:rsid w:val="00DE71B4"/>
    <w:rsid w:val="00DE77C4"/>
    <w:rsid w:val="00DE7A99"/>
    <w:rsid w:val="00DF09EB"/>
    <w:rsid w:val="00DF09FB"/>
    <w:rsid w:val="00DF0F95"/>
    <w:rsid w:val="00DF1458"/>
    <w:rsid w:val="00DF1A0D"/>
    <w:rsid w:val="00DF2A8E"/>
    <w:rsid w:val="00DF3202"/>
    <w:rsid w:val="00DF3410"/>
    <w:rsid w:val="00DF3F6D"/>
    <w:rsid w:val="00DF3F9A"/>
    <w:rsid w:val="00DF44A9"/>
    <w:rsid w:val="00DF4B7A"/>
    <w:rsid w:val="00DF5199"/>
    <w:rsid w:val="00DF51CB"/>
    <w:rsid w:val="00DF57F1"/>
    <w:rsid w:val="00DF59C9"/>
    <w:rsid w:val="00DF5BCF"/>
    <w:rsid w:val="00DF6975"/>
    <w:rsid w:val="00E02981"/>
    <w:rsid w:val="00E02F28"/>
    <w:rsid w:val="00E03E03"/>
    <w:rsid w:val="00E0568D"/>
    <w:rsid w:val="00E0584F"/>
    <w:rsid w:val="00E05E66"/>
    <w:rsid w:val="00E06370"/>
    <w:rsid w:val="00E07975"/>
    <w:rsid w:val="00E07BF0"/>
    <w:rsid w:val="00E10486"/>
    <w:rsid w:val="00E10B44"/>
    <w:rsid w:val="00E10CAE"/>
    <w:rsid w:val="00E112CB"/>
    <w:rsid w:val="00E11C66"/>
    <w:rsid w:val="00E12C30"/>
    <w:rsid w:val="00E165FD"/>
    <w:rsid w:val="00E16805"/>
    <w:rsid w:val="00E16A91"/>
    <w:rsid w:val="00E16E34"/>
    <w:rsid w:val="00E171B8"/>
    <w:rsid w:val="00E17321"/>
    <w:rsid w:val="00E1739A"/>
    <w:rsid w:val="00E1751A"/>
    <w:rsid w:val="00E17627"/>
    <w:rsid w:val="00E17872"/>
    <w:rsid w:val="00E20561"/>
    <w:rsid w:val="00E20609"/>
    <w:rsid w:val="00E20653"/>
    <w:rsid w:val="00E206CC"/>
    <w:rsid w:val="00E20BA4"/>
    <w:rsid w:val="00E214F9"/>
    <w:rsid w:val="00E219D2"/>
    <w:rsid w:val="00E21E0D"/>
    <w:rsid w:val="00E223B2"/>
    <w:rsid w:val="00E22C55"/>
    <w:rsid w:val="00E2405A"/>
    <w:rsid w:val="00E24A07"/>
    <w:rsid w:val="00E24E62"/>
    <w:rsid w:val="00E253E8"/>
    <w:rsid w:val="00E261B7"/>
    <w:rsid w:val="00E268E6"/>
    <w:rsid w:val="00E26CFF"/>
    <w:rsid w:val="00E274A9"/>
    <w:rsid w:val="00E27DC6"/>
    <w:rsid w:val="00E300FC"/>
    <w:rsid w:val="00E307EF"/>
    <w:rsid w:val="00E3096B"/>
    <w:rsid w:val="00E30B68"/>
    <w:rsid w:val="00E30DE1"/>
    <w:rsid w:val="00E32EBE"/>
    <w:rsid w:val="00E3346A"/>
    <w:rsid w:val="00E33843"/>
    <w:rsid w:val="00E3388C"/>
    <w:rsid w:val="00E343B6"/>
    <w:rsid w:val="00E35613"/>
    <w:rsid w:val="00E36B5B"/>
    <w:rsid w:val="00E373E0"/>
    <w:rsid w:val="00E4150B"/>
    <w:rsid w:val="00E424F9"/>
    <w:rsid w:val="00E4312B"/>
    <w:rsid w:val="00E4367F"/>
    <w:rsid w:val="00E43BA8"/>
    <w:rsid w:val="00E445C1"/>
    <w:rsid w:val="00E448BE"/>
    <w:rsid w:val="00E4490B"/>
    <w:rsid w:val="00E44B61"/>
    <w:rsid w:val="00E44C05"/>
    <w:rsid w:val="00E4522A"/>
    <w:rsid w:val="00E47721"/>
    <w:rsid w:val="00E47FF7"/>
    <w:rsid w:val="00E509CB"/>
    <w:rsid w:val="00E51E7A"/>
    <w:rsid w:val="00E52C75"/>
    <w:rsid w:val="00E539BD"/>
    <w:rsid w:val="00E53C1F"/>
    <w:rsid w:val="00E53F00"/>
    <w:rsid w:val="00E54AF2"/>
    <w:rsid w:val="00E5622B"/>
    <w:rsid w:val="00E5626D"/>
    <w:rsid w:val="00E564B9"/>
    <w:rsid w:val="00E569A7"/>
    <w:rsid w:val="00E57513"/>
    <w:rsid w:val="00E60BDA"/>
    <w:rsid w:val="00E614DC"/>
    <w:rsid w:val="00E622A0"/>
    <w:rsid w:val="00E62912"/>
    <w:rsid w:val="00E62F11"/>
    <w:rsid w:val="00E63F64"/>
    <w:rsid w:val="00E6484D"/>
    <w:rsid w:val="00E64A8A"/>
    <w:rsid w:val="00E64E2E"/>
    <w:rsid w:val="00E64FF4"/>
    <w:rsid w:val="00E65AF8"/>
    <w:rsid w:val="00E66470"/>
    <w:rsid w:val="00E66CCF"/>
    <w:rsid w:val="00E66E53"/>
    <w:rsid w:val="00E67DF4"/>
    <w:rsid w:val="00E67F62"/>
    <w:rsid w:val="00E70144"/>
    <w:rsid w:val="00E70440"/>
    <w:rsid w:val="00E705B1"/>
    <w:rsid w:val="00E70BF5"/>
    <w:rsid w:val="00E70E7E"/>
    <w:rsid w:val="00E71574"/>
    <w:rsid w:val="00E71DC0"/>
    <w:rsid w:val="00E73648"/>
    <w:rsid w:val="00E73742"/>
    <w:rsid w:val="00E74695"/>
    <w:rsid w:val="00E77084"/>
    <w:rsid w:val="00E775ED"/>
    <w:rsid w:val="00E80061"/>
    <w:rsid w:val="00E81DD4"/>
    <w:rsid w:val="00E8309D"/>
    <w:rsid w:val="00E83364"/>
    <w:rsid w:val="00E835E9"/>
    <w:rsid w:val="00E8439F"/>
    <w:rsid w:val="00E8512E"/>
    <w:rsid w:val="00E854ED"/>
    <w:rsid w:val="00E863F3"/>
    <w:rsid w:val="00E87C75"/>
    <w:rsid w:val="00E9067A"/>
    <w:rsid w:val="00E910C8"/>
    <w:rsid w:val="00E914EA"/>
    <w:rsid w:val="00E91A82"/>
    <w:rsid w:val="00E930E0"/>
    <w:rsid w:val="00E9310C"/>
    <w:rsid w:val="00E935E2"/>
    <w:rsid w:val="00E93FBF"/>
    <w:rsid w:val="00E94062"/>
    <w:rsid w:val="00E9427B"/>
    <w:rsid w:val="00E94DFE"/>
    <w:rsid w:val="00E9637D"/>
    <w:rsid w:val="00E96E8E"/>
    <w:rsid w:val="00E971C8"/>
    <w:rsid w:val="00EA1D1C"/>
    <w:rsid w:val="00EA3156"/>
    <w:rsid w:val="00EA4441"/>
    <w:rsid w:val="00EA4E24"/>
    <w:rsid w:val="00EA53D7"/>
    <w:rsid w:val="00EA61D2"/>
    <w:rsid w:val="00EA687C"/>
    <w:rsid w:val="00EA695C"/>
    <w:rsid w:val="00EA7573"/>
    <w:rsid w:val="00EB2479"/>
    <w:rsid w:val="00EB2BF5"/>
    <w:rsid w:val="00EB3C1C"/>
    <w:rsid w:val="00EB4186"/>
    <w:rsid w:val="00EB4460"/>
    <w:rsid w:val="00EB4598"/>
    <w:rsid w:val="00EB5BF8"/>
    <w:rsid w:val="00EB6608"/>
    <w:rsid w:val="00EB7292"/>
    <w:rsid w:val="00EB7B1A"/>
    <w:rsid w:val="00EC0366"/>
    <w:rsid w:val="00EC13C9"/>
    <w:rsid w:val="00EC1480"/>
    <w:rsid w:val="00EC2762"/>
    <w:rsid w:val="00EC38D7"/>
    <w:rsid w:val="00EC3CA5"/>
    <w:rsid w:val="00EC3EE4"/>
    <w:rsid w:val="00EC6C32"/>
    <w:rsid w:val="00EC7008"/>
    <w:rsid w:val="00EC7681"/>
    <w:rsid w:val="00EC76FB"/>
    <w:rsid w:val="00EC7B96"/>
    <w:rsid w:val="00EC7F1E"/>
    <w:rsid w:val="00ED0587"/>
    <w:rsid w:val="00ED2664"/>
    <w:rsid w:val="00ED2F99"/>
    <w:rsid w:val="00ED2FF5"/>
    <w:rsid w:val="00ED32E6"/>
    <w:rsid w:val="00ED3E30"/>
    <w:rsid w:val="00ED4F33"/>
    <w:rsid w:val="00ED5C0C"/>
    <w:rsid w:val="00ED6837"/>
    <w:rsid w:val="00EE26D4"/>
    <w:rsid w:val="00EE2F3E"/>
    <w:rsid w:val="00EE34E3"/>
    <w:rsid w:val="00EE43F0"/>
    <w:rsid w:val="00EE494E"/>
    <w:rsid w:val="00EE4F7A"/>
    <w:rsid w:val="00EE51FA"/>
    <w:rsid w:val="00EE5B52"/>
    <w:rsid w:val="00EE5B9D"/>
    <w:rsid w:val="00EF24DE"/>
    <w:rsid w:val="00EF385F"/>
    <w:rsid w:val="00EF3D36"/>
    <w:rsid w:val="00EF460F"/>
    <w:rsid w:val="00EF47D9"/>
    <w:rsid w:val="00EF4980"/>
    <w:rsid w:val="00EF4A5D"/>
    <w:rsid w:val="00EF4D02"/>
    <w:rsid w:val="00EF5428"/>
    <w:rsid w:val="00EF6B1E"/>
    <w:rsid w:val="00EF778D"/>
    <w:rsid w:val="00EF7ABB"/>
    <w:rsid w:val="00EF7B22"/>
    <w:rsid w:val="00EF7FF8"/>
    <w:rsid w:val="00F003FE"/>
    <w:rsid w:val="00F00B34"/>
    <w:rsid w:val="00F00DF2"/>
    <w:rsid w:val="00F01B7C"/>
    <w:rsid w:val="00F01D7A"/>
    <w:rsid w:val="00F021F2"/>
    <w:rsid w:val="00F03330"/>
    <w:rsid w:val="00F03E86"/>
    <w:rsid w:val="00F04718"/>
    <w:rsid w:val="00F04BD9"/>
    <w:rsid w:val="00F0527F"/>
    <w:rsid w:val="00F05327"/>
    <w:rsid w:val="00F056CA"/>
    <w:rsid w:val="00F076A8"/>
    <w:rsid w:val="00F0794F"/>
    <w:rsid w:val="00F07CEB"/>
    <w:rsid w:val="00F07DFB"/>
    <w:rsid w:val="00F10243"/>
    <w:rsid w:val="00F10338"/>
    <w:rsid w:val="00F10390"/>
    <w:rsid w:val="00F1085A"/>
    <w:rsid w:val="00F10C86"/>
    <w:rsid w:val="00F1105F"/>
    <w:rsid w:val="00F116E5"/>
    <w:rsid w:val="00F13889"/>
    <w:rsid w:val="00F13A76"/>
    <w:rsid w:val="00F144F7"/>
    <w:rsid w:val="00F1512C"/>
    <w:rsid w:val="00F159B3"/>
    <w:rsid w:val="00F15F48"/>
    <w:rsid w:val="00F162CB"/>
    <w:rsid w:val="00F16400"/>
    <w:rsid w:val="00F16738"/>
    <w:rsid w:val="00F16C29"/>
    <w:rsid w:val="00F1731D"/>
    <w:rsid w:val="00F173AF"/>
    <w:rsid w:val="00F1742E"/>
    <w:rsid w:val="00F17610"/>
    <w:rsid w:val="00F20432"/>
    <w:rsid w:val="00F2047D"/>
    <w:rsid w:val="00F2105F"/>
    <w:rsid w:val="00F225E7"/>
    <w:rsid w:val="00F227EF"/>
    <w:rsid w:val="00F22C81"/>
    <w:rsid w:val="00F23158"/>
    <w:rsid w:val="00F23D25"/>
    <w:rsid w:val="00F25234"/>
    <w:rsid w:val="00F256A2"/>
    <w:rsid w:val="00F25C23"/>
    <w:rsid w:val="00F25F32"/>
    <w:rsid w:val="00F26779"/>
    <w:rsid w:val="00F267A1"/>
    <w:rsid w:val="00F26C71"/>
    <w:rsid w:val="00F26EDC"/>
    <w:rsid w:val="00F26F75"/>
    <w:rsid w:val="00F27CB8"/>
    <w:rsid w:val="00F27EF1"/>
    <w:rsid w:val="00F30077"/>
    <w:rsid w:val="00F3077E"/>
    <w:rsid w:val="00F30C38"/>
    <w:rsid w:val="00F31714"/>
    <w:rsid w:val="00F3240E"/>
    <w:rsid w:val="00F32FBD"/>
    <w:rsid w:val="00F3451E"/>
    <w:rsid w:val="00F35C43"/>
    <w:rsid w:val="00F35D0E"/>
    <w:rsid w:val="00F35ECC"/>
    <w:rsid w:val="00F360F5"/>
    <w:rsid w:val="00F363A1"/>
    <w:rsid w:val="00F363BC"/>
    <w:rsid w:val="00F40013"/>
    <w:rsid w:val="00F4011B"/>
    <w:rsid w:val="00F40BB0"/>
    <w:rsid w:val="00F418A0"/>
    <w:rsid w:val="00F4221A"/>
    <w:rsid w:val="00F42298"/>
    <w:rsid w:val="00F43A45"/>
    <w:rsid w:val="00F43EBE"/>
    <w:rsid w:val="00F4444C"/>
    <w:rsid w:val="00F44B73"/>
    <w:rsid w:val="00F4509E"/>
    <w:rsid w:val="00F455A8"/>
    <w:rsid w:val="00F458AB"/>
    <w:rsid w:val="00F4596C"/>
    <w:rsid w:val="00F45C1C"/>
    <w:rsid w:val="00F45C7D"/>
    <w:rsid w:val="00F4758C"/>
    <w:rsid w:val="00F4792E"/>
    <w:rsid w:val="00F50311"/>
    <w:rsid w:val="00F50516"/>
    <w:rsid w:val="00F50C15"/>
    <w:rsid w:val="00F518D6"/>
    <w:rsid w:val="00F51C4B"/>
    <w:rsid w:val="00F52039"/>
    <w:rsid w:val="00F526A2"/>
    <w:rsid w:val="00F52997"/>
    <w:rsid w:val="00F538AD"/>
    <w:rsid w:val="00F54BA3"/>
    <w:rsid w:val="00F54C7F"/>
    <w:rsid w:val="00F5532E"/>
    <w:rsid w:val="00F5595C"/>
    <w:rsid w:val="00F5659D"/>
    <w:rsid w:val="00F566A1"/>
    <w:rsid w:val="00F601AE"/>
    <w:rsid w:val="00F6038F"/>
    <w:rsid w:val="00F603F8"/>
    <w:rsid w:val="00F604AE"/>
    <w:rsid w:val="00F60D24"/>
    <w:rsid w:val="00F61ADC"/>
    <w:rsid w:val="00F61CEF"/>
    <w:rsid w:val="00F621DB"/>
    <w:rsid w:val="00F62351"/>
    <w:rsid w:val="00F6280F"/>
    <w:rsid w:val="00F63DD8"/>
    <w:rsid w:val="00F63DF8"/>
    <w:rsid w:val="00F6511F"/>
    <w:rsid w:val="00F6545B"/>
    <w:rsid w:val="00F66536"/>
    <w:rsid w:val="00F679F8"/>
    <w:rsid w:val="00F67CCC"/>
    <w:rsid w:val="00F67E31"/>
    <w:rsid w:val="00F67F8C"/>
    <w:rsid w:val="00F70335"/>
    <w:rsid w:val="00F71133"/>
    <w:rsid w:val="00F711B9"/>
    <w:rsid w:val="00F716CA"/>
    <w:rsid w:val="00F724F9"/>
    <w:rsid w:val="00F72ACD"/>
    <w:rsid w:val="00F73829"/>
    <w:rsid w:val="00F7390A"/>
    <w:rsid w:val="00F73A98"/>
    <w:rsid w:val="00F74DB0"/>
    <w:rsid w:val="00F75DC7"/>
    <w:rsid w:val="00F76DE6"/>
    <w:rsid w:val="00F77309"/>
    <w:rsid w:val="00F779A1"/>
    <w:rsid w:val="00F80341"/>
    <w:rsid w:val="00F81E6B"/>
    <w:rsid w:val="00F82CF3"/>
    <w:rsid w:val="00F84F9E"/>
    <w:rsid w:val="00F854E5"/>
    <w:rsid w:val="00F85642"/>
    <w:rsid w:val="00F876B9"/>
    <w:rsid w:val="00F90587"/>
    <w:rsid w:val="00F905B8"/>
    <w:rsid w:val="00F91E0D"/>
    <w:rsid w:val="00F91F6A"/>
    <w:rsid w:val="00F9348E"/>
    <w:rsid w:val="00F935B0"/>
    <w:rsid w:val="00F947D9"/>
    <w:rsid w:val="00F94BB7"/>
    <w:rsid w:val="00F94D95"/>
    <w:rsid w:val="00F950BF"/>
    <w:rsid w:val="00F9610C"/>
    <w:rsid w:val="00F961AF"/>
    <w:rsid w:val="00F96620"/>
    <w:rsid w:val="00F96A4B"/>
    <w:rsid w:val="00F971A2"/>
    <w:rsid w:val="00F979B4"/>
    <w:rsid w:val="00FA0085"/>
    <w:rsid w:val="00FA0F9C"/>
    <w:rsid w:val="00FA143B"/>
    <w:rsid w:val="00FA15DA"/>
    <w:rsid w:val="00FA19D6"/>
    <w:rsid w:val="00FA1EC6"/>
    <w:rsid w:val="00FA2001"/>
    <w:rsid w:val="00FA3814"/>
    <w:rsid w:val="00FA4525"/>
    <w:rsid w:val="00FA46CC"/>
    <w:rsid w:val="00FA56ED"/>
    <w:rsid w:val="00FA57D6"/>
    <w:rsid w:val="00FA727E"/>
    <w:rsid w:val="00FA74A7"/>
    <w:rsid w:val="00FB0082"/>
    <w:rsid w:val="00FB075E"/>
    <w:rsid w:val="00FB07A1"/>
    <w:rsid w:val="00FB0813"/>
    <w:rsid w:val="00FB0AC2"/>
    <w:rsid w:val="00FB158E"/>
    <w:rsid w:val="00FB2AD0"/>
    <w:rsid w:val="00FB2DDE"/>
    <w:rsid w:val="00FB3AFC"/>
    <w:rsid w:val="00FB4E59"/>
    <w:rsid w:val="00FB500D"/>
    <w:rsid w:val="00FB54BF"/>
    <w:rsid w:val="00FB63D6"/>
    <w:rsid w:val="00FB6ECB"/>
    <w:rsid w:val="00FB758C"/>
    <w:rsid w:val="00FB7619"/>
    <w:rsid w:val="00FB7B6D"/>
    <w:rsid w:val="00FB7C37"/>
    <w:rsid w:val="00FC0154"/>
    <w:rsid w:val="00FC060E"/>
    <w:rsid w:val="00FC185C"/>
    <w:rsid w:val="00FC1F7A"/>
    <w:rsid w:val="00FC21F4"/>
    <w:rsid w:val="00FC3A8F"/>
    <w:rsid w:val="00FC43BB"/>
    <w:rsid w:val="00FC5301"/>
    <w:rsid w:val="00FC5334"/>
    <w:rsid w:val="00FC536E"/>
    <w:rsid w:val="00FC585E"/>
    <w:rsid w:val="00FC5933"/>
    <w:rsid w:val="00FC5A1A"/>
    <w:rsid w:val="00FC5A2F"/>
    <w:rsid w:val="00FC5A45"/>
    <w:rsid w:val="00FC6E37"/>
    <w:rsid w:val="00FC7D4A"/>
    <w:rsid w:val="00FD071A"/>
    <w:rsid w:val="00FD0B7C"/>
    <w:rsid w:val="00FD11DD"/>
    <w:rsid w:val="00FD1D1C"/>
    <w:rsid w:val="00FD1D4B"/>
    <w:rsid w:val="00FD1EB7"/>
    <w:rsid w:val="00FD32D4"/>
    <w:rsid w:val="00FD3713"/>
    <w:rsid w:val="00FD4305"/>
    <w:rsid w:val="00FD4E9A"/>
    <w:rsid w:val="00FD629E"/>
    <w:rsid w:val="00FE0DA4"/>
    <w:rsid w:val="00FE13EF"/>
    <w:rsid w:val="00FE1527"/>
    <w:rsid w:val="00FE20C0"/>
    <w:rsid w:val="00FE2305"/>
    <w:rsid w:val="00FE295D"/>
    <w:rsid w:val="00FE2B65"/>
    <w:rsid w:val="00FE2B78"/>
    <w:rsid w:val="00FE2CF0"/>
    <w:rsid w:val="00FE3173"/>
    <w:rsid w:val="00FE3E9F"/>
    <w:rsid w:val="00FE43B9"/>
    <w:rsid w:val="00FE44F4"/>
    <w:rsid w:val="00FE4619"/>
    <w:rsid w:val="00FE47D3"/>
    <w:rsid w:val="00FE47FD"/>
    <w:rsid w:val="00FE4A00"/>
    <w:rsid w:val="00FE4C0E"/>
    <w:rsid w:val="00FE5CEA"/>
    <w:rsid w:val="00FE62FE"/>
    <w:rsid w:val="00FE6E2C"/>
    <w:rsid w:val="00FE7CB2"/>
    <w:rsid w:val="00FF018D"/>
    <w:rsid w:val="00FF113F"/>
    <w:rsid w:val="00FF1B94"/>
    <w:rsid w:val="00FF2953"/>
    <w:rsid w:val="00FF343D"/>
    <w:rsid w:val="00FF3FC4"/>
    <w:rsid w:val="00FF50A4"/>
    <w:rsid w:val="00FF54EB"/>
    <w:rsid w:val="00FF5C00"/>
    <w:rsid w:val="00FF61FA"/>
    <w:rsid w:val="00FF73E7"/>
    <w:rsid w:val="00FF7E33"/>
    <w:rsid w:val="0170F866"/>
    <w:rsid w:val="01967628"/>
    <w:rsid w:val="024E67FB"/>
    <w:rsid w:val="03300449"/>
    <w:rsid w:val="0357B0D3"/>
    <w:rsid w:val="040D9C1F"/>
    <w:rsid w:val="05216F1B"/>
    <w:rsid w:val="059D6EE8"/>
    <w:rsid w:val="0611F31D"/>
    <w:rsid w:val="072B4CA9"/>
    <w:rsid w:val="07327F4C"/>
    <w:rsid w:val="07544967"/>
    <w:rsid w:val="0911CF6B"/>
    <w:rsid w:val="09450B21"/>
    <w:rsid w:val="0A948FC5"/>
    <w:rsid w:val="0AD460BE"/>
    <w:rsid w:val="0B1726A9"/>
    <w:rsid w:val="0B3729BA"/>
    <w:rsid w:val="0B6B8097"/>
    <w:rsid w:val="0C6A1C6E"/>
    <w:rsid w:val="0C6B722F"/>
    <w:rsid w:val="0CEEF08B"/>
    <w:rsid w:val="0D3E674A"/>
    <w:rsid w:val="0E07E5CB"/>
    <w:rsid w:val="0E5A0FC4"/>
    <w:rsid w:val="0ED1F47D"/>
    <w:rsid w:val="0F0D4025"/>
    <w:rsid w:val="0F18C438"/>
    <w:rsid w:val="0F7D1667"/>
    <w:rsid w:val="100397B9"/>
    <w:rsid w:val="10B1C6A4"/>
    <w:rsid w:val="12187EBF"/>
    <w:rsid w:val="1341DA7C"/>
    <w:rsid w:val="135308BA"/>
    <w:rsid w:val="141C9D82"/>
    <w:rsid w:val="1433F00E"/>
    <w:rsid w:val="14811D24"/>
    <w:rsid w:val="15E78D7A"/>
    <w:rsid w:val="160DD70A"/>
    <w:rsid w:val="16BF73AD"/>
    <w:rsid w:val="16DD339C"/>
    <w:rsid w:val="17836DAA"/>
    <w:rsid w:val="181793CF"/>
    <w:rsid w:val="18FC0E0D"/>
    <w:rsid w:val="1A0E375F"/>
    <w:rsid w:val="1A700C32"/>
    <w:rsid w:val="1A77F639"/>
    <w:rsid w:val="1AA576C8"/>
    <w:rsid w:val="1C2E5BA3"/>
    <w:rsid w:val="1CCD00D2"/>
    <w:rsid w:val="1D0806E5"/>
    <w:rsid w:val="1D1A853C"/>
    <w:rsid w:val="213C5C51"/>
    <w:rsid w:val="21481EDE"/>
    <w:rsid w:val="22DE7DAF"/>
    <w:rsid w:val="22E8198F"/>
    <w:rsid w:val="23ED540F"/>
    <w:rsid w:val="242EF549"/>
    <w:rsid w:val="24A89CA4"/>
    <w:rsid w:val="2531875B"/>
    <w:rsid w:val="2637EFF9"/>
    <w:rsid w:val="267881D7"/>
    <w:rsid w:val="26E1E30B"/>
    <w:rsid w:val="2768EA2C"/>
    <w:rsid w:val="27742BDB"/>
    <w:rsid w:val="27A961DA"/>
    <w:rsid w:val="292C718E"/>
    <w:rsid w:val="2952B9CE"/>
    <w:rsid w:val="29C1CCD8"/>
    <w:rsid w:val="2A035A2C"/>
    <w:rsid w:val="2A4F6473"/>
    <w:rsid w:val="2AA58EF6"/>
    <w:rsid w:val="2AAF2214"/>
    <w:rsid w:val="2C05C3C0"/>
    <w:rsid w:val="2C50D080"/>
    <w:rsid w:val="2DC7E8BE"/>
    <w:rsid w:val="2DC85B18"/>
    <w:rsid w:val="2E8B9FFD"/>
    <w:rsid w:val="2F0DAB6F"/>
    <w:rsid w:val="2F403D09"/>
    <w:rsid w:val="30539BC2"/>
    <w:rsid w:val="30C5A4D1"/>
    <w:rsid w:val="314B98B3"/>
    <w:rsid w:val="3153C4B1"/>
    <w:rsid w:val="31CB4E3C"/>
    <w:rsid w:val="322225F7"/>
    <w:rsid w:val="32613592"/>
    <w:rsid w:val="32D6E276"/>
    <w:rsid w:val="35200DA6"/>
    <w:rsid w:val="3598242D"/>
    <w:rsid w:val="3620B5BB"/>
    <w:rsid w:val="36D1AEBA"/>
    <w:rsid w:val="380A5E9A"/>
    <w:rsid w:val="383BFA80"/>
    <w:rsid w:val="394894FE"/>
    <w:rsid w:val="398039D5"/>
    <w:rsid w:val="39A92FE6"/>
    <w:rsid w:val="39F6F24E"/>
    <w:rsid w:val="3A1672EB"/>
    <w:rsid w:val="3A34F7FC"/>
    <w:rsid w:val="3A4E9B5A"/>
    <w:rsid w:val="3A97D8F7"/>
    <w:rsid w:val="3B76FC60"/>
    <w:rsid w:val="3BE73C00"/>
    <w:rsid w:val="3C63A9BF"/>
    <w:rsid w:val="3C9E6599"/>
    <w:rsid w:val="3CBB8304"/>
    <w:rsid w:val="3D2D9BA4"/>
    <w:rsid w:val="3E37DEB4"/>
    <w:rsid w:val="3E6AB20B"/>
    <w:rsid w:val="3E99E910"/>
    <w:rsid w:val="3EDE0CDF"/>
    <w:rsid w:val="3F15EB33"/>
    <w:rsid w:val="3F1D076C"/>
    <w:rsid w:val="40D10A3F"/>
    <w:rsid w:val="40FD365E"/>
    <w:rsid w:val="41D32500"/>
    <w:rsid w:val="42499D03"/>
    <w:rsid w:val="43DF1DCD"/>
    <w:rsid w:val="448A8514"/>
    <w:rsid w:val="44C87828"/>
    <w:rsid w:val="4566DEBE"/>
    <w:rsid w:val="45B5085D"/>
    <w:rsid w:val="466FA10E"/>
    <w:rsid w:val="468729CA"/>
    <w:rsid w:val="46B91BA2"/>
    <w:rsid w:val="48870B08"/>
    <w:rsid w:val="4A8D332A"/>
    <w:rsid w:val="4C4E1B22"/>
    <w:rsid w:val="4D6AB84B"/>
    <w:rsid w:val="4DF5E904"/>
    <w:rsid w:val="4E0EBAFB"/>
    <w:rsid w:val="4E58AD78"/>
    <w:rsid w:val="4F095104"/>
    <w:rsid w:val="4FAB2233"/>
    <w:rsid w:val="4FB5AFB7"/>
    <w:rsid w:val="4FE14C3D"/>
    <w:rsid w:val="50F91B05"/>
    <w:rsid w:val="53A91090"/>
    <w:rsid w:val="54184E02"/>
    <w:rsid w:val="547D8117"/>
    <w:rsid w:val="54B5BDD0"/>
    <w:rsid w:val="54F682AA"/>
    <w:rsid w:val="554E7BBB"/>
    <w:rsid w:val="55DEA3A2"/>
    <w:rsid w:val="55F486C1"/>
    <w:rsid w:val="5718F0BF"/>
    <w:rsid w:val="574F91CE"/>
    <w:rsid w:val="57624BF2"/>
    <w:rsid w:val="57E416D3"/>
    <w:rsid w:val="57EC9ACA"/>
    <w:rsid w:val="583C3D78"/>
    <w:rsid w:val="58BCACCD"/>
    <w:rsid w:val="58C46738"/>
    <w:rsid w:val="59BB810E"/>
    <w:rsid w:val="5AAACA21"/>
    <w:rsid w:val="5BD89E84"/>
    <w:rsid w:val="5BDAA4AC"/>
    <w:rsid w:val="5DFDE1BD"/>
    <w:rsid w:val="5F0A8025"/>
    <w:rsid w:val="5F49395B"/>
    <w:rsid w:val="61119774"/>
    <w:rsid w:val="615B6BA5"/>
    <w:rsid w:val="61E3BDF2"/>
    <w:rsid w:val="63EF35AB"/>
    <w:rsid w:val="647886DA"/>
    <w:rsid w:val="6496F052"/>
    <w:rsid w:val="6558DA1C"/>
    <w:rsid w:val="657AA534"/>
    <w:rsid w:val="6697AA5B"/>
    <w:rsid w:val="67491FA8"/>
    <w:rsid w:val="684A179D"/>
    <w:rsid w:val="685288AB"/>
    <w:rsid w:val="6A2B306C"/>
    <w:rsid w:val="6A825F1F"/>
    <w:rsid w:val="6C473F6F"/>
    <w:rsid w:val="6D09F7BC"/>
    <w:rsid w:val="6D8E5C3F"/>
    <w:rsid w:val="6E93BE69"/>
    <w:rsid w:val="6EB6F775"/>
    <w:rsid w:val="6F9CF6AF"/>
    <w:rsid w:val="7015564B"/>
    <w:rsid w:val="7078409C"/>
    <w:rsid w:val="70ED428F"/>
    <w:rsid w:val="71107640"/>
    <w:rsid w:val="72650D95"/>
    <w:rsid w:val="72837871"/>
    <w:rsid w:val="72F31740"/>
    <w:rsid w:val="7331D734"/>
    <w:rsid w:val="733580E2"/>
    <w:rsid w:val="73C18BE9"/>
    <w:rsid w:val="742A4B41"/>
    <w:rsid w:val="757583E1"/>
    <w:rsid w:val="75CC944A"/>
    <w:rsid w:val="7627DA8A"/>
    <w:rsid w:val="763A2DBD"/>
    <w:rsid w:val="7642E465"/>
    <w:rsid w:val="771F9B23"/>
    <w:rsid w:val="7842F5C2"/>
    <w:rsid w:val="799A8104"/>
    <w:rsid w:val="79F58951"/>
    <w:rsid w:val="7A8685DD"/>
    <w:rsid w:val="7AB3FDF1"/>
    <w:rsid w:val="7AE3815F"/>
    <w:rsid w:val="7B65B4F2"/>
    <w:rsid w:val="7B7DC629"/>
    <w:rsid w:val="7D75A5A1"/>
    <w:rsid w:val="7E5721CD"/>
    <w:rsid w:val="7EB8B11A"/>
    <w:rsid w:val="7F88D6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EE401"/>
  <w15:chartTrackingRefBased/>
  <w15:docId w15:val="{6148051F-088C-4DF2-8152-EE6159B06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39D"/>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1739A"/>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E1739A"/>
  </w:style>
  <w:style w:type="paragraph" w:styleId="Rodap">
    <w:name w:val="footer"/>
    <w:basedOn w:val="Normal"/>
    <w:link w:val="RodapChar"/>
    <w:uiPriority w:val="99"/>
    <w:unhideWhenUsed/>
    <w:rsid w:val="00E1739A"/>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E1739A"/>
  </w:style>
  <w:style w:type="paragraph" w:styleId="Ttulo">
    <w:name w:val="Title"/>
    <w:basedOn w:val="Normal"/>
    <w:link w:val="TtuloChar"/>
    <w:uiPriority w:val="10"/>
    <w:qFormat/>
    <w:rsid w:val="00E1739A"/>
    <w:pPr>
      <w:widowControl w:val="0"/>
      <w:autoSpaceDE w:val="0"/>
      <w:autoSpaceDN w:val="0"/>
      <w:spacing w:before="83"/>
      <w:ind w:left="277" w:right="310"/>
      <w:jc w:val="center"/>
    </w:pPr>
    <w:rPr>
      <w:rFonts w:ascii="Arial" w:eastAsia="Arial" w:hAnsi="Arial" w:cs="Arial"/>
      <w:b/>
      <w:bCs/>
      <w:sz w:val="23"/>
      <w:szCs w:val="23"/>
      <w:lang w:val="pt-PT" w:eastAsia="en-US"/>
    </w:rPr>
  </w:style>
  <w:style w:type="character" w:customStyle="1" w:styleId="TtuloChar">
    <w:name w:val="Título Char"/>
    <w:basedOn w:val="Fontepargpadro"/>
    <w:link w:val="Ttulo"/>
    <w:uiPriority w:val="10"/>
    <w:rsid w:val="00E1739A"/>
    <w:rPr>
      <w:rFonts w:ascii="Arial" w:eastAsia="Arial" w:hAnsi="Arial" w:cs="Arial"/>
      <w:b/>
      <w:bCs/>
      <w:sz w:val="23"/>
      <w:szCs w:val="23"/>
      <w:lang w:val="pt-PT"/>
    </w:rPr>
  </w:style>
  <w:style w:type="paragraph" w:customStyle="1" w:styleId="Default">
    <w:name w:val="Default"/>
    <w:rsid w:val="00E1739A"/>
    <w:pPr>
      <w:autoSpaceDE w:val="0"/>
      <w:autoSpaceDN w:val="0"/>
      <w:adjustRightInd w:val="0"/>
      <w:spacing w:after="0" w:line="240" w:lineRule="auto"/>
    </w:pPr>
    <w:rPr>
      <w:rFonts w:ascii="Arial" w:eastAsia="Times New Roman" w:hAnsi="Arial" w:cs="Arial"/>
      <w:color w:val="000000"/>
      <w:sz w:val="24"/>
      <w:szCs w:val="24"/>
      <w:lang w:eastAsia="pt-BR"/>
    </w:rPr>
  </w:style>
  <w:style w:type="table" w:styleId="Tabelacomgrade">
    <w:name w:val="Table Grid"/>
    <w:basedOn w:val="Tabelanormal"/>
    <w:uiPriority w:val="39"/>
    <w:rsid w:val="00E17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1739A"/>
    <w:pPr>
      <w:ind w:left="720"/>
      <w:contextualSpacing/>
    </w:pPr>
  </w:style>
  <w:style w:type="character" w:styleId="Refdecomentrio">
    <w:name w:val="annotation reference"/>
    <w:basedOn w:val="Fontepargpadro"/>
    <w:uiPriority w:val="99"/>
    <w:semiHidden/>
    <w:unhideWhenUsed/>
    <w:rsid w:val="008D319D"/>
    <w:rPr>
      <w:sz w:val="16"/>
      <w:szCs w:val="16"/>
    </w:rPr>
  </w:style>
  <w:style w:type="paragraph" w:styleId="Textodecomentrio">
    <w:name w:val="annotation text"/>
    <w:basedOn w:val="Normal"/>
    <w:link w:val="TextodecomentrioChar"/>
    <w:uiPriority w:val="99"/>
    <w:unhideWhenUsed/>
    <w:rsid w:val="008D319D"/>
    <w:rPr>
      <w:sz w:val="20"/>
      <w:szCs w:val="20"/>
    </w:rPr>
  </w:style>
  <w:style w:type="character" w:customStyle="1" w:styleId="TextodecomentrioChar">
    <w:name w:val="Texto de comentário Char"/>
    <w:basedOn w:val="Fontepargpadro"/>
    <w:link w:val="Textodecomentrio"/>
    <w:uiPriority w:val="99"/>
    <w:rsid w:val="008D319D"/>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8D319D"/>
    <w:rPr>
      <w:b/>
      <w:bCs/>
    </w:rPr>
  </w:style>
  <w:style w:type="character" w:customStyle="1" w:styleId="AssuntodocomentrioChar">
    <w:name w:val="Assunto do comentário Char"/>
    <w:basedOn w:val="TextodecomentrioChar"/>
    <w:link w:val="Assuntodocomentrio"/>
    <w:uiPriority w:val="99"/>
    <w:semiHidden/>
    <w:rsid w:val="008D319D"/>
    <w:rPr>
      <w:rFonts w:ascii="Times New Roman" w:eastAsia="Times New Roman" w:hAnsi="Times New Roman" w:cs="Times New Roman"/>
      <w:b/>
      <w:bCs/>
      <w:sz w:val="20"/>
      <w:szCs w:val="20"/>
      <w:lang w:eastAsia="pt-BR"/>
    </w:rPr>
  </w:style>
  <w:style w:type="paragraph" w:styleId="Textodenotaderodap">
    <w:name w:val="footnote text"/>
    <w:basedOn w:val="Normal"/>
    <w:link w:val="TextodenotaderodapChar"/>
    <w:uiPriority w:val="99"/>
    <w:semiHidden/>
    <w:unhideWhenUsed/>
    <w:rsid w:val="004F1658"/>
    <w:rPr>
      <w:sz w:val="20"/>
      <w:szCs w:val="20"/>
    </w:rPr>
  </w:style>
  <w:style w:type="character" w:customStyle="1" w:styleId="TextodenotaderodapChar">
    <w:name w:val="Texto de nota de rodapé Char"/>
    <w:basedOn w:val="Fontepargpadro"/>
    <w:link w:val="Textodenotaderodap"/>
    <w:uiPriority w:val="99"/>
    <w:semiHidden/>
    <w:rsid w:val="004F1658"/>
    <w:rPr>
      <w:rFonts w:ascii="Times New Roman" w:eastAsia="Times New Roman" w:hAnsi="Times New Roman" w:cs="Times New Roman"/>
      <w:sz w:val="20"/>
      <w:szCs w:val="20"/>
      <w:lang w:eastAsia="pt-BR"/>
    </w:rPr>
  </w:style>
  <w:style w:type="character" w:styleId="Refdenotaderodap">
    <w:name w:val="footnote reference"/>
    <w:aliases w:val="Stinking Styles13,sobrescrito,Referência de rodapé,FC,_Footnote Reference,_Footnote text,_Footnote,_Footnote Text,_Footnote base Reference,fr"/>
    <w:basedOn w:val="Fontepargpadro"/>
    <w:uiPriority w:val="99"/>
    <w:unhideWhenUsed/>
    <w:rsid w:val="004F1658"/>
    <w:rPr>
      <w:vertAlign w:val="superscript"/>
    </w:rPr>
  </w:style>
  <w:style w:type="character" w:styleId="Hyperlink">
    <w:name w:val="Hyperlink"/>
    <w:basedOn w:val="Fontepargpadro"/>
    <w:uiPriority w:val="99"/>
    <w:unhideWhenUsed/>
    <w:rsid w:val="00337F4F"/>
    <w:rPr>
      <w:color w:val="0563C1" w:themeColor="hyperlink"/>
      <w:u w:val="single"/>
    </w:rPr>
  </w:style>
  <w:style w:type="character" w:styleId="MenoPendente">
    <w:name w:val="Unresolved Mention"/>
    <w:basedOn w:val="Fontepargpadro"/>
    <w:uiPriority w:val="99"/>
    <w:semiHidden/>
    <w:unhideWhenUsed/>
    <w:rsid w:val="00337F4F"/>
    <w:rPr>
      <w:color w:val="605E5C"/>
      <w:shd w:val="clear" w:color="auto" w:fill="E1DFDD"/>
    </w:rPr>
  </w:style>
  <w:style w:type="character" w:styleId="HiperlinkVisitado">
    <w:name w:val="FollowedHyperlink"/>
    <w:basedOn w:val="Fontepargpadro"/>
    <w:uiPriority w:val="99"/>
    <w:semiHidden/>
    <w:unhideWhenUsed/>
    <w:rsid w:val="0053087B"/>
    <w:rPr>
      <w:color w:val="954F72" w:themeColor="followedHyperlink"/>
      <w:u w:val="single"/>
    </w:rPr>
  </w:style>
  <w:style w:type="paragraph" w:styleId="Textodebalo">
    <w:name w:val="Balloon Text"/>
    <w:basedOn w:val="Normal"/>
    <w:link w:val="TextodebaloChar"/>
    <w:uiPriority w:val="99"/>
    <w:semiHidden/>
    <w:unhideWhenUsed/>
    <w:rsid w:val="00F94BB7"/>
    <w:rPr>
      <w:rFonts w:ascii="Segoe UI" w:hAnsi="Segoe UI" w:cs="Segoe UI"/>
      <w:sz w:val="18"/>
      <w:szCs w:val="18"/>
    </w:rPr>
  </w:style>
  <w:style w:type="character" w:customStyle="1" w:styleId="TextodebaloChar">
    <w:name w:val="Texto de balão Char"/>
    <w:basedOn w:val="Fontepargpadro"/>
    <w:link w:val="Textodebalo"/>
    <w:uiPriority w:val="99"/>
    <w:semiHidden/>
    <w:rsid w:val="00F94BB7"/>
    <w:rPr>
      <w:rFonts w:ascii="Segoe UI" w:eastAsia="Times New Roman" w:hAnsi="Segoe UI" w:cs="Segoe UI"/>
      <w:sz w:val="18"/>
      <w:szCs w:val="18"/>
      <w:lang w:eastAsia="pt-BR"/>
    </w:rPr>
  </w:style>
  <w:style w:type="paragraph" w:styleId="Reviso">
    <w:name w:val="Revision"/>
    <w:hidden/>
    <w:uiPriority w:val="99"/>
    <w:semiHidden/>
    <w:rsid w:val="00D549B8"/>
    <w:pPr>
      <w:spacing w:after="0"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rsid w:val="00FD11DD"/>
    <w:pPr>
      <w:autoSpaceDE w:val="0"/>
      <w:autoSpaceDN w:val="0"/>
      <w:adjustRightInd w:val="0"/>
      <w:jc w:val="both"/>
    </w:pPr>
    <w:rPr>
      <w:rFonts w:ascii="TimesNewRoman" w:hAnsi="TimesNewRoman"/>
      <w:sz w:val="19"/>
      <w:szCs w:val="19"/>
    </w:rPr>
  </w:style>
  <w:style w:type="character" w:customStyle="1" w:styleId="CorpodetextoChar">
    <w:name w:val="Corpo de texto Char"/>
    <w:basedOn w:val="Fontepargpadro"/>
    <w:link w:val="Corpodetexto"/>
    <w:rsid w:val="00FD11DD"/>
    <w:rPr>
      <w:rFonts w:ascii="TimesNewRoman" w:eastAsia="Times New Roman" w:hAnsi="TimesNewRoman" w:cs="Times New Roman"/>
      <w:sz w:val="19"/>
      <w:szCs w:val="19"/>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8592">
      <w:bodyDiv w:val="1"/>
      <w:marLeft w:val="0"/>
      <w:marRight w:val="0"/>
      <w:marTop w:val="0"/>
      <w:marBottom w:val="0"/>
      <w:divBdr>
        <w:top w:val="none" w:sz="0" w:space="0" w:color="auto"/>
        <w:left w:val="none" w:sz="0" w:space="0" w:color="auto"/>
        <w:bottom w:val="none" w:sz="0" w:space="0" w:color="auto"/>
        <w:right w:val="none" w:sz="0" w:space="0" w:color="auto"/>
      </w:divBdr>
      <w:divsChild>
        <w:div w:id="1021933840">
          <w:marLeft w:val="0"/>
          <w:marRight w:val="0"/>
          <w:marTop w:val="0"/>
          <w:marBottom w:val="0"/>
          <w:divBdr>
            <w:top w:val="none" w:sz="0" w:space="0" w:color="auto"/>
            <w:left w:val="none" w:sz="0" w:space="0" w:color="auto"/>
            <w:bottom w:val="none" w:sz="0" w:space="0" w:color="auto"/>
            <w:right w:val="none" w:sz="0" w:space="0" w:color="auto"/>
          </w:divBdr>
          <w:divsChild>
            <w:div w:id="283853350">
              <w:marLeft w:val="0"/>
              <w:marRight w:val="0"/>
              <w:marTop w:val="0"/>
              <w:marBottom w:val="0"/>
              <w:divBdr>
                <w:top w:val="none" w:sz="0" w:space="0" w:color="auto"/>
                <w:left w:val="none" w:sz="0" w:space="0" w:color="auto"/>
                <w:bottom w:val="none" w:sz="0" w:space="0" w:color="auto"/>
                <w:right w:val="none" w:sz="0" w:space="0" w:color="auto"/>
              </w:divBdr>
              <w:divsChild>
                <w:div w:id="1662461605">
                  <w:marLeft w:val="0"/>
                  <w:marRight w:val="0"/>
                  <w:marTop w:val="0"/>
                  <w:marBottom w:val="0"/>
                  <w:divBdr>
                    <w:top w:val="none" w:sz="0" w:space="0" w:color="auto"/>
                    <w:left w:val="none" w:sz="0" w:space="0" w:color="auto"/>
                    <w:bottom w:val="none" w:sz="0" w:space="0" w:color="auto"/>
                    <w:right w:val="none" w:sz="0" w:space="0" w:color="auto"/>
                  </w:divBdr>
                  <w:divsChild>
                    <w:div w:id="1381662351">
                      <w:marLeft w:val="0"/>
                      <w:marRight w:val="0"/>
                      <w:marTop w:val="0"/>
                      <w:marBottom w:val="0"/>
                      <w:divBdr>
                        <w:top w:val="none" w:sz="0" w:space="0" w:color="auto"/>
                        <w:left w:val="none" w:sz="0" w:space="0" w:color="auto"/>
                        <w:bottom w:val="none" w:sz="0" w:space="0" w:color="auto"/>
                        <w:right w:val="none" w:sz="0" w:space="0" w:color="auto"/>
                      </w:divBdr>
                      <w:divsChild>
                        <w:div w:id="1083724341">
                          <w:marLeft w:val="0"/>
                          <w:marRight w:val="0"/>
                          <w:marTop w:val="0"/>
                          <w:marBottom w:val="0"/>
                          <w:divBdr>
                            <w:top w:val="none" w:sz="0" w:space="0" w:color="auto"/>
                            <w:left w:val="none" w:sz="0" w:space="0" w:color="auto"/>
                            <w:bottom w:val="none" w:sz="0" w:space="0" w:color="auto"/>
                            <w:right w:val="none" w:sz="0" w:space="0" w:color="auto"/>
                          </w:divBdr>
                          <w:divsChild>
                            <w:div w:id="1210994515">
                              <w:marLeft w:val="0"/>
                              <w:marRight w:val="0"/>
                              <w:marTop w:val="0"/>
                              <w:marBottom w:val="0"/>
                              <w:divBdr>
                                <w:top w:val="none" w:sz="0" w:space="0" w:color="auto"/>
                                <w:left w:val="none" w:sz="0" w:space="0" w:color="auto"/>
                                <w:bottom w:val="none" w:sz="0" w:space="0" w:color="auto"/>
                                <w:right w:val="none" w:sz="0" w:space="0" w:color="auto"/>
                              </w:divBdr>
                              <w:divsChild>
                                <w:div w:id="2036616533">
                                  <w:marLeft w:val="0"/>
                                  <w:marRight w:val="0"/>
                                  <w:marTop w:val="0"/>
                                  <w:marBottom w:val="0"/>
                                  <w:divBdr>
                                    <w:top w:val="none" w:sz="0" w:space="0" w:color="auto"/>
                                    <w:left w:val="none" w:sz="0" w:space="0" w:color="auto"/>
                                    <w:bottom w:val="none" w:sz="0" w:space="0" w:color="auto"/>
                                    <w:right w:val="none" w:sz="0" w:space="0" w:color="auto"/>
                                  </w:divBdr>
                                  <w:divsChild>
                                    <w:div w:id="461850085">
                                      <w:marLeft w:val="0"/>
                                      <w:marRight w:val="0"/>
                                      <w:marTop w:val="0"/>
                                      <w:marBottom w:val="0"/>
                                      <w:divBdr>
                                        <w:top w:val="none" w:sz="0" w:space="0" w:color="auto"/>
                                        <w:left w:val="none" w:sz="0" w:space="0" w:color="auto"/>
                                        <w:bottom w:val="none" w:sz="0" w:space="0" w:color="auto"/>
                                        <w:right w:val="none" w:sz="0" w:space="0" w:color="auto"/>
                                      </w:divBdr>
                                      <w:divsChild>
                                        <w:div w:id="176953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813105">
      <w:bodyDiv w:val="1"/>
      <w:marLeft w:val="0"/>
      <w:marRight w:val="0"/>
      <w:marTop w:val="0"/>
      <w:marBottom w:val="0"/>
      <w:divBdr>
        <w:top w:val="none" w:sz="0" w:space="0" w:color="auto"/>
        <w:left w:val="none" w:sz="0" w:space="0" w:color="auto"/>
        <w:bottom w:val="none" w:sz="0" w:space="0" w:color="auto"/>
        <w:right w:val="none" w:sz="0" w:space="0" w:color="auto"/>
      </w:divBdr>
      <w:divsChild>
        <w:div w:id="1834955302">
          <w:marLeft w:val="0"/>
          <w:marRight w:val="0"/>
          <w:marTop w:val="0"/>
          <w:marBottom w:val="0"/>
          <w:divBdr>
            <w:top w:val="none" w:sz="0" w:space="0" w:color="auto"/>
            <w:left w:val="none" w:sz="0" w:space="0" w:color="auto"/>
            <w:bottom w:val="none" w:sz="0" w:space="0" w:color="auto"/>
            <w:right w:val="none" w:sz="0" w:space="0" w:color="auto"/>
          </w:divBdr>
          <w:divsChild>
            <w:div w:id="382411768">
              <w:marLeft w:val="0"/>
              <w:marRight w:val="0"/>
              <w:marTop w:val="0"/>
              <w:marBottom w:val="0"/>
              <w:divBdr>
                <w:top w:val="none" w:sz="0" w:space="0" w:color="auto"/>
                <w:left w:val="none" w:sz="0" w:space="0" w:color="auto"/>
                <w:bottom w:val="none" w:sz="0" w:space="0" w:color="auto"/>
                <w:right w:val="none" w:sz="0" w:space="0" w:color="auto"/>
              </w:divBdr>
              <w:divsChild>
                <w:div w:id="1077283337">
                  <w:marLeft w:val="0"/>
                  <w:marRight w:val="0"/>
                  <w:marTop w:val="0"/>
                  <w:marBottom w:val="0"/>
                  <w:divBdr>
                    <w:top w:val="none" w:sz="0" w:space="0" w:color="auto"/>
                    <w:left w:val="none" w:sz="0" w:space="0" w:color="auto"/>
                    <w:bottom w:val="none" w:sz="0" w:space="0" w:color="auto"/>
                    <w:right w:val="none" w:sz="0" w:space="0" w:color="auto"/>
                  </w:divBdr>
                  <w:divsChild>
                    <w:div w:id="1981114183">
                      <w:marLeft w:val="0"/>
                      <w:marRight w:val="0"/>
                      <w:marTop w:val="0"/>
                      <w:marBottom w:val="0"/>
                      <w:divBdr>
                        <w:top w:val="none" w:sz="0" w:space="0" w:color="auto"/>
                        <w:left w:val="none" w:sz="0" w:space="0" w:color="auto"/>
                        <w:bottom w:val="none" w:sz="0" w:space="0" w:color="auto"/>
                        <w:right w:val="none" w:sz="0" w:space="0" w:color="auto"/>
                      </w:divBdr>
                      <w:divsChild>
                        <w:div w:id="422992915">
                          <w:marLeft w:val="0"/>
                          <w:marRight w:val="0"/>
                          <w:marTop w:val="0"/>
                          <w:marBottom w:val="0"/>
                          <w:divBdr>
                            <w:top w:val="none" w:sz="0" w:space="0" w:color="auto"/>
                            <w:left w:val="none" w:sz="0" w:space="0" w:color="auto"/>
                            <w:bottom w:val="none" w:sz="0" w:space="0" w:color="auto"/>
                            <w:right w:val="none" w:sz="0" w:space="0" w:color="auto"/>
                          </w:divBdr>
                          <w:divsChild>
                            <w:div w:id="1740981100">
                              <w:marLeft w:val="0"/>
                              <w:marRight w:val="0"/>
                              <w:marTop w:val="0"/>
                              <w:marBottom w:val="0"/>
                              <w:divBdr>
                                <w:top w:val="none" w:sz="0" w:space="0" w:color="auto"/>
                                <w:left w:val="none" w:sz="0" w:space="0" w:color="auto"/>
                                <w:bottom w:val="none" w:sz="0" w:space="0" w:color="auto"/>
                                <w:right w:val="none" w:sz="0" w:space="0" w:color="auto"/>
                              </w:divBdr>
                              <w:divsChild>
                                <w:div w:id="1328292305">
                                  <w:marLeft w:val="0"/>
                                  <w:marRight w:val="0"/>
                                  <w:marTop w:val="0"/>
                                  <w:marBottom w:val="0"/>
                                  <w:divBdr>
                                    <w:top w:val="none" w:sz="0" w:space="0" w:color="auto"/>
                                    <w:left w:val="none" w:sz="0" w:space="0" w:color="auto"/>
                                    <w:bottom w:val="none" w:sz="0" w:space="0" w:color="auto"/>
                                    <w:right w:val="none" w:sz="0" w:space="0" w:color="auto"/>
                                  </w:divBdr>
                                  <w:divsChild>
                                    <w:div w:id="670110743">
                                      <w:marLeft w:val="0"/>
                                      <w:marRight w:val="0"/>
                                      <w:marTop w:val="0"/>
                                      <w:marBottom w:val="0"/>
                                      <w:divBdr>
                                        <w:top w:val="none" w:sz="0" w:space="0" w:color="auto"/>
                                        <w:left w:val="none" w:sz="0" w:space="0" w:color="auto"/>
                                        <w:bottom w:val="none" w:sz="0" w:space="0" w:color="auto"/>
                                        <w:right w:val="none" w:sz="0" w:space="0" w:color="auto"/>
                                      </w:divBdr>
                                      <w:divsChild>
                                        <w:div w:id="2089575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368478">
      <w:bodyDiv w:val="1"/>
      <w:marLeft w:val="0"/>
      <w:marRight w:val="0"/>
      <w:marTop w:val="0"/>
      <w:marBottom w:val="0"/>
      <w:divBdr>
        <w:top w:val="none" w:sz="0" w:space="0" w:color="auto"/>
        <w:left w:val="none" w:sz="0" w:space="0" w:color="auto"/>
        <w:bottom w:val="none" w:sz="0" w:space="0" w:color="auto"/>
        <w:right w:val="none" w:sz="0" w:space="0" w:color="auto"/>
      </w:divBdr>
    </w:div>
    <w:div w:id="695236211">
      <w:bodyDiv w:val="1"/>
      <w:marLeft w:val="0"/>
      <w:marRight w:val="0"/>
      <w:marTop w:val="0"/>
      <w:marBottom w:val="0"/>
      <w:divBdr>
        <w:top w:val="none" w:sz="0" w:space="0" w:color="auto"/>
        <w:left w:val="none" w:sz="0" w:space="0" w:color="auto"/>
        <w:bottom w:val="none" w:sz="0" w:space="0" w:color="auto"/>
        <w:right w:val="none" w:sz="0" w:space="0" w:color="auto"/>
      </w:divBdr>
    </w:div>
    <w:div w:id="800735794">
      <w:bodyDiv w:val="1"/>
      <w:marLeft w:val="0"/>
      <w:marRight w:val="0"/>
      <w:marTop w:val="0"/>
      <w:marBottom w:val="0"/>
      <w:divBdr>
        <w:top w:val="none" w:sz="0" w:space="0" w:color="auto"/>
        <w:left w:val="none" w:sz="0" w:space="0" w:color="auto"/>
        <w:bottom w:val="none" w:sz="0" w:space="0" w:color="auto"/>
        <w:right w:val="none" w:sz="0" w:space="0" w:color="auto"/>
      </w:divBdr>
    </w:div>
    <w:div w:id="1152209876">
      <w:bodyDiv w:val="1"/>
      <w:marLeft w:val="0"/>
      <w:marRight w:val="0"/>
      <w:marTop w:val="0"/>
      <w:marBottom w:val="0"/>
      <w:divBdr>
        <w:top w:val="none" w:sz="0" w:space="0" w:color="auto"/>
        <w:left w:val="none" w:sz="0" w:space="0" w:color="auto"/>
        <w:bottom w:val="none" w:sz="0" w:space="0" w:color="auto"/>
        <w:right w:val="none" w:sz="0" w:space="0" w:color="auto"/>
      </w:divBdr>
    </w:div>
    <w:div w:id="1278368052">
      <w:bodyDiv w:val="1"/>
      <w:marLeft w:val="0"/>
      <w:marRight w:val="0"/>
      <w:marTop w:val="0"/>
      <w:marBottom w:val="0"/>
      <w:divBdr>
        <w:top w:val="none" w:sz="0" w:space="0" w:color="auto"/>
        <w:left w:val="none" w:sz="0" w:space="0" w:color="auto"/>
        <w:bottom w:val="none" w:sz="0" w:space="0" w:color="auto"/>
        <w:right w:val="none" w:sz="0" w:space="0" w:color="auto"/>
      </w:divBdr>
    </w:div>
    <w:div w:id="1332181186">
      <w:bodyDiv w:val="1"/>
      <w:marLeft w:val="0"/>
      <w:marRight w:val="0"/>
      <w:marTop w:val="0"/>
      <w:marBottom w:val="0"/>
      <w:divBdr>
        <w:top w:val="none" w:sz="0" w:space="0" w:color="auto"/>
        <w:left w:val="none" w:sz="0" w:space="0" w:color="auto"/>
        <w:bottom w:val="none" w:sz="0" w:space="0" w:color="auto"/>
        <w:right w:val="none" w:sz="0" w:space="0" w:color="auto"/>
      </w:divBdr>
      <w:divsChild>
        <w:div w:id="517156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729886">
      <w:bodyDiv w:val="1"/>
      <w:marLeft w:val="0"/>
      <w:marRight w:val="0"/>
      <w:marTop w:val="0"/>
      <w:marBottom w:val="0"/>
      <w:divBdr>
        <w:top w:val="none" w:sz="0" w:space="0" w:color="auto"/>
        <w:left w:val="none" w:sz="0" w:space="0" w:color="auto"/>
        <w:bottom w:val="none" w:sz="0" w:space="0" w:color="auto"/>
        <w:right w:val="none" w:sz="0" w:space="0" w:color="auto"/>
      </w:divBdr>
      <w:divsChild>
        <w:div w:id="986323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499894">
      <w:bodyDiv w:val="1"/>
      <w:marLeft w:val="0"/>
      <w:marRight w:val="0"/>
      <w:marTop w:val="0"/>
      <w:marBottom w:val="0"/>
      <w:divBdr>
        <w:top w:val="none" w:sz="0" w:space="0" w:color="auto"/>
        <w:left w:val="none" w:sz="0" w:space="0" w:color="auto"/>
        <w:bottom w:val="none" w:sz="0" w:space="0" w:color="auto"/>
        <w:right w:val="none" w:sz="0" w:space="0" w:color="auto"/>
      </w:divBdr>
    </w:div>
    <w:div w:id="1746225706">
      <w:bodyDiv w:val="1"/>
      <w:marLeft w:val="0"/>
      <w:marRight w:val="0"/>
      <w:marTop w:val="0"/>
      <w:marBottom w:val="0"/>
      <w:divBdr>
        <w:top w:val="none" w:sz="0" w:space="0" w:color="auto"/>
        <w:left w:val="none" w:sz="0" w:space="0" w:color="auto"/>
        <w:bottom w:val="none" w:sz="0" w:space="0" w:color="auto"/>
        <w:right w:val="none" w:sz="0" w:space="0" w:color="auto"/>
      </w:divBdr>
    </w:div>
    <w:div w:id="1815949068">
      <w:bodyDiv w:val="1"/>
      <w:marLeft w:val="0"/>
      <w:marRight w:val="0"/>
      <w:marTop w:val="0"/>
      <w:marBottom w:val="0"/>
      <w:divBdr>
        <w:top w:val="none" w:sz="0" w:space="0" w:color="auto"/>
        <w:left w:val="none" w:sz="0" w:space="0" w:color="auto"/>
        <w:bottom w:val="none" w:sz="0" w:space="0" w:color="auto"/>
        <w:right w:val="none" w:sz="0" w:space="0" w:color="auto"/>
      </w:divBdr>
    </w:div>
    <w:div w:id="192317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aca.org/resources/cobit" TargetMode="External"/><Relationship Id="rId18" Type="http://schemas.openxmlformats.org/officeDocument/2006/relationships/hyperlink" Target="https://pesquisa.apps.tcu.gov.br/pesquisa/acordao-completo" TargetMode="External"/><Relationship Id="rId26" Type="http://schemas.openxmlformats.org/officeDocument/2006/relationships/hyperlink" Target="https://www.isaca.org/resources/cobit" TargetMode="External"/><Relationship Id="rId3" Type="http://schemas.openxmlformats.org/officeDocument/2006/relationships/customXml" Target="../customXml/item3.xml"/><Relationship Id="rId21" Type="http://schemas.openxmlformats.org/officeDocument/2006/relationships/hyperlink" Target="https://www.itil.com/" TargetMode="External"/><Relationship Id="rId7" Type="http://schemas.openxmlformats.org/officeDocument/2006/relationships/settings" Target="settings.xml"/><Relationship Id="rId12" Type="http://schemas.openxmlformats.org/officeDocument/2006/relationships/hyperlink" Target="https://www.isaca.org/resources/cobit" TargetMode="External"/><Relationship Id="rId17" Type="http://schemas.openxmlformats.org/officeDocument/2006/relationships/hyperlink" Target="https://www.tcerj.tc.br/consulta-acordaos/app" TargetMode="External"/><Relationship Id="rId25" Type="http://schemas.openxmlformats.org/officeDocument/2006/relationships/hyperlink" Target="https://www.isaca.org/resources/cobi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saca.org/resources/cobit" TargetMode="External"/><Relationship Id="rId20" Type="http://schemas.openxmlformats.org/officeDocument/2006/relationships/hyperlink" Target="https://www.isaca.org/resources/cobit" TargetMode="External"/><Relationship Id="rId29" Type="http://schemas.openxmlformats.org/officeDocument/2006/relationships/hyperlink" Target="https://www.isaca.org/resources/cob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aca.org/resources/cobit" TargetMode="External"/><Relationship Id="rId24" Type="http://schemas.openxmlformats.org/officeDocument/2006/relationships/hyperlink" Target="https://www.itil.com/"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saca.org/resources/cobit" TargetMode="External"/><Relationship Id="rId23" Type="http://schemas.openxmlformats.org/officeDocument/2006/relationships/hyperlink" Target="https://www.isaca.org/resources/cobit" TargetMode="External"/><Relationship Id="rId28" Type="http://schemas.openxmlformats.org/officeDocument/2006/relationships/hyperlink" Target="https://www.isaca.org/resources/cobit" TargetMode="External"/><Relationship Id="rId10" Type="http://schemas.openxmlformats.org/officeDocument/2006/relationships/endnotes" Target="endnotes.xml"/><Relationship Id="rId19" Type="http://schemas.openxmlformats.org/officeDocument/2006/relationships/hyperlink" Target="https://www.itil.com/"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saca.org/resources/cobit" TargetMode="External"/><Relationship Id="rId22" Type="http://schemas.openxmlformats.org/officeDocument/2006/relationships/hyperlink" Target="https://www.itil.com/" TargetMode="External"/><Relationship Id="rId27" Type="http://schemas.openxmlformats.org/officeDocument/2006/relationships/hyperlink" Target="https://www.isaca.org/resources/cobit" TargetMode="External"/><Relationship Id="rId30" Type="http://schemas.openxmlformats.org/officeDocument/2006/relationships/hyperlink" Target="https://www.isaca.org/resources/cobit"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c24b4c-a19a-4093-bf78-d5942ee237c3" xsi:nil="true"/>
    <lcf76f155ced4ddcb4097134ff3c332f xmlns="fdb186c7-7373-495f-878c-f0f79ab361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A0C7017C8683A4E8D8838A33F67DDC9" ma:contentTypeVersion="10" ma:contentTypeDescription="Crie um novo documento." ma:contentTypeScope="" ma:versionID="40418b09319f9a2ee1ad34ac94a4982c">
  <xsd:schema xmlns:xsd="http://www.w3.org/2001/XMLSchema" xmlns:xs="http://www.w3.org/2001/XMLSchema" xmlns:p="http://schemas.microsoft.com/office/2006/metadata/properties" xmlns:ns2="fdb186c7-7373-495f-878c-f0f79ab36130" xmlns:ns3="a2c24b4c-a19a-4093-bf78-d5942ee237c3" targetNamespace="http://schemas.microsoft.com/office/2006/metadata/properties" ma:root="true" ma:fieldsID="279706ca315d76014cd459137316f840" ns2:_="" ns3:_="">
    <xsd:import namespace="fdb186c7-7373-495f-878c-f0f79ab36130"/>
    <xsd:import namespace="a2c24b4c-a19a-4093-bf78-d5942ee23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186c7-7373-495f-878c-f0f79ab361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c24b4c-a19a-4093-bf78-d5942ee237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689da7-651f-49aa-89b2-0746064c56a5}" ma:internalName="TaxCatchAll" ma:showField="CatchAllData" ma:web="a2c24b4c-a19a-4093-bf78-d5942ee237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FA4F3B-2708-4731-A0D3-85F4C0631F4E}">
  <ds:schemaRefs>
    <ds:schemaRef ds:uri="http://schemas.microsoft.com/office/2006/metadata/properties"/>
    <ds:schemaRef ds:uri="http://schemas.microsoft.com/office/infopath/2007/PartnerControls"/>
    <ds:schemaRef ds:uri="a2c24b4c-a19a-4093-bf78-d5942ee237c3"/>
    <ds:schemaRef ds:uri="fdb186c7-7373-495f-878c-f0f79ab36130"/>
  </ds:schemaRefs>
</ds:datastoreItem>
</file>

<file path=customXml/itemProps2.xml><?xml version="1.0" encoding="utf-8"?>
<ds:datastoreItem xmlns:ds="http://schemas.openxmlformats.org/officeDocument/2006/customXml" ds:itemID="{09CE5C4D-344E-4B9A-BACC-B692E5F42C94}">
  <ds:schemaRefs>
    <ds:schemaRef ds:uri="http://schemas.microsoft.com/sharepoint/v3/contenttype/forms"/>
  </ds:schemaRefs>
</ds:datastoreItem>
</file>

<file path=customXml/itemProps3.xml><?xml version="1.0" encoding="utf-8"?>
<ds:datastoreItem xmlns:ds="http://schemas.openxmlformats.org/officeDocument/2006/customXml" ds:itemID="{9B3B699C-58A5-4E30-B28D-A0EBD2730770}">
  <ds:schemaRefs>
    <ds:schemaRef ds:uri="http://schemas.openxmlformats.org/officeDocument/2006/bibliography"/>
  </ds:schemaRefs>
</ds:datastoreItem>
</file>

<file path=customXml/itemProps4.xml><?xml version="1.0" encoding="utf-8"?>
<ds:datastoreItem xmlns:ds="http://schemas.openxmlformats.org/officeDocument/2006/customXml" ds:itemID="{C460D41C-4D86-48AB-A742-517920900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186c7-7373-495f-878c-f0f79ab36130"/>
    <ds:schemaRef ds:uri="a2c24b4c-a19a-4093-bf78-d5942ee23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5778</TotalTime>
  <Pages>7</Pages>
  <Words>3774</Words>
  <Characters>21667</Characters>
  <Application>Microsoft Office Word</Application>
  <DocSecurity>0</DocSecurity>
  <Lines>481</Lines>
  <Paragraphs>208</Paragraphs>
  <ScaleCrop>false</ScaleCrop>
  <Company/>
  <LinksUpToDate>false</LinksUpToDate>
  <CharactersWithSpaces>25233</CharactersWithSpaces>
  <SharedDoc>false</SharedDoc>
  <HLinks>
    <vt:vector size="120" baseType="variant">
      <vt:variant>
        <vt:i4>2031684</vt:i4>
      </vt:variant>
      <vt:variant>
        <vt:i4>57</vt:i4>
      </vt:variant>
      <vt:variant>
        <vt:i4>0</vt:i4>
      </vt:variant>
      <vt:variant>
        <vt:i4>5</vt:i4>
      </vt:variant>
      <vt:variant>
        <vt:lpwstr>https://www.isaca.org/resources/cobit</vt:lpwstr>
      </vt:variant>
      <vt:variant>
        <vt:lpwstr/>
      </vt:variant>
      <vt:variant>
        <vt:i4>2031684</vt:i4>
      </vt:variant>
      <vt:variant>
        <vt:i4>54</vt:i4>
      </vt:variant>
      <vt:variant>
        <vt:i4>0</vt:i4>
      </vt:variant>
      <vt:variant>
        <vt:i4>5</vt:i4>
      </vt:variant>
      <vt:variant>
        <vt:lpwstr>https://www.isaca.org/resources/cobit</vt:lpwstr>
      </vt:variant>
      <vt:variant>
        <vt:lpwstr/>
      </vt:variant>
      <vt:variant>
        <vt:i4>2031684</vt:i4>
      </vt:variant>
      <vt:variant>
        <vt:i4>51</vt:i4>
      </vt:variant>
      <vt:variant>
        <vt:i4>0</vt:i4>
      </vt:variant>
      <vt:variant>
        <vt:i4>5</vt:i4>
      </vt:variant>
      <vt:variant>
        <vt:lpwstr>https://www.isaca.org/resources/cobit</vt:lpwstr>
      </vt:variant>
      <vt:variant>
        <vt:lpwstr/>
      </vt:variant>
      <vt:variant>
        <vt:i4>2031684</vt:i4>
      </vt:variant>
      <vt:variant>
        <vt:i4>48</vt:i4>
      </vt:variant>
      <vt:variant>
        <vt:i4>0</vt:i4>
      </vt:variant>
      <vt:variant>
        <vt:i4>5</vt:i4>
      </vt:variant>
      <vt:variant>
        <vt:lpwstr>https://www.isaca.org/resources/cobit</vt:lpwstr>
      </vt:variant>
      <vt:variant>
        <vt:lpwstr/>
      </vt:variant>
      <vt:variant>
        <vt:i4>2031684</vt:i4>
      </vt:variant>
      <vt:variant>
        <vt:i4>45</vt:i4>
      </vt:variant>
      <vt:variant>
        <vt:i4>0</vt:i4>
      </vt:variant>
      <vt:variant>
        <vt:i4>5</vt:i4>
      </vt:variant>
      <vt:variant>
        <vt:lpwstr>https://www.isaca.org/resources/cobit</vt:lpwstr>
      </vt:variant>
      <vt:variant>
        <vt:lpwstr/>
      </vt:variant>
      <vt:variant>
        <vt:i4>2031684</vt:i4>
      </vt:variant>
      <vt:variant>
        <vt:i4>42</vt:i4>
      </vt:variant>
      <vt:variant>
        <vt:i4>0</vt:i4>
      </vt:variant>
      <vt:variant>
        <vt:i4>5</vt:i4>
      </vt:variant>
      <vt:variant>
        <vt:lpwstr>https://www.isaca.org/resources/cobit</vt:lpwstr>
      </vt:variant>
      <vt:variant>
        <vt:lpwstr/>
      </vt:variant>
      <vt:variant>
        <vt:i4>6160385</vt:i4>
      </vt:variant>
      <vt:variant>
        <vt:i4>39</vt:i4>
      </vt:variant>
      <vt:variant>
        <vt:i4>0</vt:i4>
      </vt:variant>
      <vt:variant>
        <vt:i4>5</vt:i4>
      </vt:variant>
      <vt:variant>
        <vt:lpwstr>https://www.itil.com/</vt:lpwstr>
      </vt:variant>
      <vt:variant>
        <vt:lpwstr/>
      </vt:variant>
      <vt:variant>
        <vt:i4>2031684</vt:i4>
      </vt:variant>
      <vt:variant>
        <vt:i4>36</vt:i4>
      </vt:variant>
      <vt:variant>
        <vt:i4>0</vt:i4>
      </vt:variant>
      <vt:variant>
        <vt:i4>5</vt:i4>
      </vt:variant>
      <vt:variant>
        <vt:lpwstr>https://www.isaca.org/resources/cobit</vt:lpwstr>
      </vt:variant>
      <vt:variant>
        <vt:lpwstr/>
      </vt:variant>
      <vt:variant>
        <vt:i4>6160385</vt:i4>
      </vt:variant>
      <vt:variant>
        <vt:i4>33</vt:i4>
      </vt:variant>
      <vt:variant>
        <vt:i4>0</vt:i4>
      </vt:variant>
      <vt:variant>
        <vt:i4>5</vt:i4>
      </vt:variant>
      <vt:variant>
        <vt:lpwstr>https://www.itil.com/</vt:lpwstr>
      </vt:variant>
      <vt:variant>
        <vt:lpwstr/>
      </vt:variant>
      <vt:variant>
        <vt:i4>6160385</vt:i4>
      </vt:variant>
      <vt:variant>
        <vt:i4>30</vt:i4>
      </vt:variant>
      <vt:variant>
        <vt:i4>0</vt:i4>
      </vt:variant>
      <vt:variant>
        <vt:i4>5</vt:i4>
      </vt:variant>
      <vt:variant>
        <vt:lpwstr>https://www.itil.com/</vt:lpwstr>
      </vt:variant>
      <vt:variant>
        <vt:lpwstr/>
      </vt:variant>
      <vt:variant>
        <vt:i4>2031684</vt:i4>
      </vt:variant>
      <vt:variant>
        <vt:i4>27</vt:i4>
      </vt:variant>
      <vt:variant>
        <vt:i4>0</vt:i4>
      </vt:variant>
      <vt:variant>
        <vt:i4>5</vt:i4>
      </vt:variant>
      <vt:variant>
        <vt:lpwstr>https://www.isaca.org/resources/cobit</vt:lpwstr>
      </vt:variant>
      <vt:variant>
        <vt:lpwstr/>
      </vt:variant>
      <vt:variant>
        <vt:i4>6160385</vt:i4>
      </vt:variant>
      <vt:variant>
        <vt:i4>24</vt:i4>
      </vt:variant>
      <vt:variant>
        <vt:i4>0</vt:i4>
      </vt:variant>
      <vt:variant>
        <vt:i4>5</vt:i4>
      </vt:variant>
      <vt:variant>
        <vt:lpwstr>https://www.itil.com/</vt:lpwstr>
      </vt:variant>
      <vt:variant>
        <vt:lpwstr/>
      </vt:variant>
      <vt:variant>
        <vt:i4>3014714</vt:i4>
      </vt:variant>
      <vt:variant>
        <vt:i4>21</vt:i4>
      </vt:variant>
      <vt:variant>
        <vt:i4>0</vt:i4>
      </vt:variant>
      <vt:variant>
        <vt:i4>5</vt:i4>
      </vt:variant>
      <vt:variant>
        <vt:lpwstr>https://pesquisa.apps.tcu.gov.br/pesquisa/acordao-completo</vt:lpwstr>
      </vt:variant>
      <vt:variant>
        <vt:lpwstr/>
      </vt:variant>
      <vt:variant>
        <vt:i4>1179728</vt:i4>
      </vt:variant>
      <vt:variant>
        <vt:i4>18</vt:i4>
      </vt:variant>
      <vt:variant>
        <vt:i4>0</vt:i4>
      </vt:variant>
      <vt:variant>
        <vt:i4>5</vt:i4>
      </vt:variant>
      <vt:variant>
        <vt:lpwstr>https://www.tcerj.tc.br/consulta-acordaos/app</vt:lpwstr>
      </vt:variant>
      <vt:variant>
        <vt:lpwstr/>
      </vt:variant>
      <vt:variant>
        <vt:i4>2031684</vt:i4>
      </vt:variant>
      <vt:variant>
        <vt:i4>15</vt:i4>
      </vt:variant>
      <vt:variant>
        <vt:i4>0</vt:i4>
      </vt:variant>
      <vt:variant>
        <vt:i4>5</vt:i4>
      </vt:variant>
      <vt:variant>
        <vt:lpwstr>https://www.isaca.org/resources/cobit</vt:lpwstr>
      </vt:variant>
      <vt:variant>
        <vt:lpwstr/>
      </vt:variant>
      <vt:variant>
        <vt:i4>2031684</vt:i4>
      </vt:variant>
      <vt:variant>
        <vt:i4>12</vt:i4>
      </vt:variant>
      <vt:variant>
        <vt:i4>0</vt:i4>
      </vt:variant>
      <vt:variant>
        <vt:i4>5</vt:i4>
      </vt:variant>
      <vt:variant>
        <vt:lpwstr>https://www.isaca.org/resources/cobit</vt:lpwstr>
      </vt:variant>
      <vt:variant>
        <vt:lpwstr/>
      </vt:variant>
      <vt:variant>
        <vt:i4>2031684</vt:i4>
      </vt:variant>
      <vt:variant>
        <vt:i4>9</vt:i4>
      </vt:variant>
      <vt:variant>
        <vt:i4>0</vt:i4>
      </vt:variant>
      <vt:variant>
        <vt:i4>5</vt:i4>
      </vt:variant>
      <vt:variant>
        <vt:lpwstr>https://www.isaca.org/resources/cobit</vt:lpwstr>
      </vt:variant>
      <vt:variant>
        <vt:lpwstr/>
      </vt:variant>
      <vt:variant>
        <vt:i4>2031684</vt:i4>
      </vt:variant>
      <vt:variant>
        <vt:i4>6</vt:i4>
      </vt:variant>
      <vt:variant>
        <vt:i4>0</vt:i4>
      </vt:variant>
      <vt:variant>
        <vt:i4>5</vt:i4>
      </vt:variant>
      <vt:variant>
        <vt:lpwstr>https://www.isaca.org/resources/cobit</vt:lpwstr>
      </vt:variant>
      <vt:variant>
        <vt:lpwstr/>
      </vt:variant>
      <vt:variant>
        <vt:i4>2031684</vt:i4>
      </vt:variant>
      <vt:variant>
        <vt:i4>3</vt:i4>
      </vt:variant>
      <vt:variant>
        <vt:i4>0</vt:i4>
      </vt:variant>
      <vt:variant>
        <vt:i4>5</vt:i4>
      </vt:variant>
      <vt:variant>
        <vt:lpwstr>https://www.isaca.org/resources/cobit</vt:lpwstr>
      </vt:variant>
      <vt:variant>
        <vt:lpwstr/>
      </vt:variant>
      <vt:variant>
        <vt:i4>2031684</vt:i4>
      </vt:variant>
      <vt:variant>
        <vt:i4>0</vt:i4>
      </vt:variant>
      <vt:variant>
        <vt:i4>0</vt:i4>
      </vt:variant>
      <vt:variant>
        <vt:i4>5</vt:i4>
      </vt:variant>
      <vt:variant>
        <vt:lpwstr>https://www.isaca.org/resources/cobit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Souza Lima</dc:creator>
  <cp:keywords/>
  <dc:description/>
  <cp:lastModifiedBy>João Paulo de Freitas Ramirez</cp:lastModifiedBy>
  <cp:revision>3056</cp:revision>
  <cp:lastPrinted>2025-04-16T22:34:00Z</cp:lastPrinted>
  <dcterms:created xsi:type="dcterms:W3CDTF">2023-08-10T03:29:00Z</dcterms:created>
  <dcterms:modified xsi:type="dcterms:W3CDTF">2026-05-06T18:47:00Z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0x0101005A0C7017C8683A4E8D8838A33F67DDC9</vt:lpwstr>
  </property>
  <property fmtid="{D5CDD505-2E9C-101B-9397-08002B2CF9AE}" pid="3" name="Order">
    <vt:r8>61100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docLang">
    <vt:lpwstr>pt</vt:lpwstr>
  </property>
</Properties>
</file>