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6 a 12 y de las extensiones B a F se añadirán a medida que se implementen: CI, análisis de seguridad, agente revisor, agente autónomo,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41"/>
        <w:gridCol w:w="3829"/>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4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82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2941"/>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829"/>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2941"/>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829"/>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294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829"/>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2941"/>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829"/>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294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829"/>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294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29"/>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48"/>
        <w:gridCol w:w="4869"/>
        <w:gridCol w:w="1653"/>
      </w:tblGrid>
      <w:tr>
        <w:trPr>
          <w:tblHeader/>
        </w:trPr>
        <w:tc>
          <w:tcPr>
            <w:tcW w:type="dxa" w:w="25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8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65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48"/>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869"/>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653"/>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48"/>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4869"/>
            <w:tcMar>
              <w:top w:type="dxa" w:w="60"/>
              <w:left w:type="dxa" w:w="100"/>
              <w:bottom w:type="dxa" w:w="60"/>
              <w:right w:type="dxa" w:w="100"/>
            </w:tcMar>
          </w:tcPr>
          <w:p>
            <w:pPr>
              <w:spacing w:after="0" w:before="0" w:line="252"/>
            </w:pPr>
            <w:r>
              <w:rPr>
                <w:rFonts w:ascii="Calibri" w:cs="Calibri" w:eastAsia="Calibri" w:hAnsi="Calibri"/>
                <w:sz w:val="18"/>
                <w:szCs w:val="18"/>
              </w:rPr>
              <w:t xml:space="preserve">55 casos: listado, consulta por id, 404, precio con 2 decimales, orden estable, catálogo mal formado, despliegue de un cambio de precio, observabilidad y </w:t>
            </w:r>
            <w:r>
              <w:rPr>
                <w:rFonts w:ascii="Consolas" w:cs="Consolas" w:eastAsia="Consolas" w:hAnsi="Consolas"/>
                <w:color w:val="2E3A36"/>
                <w:sz w:val="16"/>
                <w:szCs w:val="16"/>
              </w:rPr>
              <w:t xml:space="preserve">/health</w:t>
            </w:r>
          </w:p>
        </w:tc>
        <w:tc>
          <w:tcPr>
            <w:tcW w:type="dxa" w:w="1653"/>
            <w:tcMar>
              <w:top w:type="dxa" w:w="60"/>
              <w:left w:type="dxa" w:w="100"/>
              <w:bottom w:type="dxa" w:w="60"/>
              <w:right w:type="dxa" w:w="100"/>
            </w:tcMar>
          </w:tcPr>
          <w:p>
            <w:pPr>
              <w:spacing w:after="0" w:before="0" w:line="252"/>
            </w:pPr>
            <w:r>
              <w:rPr>
                <w:rFonts w:ascii="Calibri" w:cs="Calibri" w:eastAsia="Calibri" w:hAnsi="Calibri"/>
                <w:sz w:val="18"/>
                <w:szCs w:val="18"/>
              </w:rPr>
              <w:t xml:space="preserve">55/55 superadas</w:t>
            </w:r>
          </w:p>
        </w:tc>
      </w:tr>
      <w:tr>
        <w:trPr>
          <w:cantSplit/>
        </w:trPr>
        <w:tc>
          <w:tcPr>
            <w:tcW w:type="dxa" w:w="2548"/>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869"/>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653"/>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85"/>
        <w:gridCol w:w="1850"/>
        <w:gridCol w:w="1963"/>
        <w:gridCol w:w="3372"/>
      </w:tblGrid>
      <w:tr>
        <w:trPr>
          <w:tblHeader/>
        </w:trPr>
        <w:tc>
          <w:tcPr>
            <w:tcW w:type="dxa" w:w="18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233"/>
        <w:gridCol w:w="4837"/>
      </w:tblGrid>
      <w:tr>
        <w:trPr>
          <w:tblHeader/>
        </w:trPr>
        <w:tc>
          <w:tcPr>
            <w:tcW w:type="dxa" w:w="42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83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2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837"/>
            <w:tcMar>
              <w:top w:type="dxa" w:w="60"/>
              <w:left w:type="dxa" w:w="100"/>
              <w:bottom w:type="dxa" w:w="60"/>
              <w:right w:type="dxa" w:w="100"/>
            </w:tcMar>
          </w:tcPr>
          <w:p>
            <w:pPr>
              <w:spacing w:after="0" w:before="0" w:line="252"/>
            </w:pPr>
            <w:r>
              <w:rPr>
                <w:rFonts w:ascii="Calibri" w:cs="Calibri" w:eastAsia="Calibri" w:hAnsi="Calibri"/>
                <w:sz w:val="18"/>
                <w:szCs w:val="18"/>
              </w:rPr>
              <w:t xml:space="preserve">6 de 18 (1, 2, 3, A, 4 y 5)</w:t>
            </w:r>
          </w:p>
        </w:tc>
      </w:tr>
      <w:tr>
        <w:trPr>
          <w:cantSplit/>
        </w:trPr>
        <w:tc>
          <w:tcPr>
            <w:tcW w:type="dxa" w:w="4233"/>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837"/>
            <w:tcMar>
              <w:top w:type="dxa" w:w="60"/>
              <w:left w:type="dxa" w:w="100"/>
              <w:bottom w:type="dxa" w:w="60"/>
              <w:right w:type="dxa" w:w="100"/>
            </w:tcMar>
          </w:tcPr>
          <w:p>
            <w:pPr>
              <w:spacing w:after="0" w:before="0" w:line="252"/>
            </w:pPr>
            <w:r>
              <w:rPr>
                <w:rFonts w:ascii="Calibri" w:cs="Calibri" w:eastAsia="Calibri" w:hAnsi="Calibri"/>
                <w:sz w:val="18"/>
                <w:szCs w:val="18"/>
              </w:rPr>
              <w:t xml:space="preserve">12 (4 en core y 8 en app, dos de ellos del agente), más la documentación</w:t>
            </w:r>
          </w:p>
        </w:tc>
      </w:tr>
      <w:tr>
        <w:trPr>
          <w:cantSplit/>
        </w:trPr>
        <w:tc>
          <w:tcPr>
            <w:tcW w:type="dxa" w:w="423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837"/>
            <w:tcMar>
              <w:top w:type="dxa" w:w="60"/>
              <w:left w:type="dxa" w:w="100"/>
              <w:bottom w:type="dxa" w:w="60"/>
              <w:right w:type="dxa" w:w="100"/>
            </w:tcMar>
          </w:tcPr>
          <w:p>
            <w:pPr>
              <w:spacing w:after="0" w:before="0" w:line="252"/>
            </w:pPr>
            <w:r>
              <w:rPr>
                <w:rFonts w:ascii="Calibri" w:cs="Calibri" w:eastAsia="Calibri" w:hAnsi="Calibri"/>
                <w:sz w:val="18"/>
                <w:szCs w:val="18"/>
              </w:rPr>
              <w:t xml:space="preserve">112 superadas (57 de harness y triage, 55 de la aplicación)</w:t>
            </w:r>
          </w:p>
        </w:tc>
      </w:tr>
      <w:tr>
        <w:trPr>
          <w:cantSplit/>
        </w:trPr>
        <w:tc>
          <w:tcPr>
            <w:tcW w:type="dxa" w:w="4233"/>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837"/>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r>
      <w:tr>
        <w:trPr>
          <w:cantSplit/>
        </w:trPr>
        <w:tc>
          <w:tcPr>
            <w:tcW w:type="dxa" w:w="4233"/>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837"/>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r>
      <w:tr>
        <w:trPr>
          <w:cantSplit/>
        </w:trPr>
        <w:tc>
          <w:tcPr>
            <w:tcW w:type="dxa" w:w="4233"/>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837"/>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6 a 12 y B a F.</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6 a 12 y B a F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23"/>
        <w:gridCol w:w="5147"/>
      </w:tblGrid>
      <w:tr>
        <w:trPr>
          <w:tblHeader/>
        </w:trPr>
        <w:tc>
          <w:tcPr>
            <w:tcW w:type="dxa" w:w="39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4"/>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4"/>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4"/>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4"/>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4"/>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1fzzfd5axn92zbsrin83v">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4v_gaocpqd8xze8dqh69f">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qek-_yhit7f9wlmns1krg">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movjg5zvr1l2svh4yale5">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p_6niin-odyvtgpqzjket">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nbvidlgnn506axywuki64">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nym0raxsyyaqa41cuwcws">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hjgy5mmh44sjg-xqoap3n">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4ixj2vazmxqrociq_hzw2">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joivfxd4ax4nfla7p0og">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pvxsbk07ykmzgzrlmir5g">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gpda4gc2nfzbqvfudwnmv">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2drxcieufdtjwj1c2twm-">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udbnnqtxosc60xo7jadk">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mabi03k_ns0pprwffqtsb">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huafmvixdec6aexveir8k">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4a5eifo6t-ko3n5qerk8t">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tptfra66u4ukuufy6jxna">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nkdtjc9_-sekmtyhei2u6">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ga9u983x-k5novvpzhhot">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7vt6_sxrmwskxcdzr6jd-">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fzzfd5axn92zbsrin83v" Type="http://schemas.openxmlformats.org/officeDocument/2006/relationships/hyperlink" Target="https://arxiv.org/pdf/2604.26275" TargetMode="External"/><Relationship Id="rId4v_gaocpqd8xze8dqh69f" Type="http://schemas.openxmlformats.org/officeDocument/2006/relationships/hyperlink" Target="https://www.forrester.com/blogs/agentic-software-development-takes-the-lead-from-code-assistants-to-orchestrated-sdlc-agents/" TargetMode="External"/><Relationship Id="rIdqek-_yhit7f9wlmns1krg" Type="http://schemas.openxmlformats.org/officeDocument/2006/relationships/hyperlink" Target="https://adversa.ai/blog/top-ai-coding-agent-security-resources-september-2026/" TargetMode="External"/><Relationship Id="rIdmovjg5zvr1l2svh4yale5" Type="http://schemas.openxmlformats.org/officeDocument/2006/relationships/hyperlink" Target="https://www.microsoft.com/en-us/security/blog/2026/06/05/securing-ci-cd-in-agentic-world-claude-code-github-action-case/" TargetMode="External"/><Relationship Id="rIdp_6niin-odyvtgpqzjket" Type="http://schemas.openxmlformats.org/officeDocument/2006/relationships/hyperlink" Target="https://www.perforce.com/blog/alm/what-application-lifecycle-management-alm" TargetMode="External"/><Relationship Id="rIdnbvidlgnn506axywuki64" Type="http://schemas.openxmlformats.org/officeDocument/2006/relationships/hyperlink" Target="https://www.port.io/glossary/agentic-sdlc" TargetMode="External"/><Relationship Id="rIdnym0raxsyyaqa41cuwcws" Type="http://schemas.openxmlformats.org/officeDocument/2006/relationships/hyperlink" Target="https://genai.owasp.org/resource/owasp-top-10-for-agentic-applications-for-2026/" TargetMode="External"/><Relationship Id="rIdhjgy5mmh44sjg-xqoap3n" Type="http://schemas.openxmlformats.org/officeDocument/2006/relationships/hyperlink" Target="https://aws.amazon.com/blogs/devops/ai-driven-development-life-cycle" TargetMode="External"/><Relationship Id="rId4ixj2vazmxqrociq_hzw2" Type="http://schemas.openxmlformats.org/officeDocument/2006/relationships/hyperlink" Target="https://www.ibm.com/think/topics/ai-dlc" TargetMode="External"/><Relationship Id="rId-joivfxd4ax4nfla7p0og" Type="http://schemas.openxmlformats.org/officeDocument/2006/relationships/hyperlink" Target="https://github.com/ianhxu/agentic-engineering-field-study/blob/main/04-spec-driven-development.md" TargetMode="External"/><Relationship Id="rIdpvxsbk07ykmzgzrlmir5g" Type="http://schemas.openxmlformats.org/officeDocument/2006/relationships/hyperlink" Target="https://www.pluralsight.com/resources/blog/software-development/spec-driven-development-with-AI-SDD" TargetMode="External"/><Relationship Id="rIdgpda4gc2nfzbqvfudwnmv" Type="http://schemas.openxmlformats.org/officeDocument/2006/relationships/hyperlink" Target="https://outshift.cisco.com/blog/ai-ml/agentic-sdlc-new-evolution-in-software-engineering" TargetMode="External"/><Relationship Id="rId2drxcieufdtjwj1c2twm-" Type="http://schemas.openxmlformats.org/officeDocument/2006/relationships/hyperlink" Target="https://www.dsebastien.net/agent-development-lifecycle-adlc/" TargetMode="External"/><Relationship Id="rId-udbnnqtxosc60xo7jadk" Type="http://schemas.openxmlformats.org/officeDocument/2006/relationships/hyperlink" Target="https://atlan.com/know/ai-agent/adlc-vs-sdlc/" TargetMode="External"/><Relationship Id="rIdmabi03k_ns0pprwffqtsb" Type="http://schemas.openxmlformats.org/officeDocument/2006/relationships/hyperlink" Target="https://spacelift.io/blog/agentic-cicd" TargetMode="External"/><Relationship Id="rIdhuafmvixdec6aexveir8k" Type="http://schemas.openxmlformats.org/officeDocument/2006/relationships/hyperlink" Target="https://www.glacis.io/guide-ai-supply-chain-security" TargetMode="External"/><Relationship Id="rId4a5eifo6t-ko3n5qerk8t" Type="http://schemas.openxmlformats.org/officeDocument/2006/relationships/hyperlink" Target="https://next.redhat.com/2026/08/07/supply-chain-provenance-for-ai-agent-identity/" TargetMode="External"/><Relationship Id="rIdtptfra66u4ukuufy6jxna" Type="http://schemas.openxmlformats.org/officeDocument/2006/relationships/hyperlink" Target="https://code.claude.com/docs" TargetMode="External"/><Relationship Id="rIdnkdtjc9_-sekmtyhei2u6" Type="http://schemas.openxmlformats.org/officeDocument/2006/relationships/hyperlink" Target="https://docs.github.com/en/actions/reference/workflows-and-actions/deployments-and-environments" TargetMode="External"/><Relationship Id="rIdga9u983x-k5novvpzhhot" Type="http://schemas.openxmlformats.org/officeDocument/2006/relationships/hyperlink" Target="https://docs.docker.com/subscription/desktop-license/" TargetMode="External"/><Relationship Id="rId7vt6_sxrmwskxcdzr6jd-"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2026-10-11T20:31:49.545Z</dcterms:created>
  <dcterms:modified xsi:type="dcterms:W3CDTF">2026-10-11T20:31:49.552Z</dcterms:modified>
</cp:coreProperties>
</file>

<file path=docProps/custom.xml><?xml version="1.0" encoding="utf-8"?>
<Properties xmlns="http://schemas.openxmlformats.org/officeDocument/2006/custom-properties" xmlns:vt="http://schemas.openxmlformats.org/officeDocument/2006/docPropsVTypes"/>
</file>