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748" w14:textId="77777777" w:rsidR="000146E2" w:rsidRDefault="000146E2" w:rsidP="000146E2">
      <w:pPr>
        <w:pStyle w:val="NormalWeb"/>
        <w:spacing w:before="0" w:beforeAutospacing="0"/>
        <w:rPr>
          <w:rFonts w:ascii="Arial" w:hAnsi="Arial" w:cs="Arial"/>
          <w:color w:val="495057"/>
        </w:rPr>
      </w:pPr>
      <w:r>
        <w:rPr>
          <w:rFonts w:ascii="Arial" w:hAnsi="Arial" w:cs="Arial"/>
          <w:color w:val="495057"/>
        </w:rPr>
        <w:t xml:space="preserve">The case of Abi, the researcher and statistical programmer, presents several ethical concerns related to the manipulation of data and presentation of </w:t>
      </w:r>
      <w:proofErr w:type="gramStart"/>
      <w:r>
        <w:rPr>
          <w:rFonts w:ascii="Arial" w:hAnsi="Arial" w:cs="Arial"/>
          <w:color w:val="495057"/>
        </w:rPr>
        <w:t>results</w:t>
      </w:r>
      <w:proofErr w:type="gramEnd"/>
    </w:p>
    <w:p w14:paraId="5C68096A" w14:textId="77777777" w:rsidR="000146E2" w:rsidRDefault="000146E2" w:rsidP="000146E2">
      <w:pPr>
        <w:pStyle w:val="NormalWeb"/>
        <w:spacing w:before="0" w:beforeAutospacing="0"/>
        <w:rPr>
          <w:rFonts w:ascii="Arial" w:hAnsi="Arial" w:cs="Arial"/>
          <w:color w:val="495057"/>
        </w:rPr>
      </w:pPr>
      <w:r>
        <w:rPr>
          <w:rStyle w:val="Strong"/>
          <w:rFonts w:ascii="Arial" w:hAnsi="Arial" w:cs="Arial"/>
          <w:color w:val="495057"/>
        </w:rPr>
        <w:t>Concerns</w:t>
      </w:r>
    </w:p>
    <w:p w14:paraId="1E3E138F" w14:textId="77777777" w:rsidR="000146E2" w:rsidRDefault="000146E2" w:rsidP="000146E2">
      <w:pPr>
        <w:pStyle w:val="NormalWeb"/>
        <w:spacing w:before="0" w:beforeAutospacing="0"/>
        <w:rPr>
          <w:rFonts w:ascii="Arial" w:hAnsi="Arial" w:cs="Arial"/>
          <w:color w:val="495057"/>
        </w:rPr>
      </w:pPr>
      <w:r>
        <w:rPr>
          <w:rStyle w:val="Strong"/>
          <w:rFonts w:ascii="Arial" w:hAnsi="Arial" w:cs="Arial"/>
          <w:color w:val="495057"/>
        </w:rPr>
        <w:t>Manipulating data presentation:</w:t>
      </w:r>
      <w:r>
        <w:rPr>
          <w:rFonts w:ascii="Arial" w:hAnsi="Arial" w:cs="Arial"/>
          <w:color w:val="495057"/>
        </w:rPr>
        <w:t xml:space="preserve"> While altering data values is unethical, selectively presenting or analysing data to support a particular conclusion may also constitute manipulation. (Simmons, Nelson, &amp; </w:t>
      </w:r>
      <w:proofErr w:type="spellStart"/>
      <w:r>
        <w:rPr>
          <w:rFonts w:ascii="Arial" w:hAnsi="Arial" w:cs="Arial"/>
          <w:color w:val="495057"/>
        </w:rPr>
        <w:t>Simonsohn</w:t>
      </w:r>
      <w:proofErr w:type="spellEnd"/>
      <w:r>
        <w:rPr>
          <w:rFonts w:ascii="Arial" w:hAnsi="Arial" w:cs="Arial"/>
          <w:color w:val="495057"/>
        </w:rPr>
        <w:t xml:space="preserve">, 2011) Abi should endeavour for objectivity and openness in his analysis </w:t>
      </w:r>
      <w:proofErr w:type="gramStart"/>
      <w:r>
        <w:rPr>
          <w:rFonts w:ascii="Arial" w:hAnsi="Arial" w:cs="Arial"/>
          <w:color w:val="495057"/>
        </w:rPr>
        <w:t>in order to</w:t>
      </w:r>
      <w:proofErr w:type="gramEnd"/>
      <w:r>
        <w:rPr>
          <w:rFonts w:ascii="Arial" w:hAnsi="Arial" w:cs="Arial"/>
          <w:color w:val="495057"/>
        </w:rPr>
        <w:t xml:space="preserve"> preserve the validity of the research procedure. (American Statistical Association, 2018).</w:t>
      </w:r>
    </w:p>
    <w:p w14:paraId="4E810594" w14:textId="77777777" w:rsidR="000146E2" w:rsidRDefault="000146E2" w:rsidP="000146E2">
      <w:pPr>
        <w:pStyle w:val="NormalWeb"/>
        <w:spacing w:before="0" w:beforeAutospacing="0"/>
        <w:rPr>
          <w:rFonts w:ascii="Arial" w:hAnsi="Arial" w:cs="Arial"/>
          <w:color w:val="495057"/>
        </w:rPr>
      </w:pPr>
      <w:r>
        <w:rPr>
          <w:rStyle w:val="Strong"/>
          <w:rFonts w:ascii="Arial" w:hAnsi="Arial" w:cs="Arial"/>
          <w:color w:val="495057"/>
        </w:rPr>
        <w:t xml:space="preserve">Legal </w:t>
      </w:r>
      <w:proofErr w:type="spellStart"/>
      <w:proofErr w:type="gramStart"/>
      <w:r>
        <w:rPr>
          <w:rStyle w:val="Strong"/>
          <w:rFonts w:ascii="Arial" w:hAnsi="Arial" w:cs="Arial"/>
          <w:color w:val="495057"/>
        </w:rPr>
        <w:t>implications:</w:t>
      </w:r>
      <w:r>
        <w:rPr>
          <w:rFonts w:ascii="Arial" w:hAnsi="Arial" w:cs="Arial"/>
          <w:color w:val="495057"/>
        </w:rPr>
        <w:t>Presenting</w:t>
      </w:r>
      <w:proofErr w:type="spellEnd"/>
      <w:proofErr w:type="gramEnd"/>
      <w:r>
        <w:rPr>
          <w:rFonts w:ascii="Arial" w:hAnsi="Arial" w:cs="Arial"/>
          <w:color w:val="495057"/>
        </w:rPr>
        <w:t xml:space="preserve"> deceptive or misleading information about the nutritional value of a product may have legal repercussions, including potential consumer injury liability. (THE EUROPEAN PARLIAMENT AND THE COUNCIL OF THE EUROPEAN UNION, 2014).</w:t>
      </w:r>
    </w:p>
    <w:p w14:paraId="46BFD42F" w14:textId="77777777" w:rsidR="000146E2" w:rsidRDefault="000146E2" w:rsidP="000146E2">
      <w:pPr>
        <w:pStyle w:val="NormalWeb"/>
        <w:spacing w:before="0" w:beforeAutospacing="0"/>
        <w:rPr>
          <w:rFonts w:ascii="Arial" w:hAnsi="Arial" w:cs="Arial"/>
          <w:color w:val="495057"/>
        </w:rPr>
      </w:pPr>
      <w:r>
        <w:rPr>
          <w:rStyle w:val="Strong"/>
          <w:rFonts w:ascii="Arial" w:hAnsi="Arial" w:cs="Arial"/>
          <w:color w:val="495057"/>
        </w:rPr>
        <w:t>Professional impacts:</w:t>
      </w:r>
      <w:r>
        <w:rPr>
          <w:rFonts w:ascii="Arial" w:hAnsi="Arial" w:cs="Arial"/>
          <w:color w:val="495057"/>
        </w:rPr>
        <w:t> If he is associated with unscrupulous practises, Abi's reputation as a researcher and statistical programmer could be damaged. Maintaining the research community's credibility requires the observance of professional standards and ethics. (American Statistical Association, 2018).</w:t>
      </w:r>
    </w:p>
    <w:p w14:paraId="5B49DBC8" w14:textId="2F3539BA" w:rsidR="003A7D50" w:rsidRDefault="000146E2">
      <w:r>
        <w:rPr>
          <w:rStyle w:val="Strong"/>
          <w:rFonts w:ascii="Arial" w:hAnsi="Arial" w:cs="Arial"/>
          <w:color w:val="495057"/>
          <w:shd w:val="clear" w:color="auto" w:fill="FFFFFF"/>
        </w:rPr>
        <w:t>References:</w:t>
      </w:r>
      <w:r>
        <w:rPr>
          <w:rFonts w:ascii="Arial" w:hAnsi="Arial" w:cs="Arial"/>
          <w:b/>
          <w:bCs/>
          <w:color w:val="495057"/>
          <w:shd w:val="clear" w:color="auto" w:fill="FFFFFF"/>
        </w:rPr>
        <w:br/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 xml:space="preserve">Simmons, J.P., Nelson, L.D. and </w:t>
      </w:r>
      <w:proofErr w:type="spellStart"/>
      <w:r>
        <w:rPr>
          <w:rFonts w:ascii="Arial" w:hAnsi="Arial" w:cs="Arial"/>
          <w:color w:val="495057"/>
          <w:shd w:val="clear" w:color="auto" w:fill="FFFFFF"/>
        </w:rPr>
        <w:t>Simonsohn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 xml:space="preserve">, U. (2011). False-positive psychology: Undisclosed flexibility in data collection and analysis allows presenting anything as significant. Psychological Science, 22(11), pp.1359–1366. </w:t>
      </w:r>
      <w:proofErr w:type="spellStart"/>
      <w:proofErr w:type="gramStart"/>
      <w:r>
        <w:rPr>
          <w:rFonts w:ascii="Arial" w:hAnsi="Arial" w:cs="Arial"/>
          <w:color w:val="495057"/>
          <w:shd w:val="clear" w:color="auto" w:fill="FFFFFF"/>
        </w:rPr>
        <w:t>doi:https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>://doi.org/10.1177/0956797611417632</w:t>
      </w:r>
      <w:proofErr w:type="gramEnd"/>
      <w:r>
        <w:rPr>
          <w:rFonts w:ascii="Arial" w:hAnsi="Arial" w:cs="Arial"/>
          <w:color w:val="495057"/>
          <w:shd w:val="clear" w:color="auto" w:fill="FFFFFF"/>
        </w:rPr>
        <w:t xml:space="preserve"> [Accessed 30 Apr. 2023].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THE EUROPEAN PARLIAMENT AND THE COUNCIL OF THE EUROPEAN UNION, (2014). Regulation (EC) No 1924/2006 of the European Parliament and of the Council of 20 December 2006 on nutrition and health claims made on foods. Europa.eu. Available from: https://eur-lex.europa.eu/legal-content/EN/TXT/?uri=CELEX%3A32006R1924 [Accessed 30 Apr. 2023].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American Statistical Association (2018). Approved by ASA Board of Directors Ethical Guidelines for Statistical Practice. Available from: https://www.amstat.org/asa/files/pdfs/EthicalGuidelines.pdf [Accessed 30 Apr. 2023].</w:t>
      </w:r>
    </w:p>
    <w:sectPr w:rsidR="003A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E2"/>
    <w:rsid w:val="000146E2"/>
    <w:rsid w:val="003A7D50"/>
    <w:rsid w:val="00C90457"/>
    <w:rsid w:val="00E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11B0"/>
  <w15:chartTrackingRefBased/>
  <w15:docId w15:val="{67965418-F245-44D9-BE3B-52383F1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4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Roongta</dc:creator>
  <cp:keywords/>
  <dc:description/>
  <cp:lastModifiedBy>Yash Roongta</cp:lastModifiedBy>
  <cp:revision>1</cp:revision>
  <dcterms:created xsi:type="dcterms:W3CDTF">2023-04-30T12:14:00Z</dcterms:created>
  <dcterms:modified xsi:type="dcterms:W3CDTF">2023-04-30T12:15:00Z</dcterms:modified>
</cp:coreProperties>
</file>