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eVTOL悬停构型平飞性能与过渡飞行走廊分析报告</w:t>
      </w:r>
    </w:p>
    <w:p>
      <w:pPr>
        <w:jc w:val="center"/>
      </w:pPr>
      <w:r>
        <w:rPr>
          <w:rFonts w:ascii="Microsoft YaHei" w:hAnsi="Microsoft YaHei" w:eastAsia="Microsoft YaHei"/>
          <w:b w:val="0"/>
          <w:color w:val="555555"/>
          <w:sz w:val="22"/>
        </w:rPr>
        <w:t>公式格式修订版：过程说明、公式推导、结果与校核</w:t>
      </w:r>
    </w:p>
    <w:p>
      <w:pPr>
        <w:pStyle w:val="Heading1"/>
      </w:pPr>
      <w:r>
        <w:rPr>
          <w:rFonts w:ascii="Microsoft YaHei" w:hAnsi="Microsoft YaHei" w:eastAsia="Microsoft YaHei"/>
          <w:b/>
          <w:color w:val="2E74B5"/>
          <w:sz w:val="32"/>
        </w:rPr>
        <w:t>1. 任务目标与计算路线</w:t>
      </w:r>
    </w:p>
    <w:p>
      <w:pPr>
        <w:spacing w:after="120"/>
      </w:pPr>
      <w:r>
        <w:rPr>
          <w:rFonts w:ascii="Microsoft YaHei" w:hAnsi="Microsoft YaHei" w:eastAsia="Microsoft YaHei"/>
          <w:b w:val="0"/>
          <w:sz w:val="21"/>
        </w:rPr>
        <w:t>本报告是在上一阶段巡航平飞性能与模态特性分析基础上进行的第一阶段补充计算。目标是先计算悬停构型的平飞性能，再计算不同推力倾角下的平飞性能，最后根据各倾角可配平速度范围给出过渡飞行走廊。</w:t>
      </w:r>
    </w:p>
    <w:p>
      <w:pPr>
        <w:pStyle w:val="ListBullet"/>
        <w:spacing w:after="60"/>
      </w:pPr>
      <w:r>
        <w:rPr>
          <w:rFonts w:ascii="Microsoft YaHei" w:hAnsi="Microsoft YaHei" w:eastAsia="Microsoft YaHei"/>
          <w:b w:val="0"/>
          <w:sz w:val="21"/>
        </w:rPr>
        <w:t>沿用上一阶段的纵向三自由度定常平飞配平思路，未知量为迎角 alpha、对称尾翼舵偏 delta_e 和总推力 T。</w:t>
      </w:r>
    </w:p>
    <w:p>
      <w:pPr>
        <w:pStyle w:val="ListBullet"/>
        <w:spacing w:after="60"/>
      </w:pPr>
      <w:r>
        <w:rPr>
          <w:rFonts w:ascii="Microsoft YaHei" w:hAnsi="Microsoft YaHei" w:eastAsia="Microsoft YaHei"/>
          <w:b w:val="0"/>
          <w:sz w:val="21"/>
        </w:rPr>
        <w:t>将推力方向从巡航构型的机体系 x 轴推广为可倾转方向 beta，其中 beta=0 deg 为巡航推力方向，beta=90 deg 为悬停构型竖直升力方向。</w:t>
      </w:r>
    </w:p>
    <w:p>
      <w:pPr>
        <w:pStyle w:val="ListBullet"/>
        <w:spacing w:after="60"/>
      </w:pPr>
      <w:r>
        <w:rPr>
          <w:rFonts w:ascii="Microsoft YaHei" w:hAnsi="Microsoft YaHei" w:eastAsia="Microsoft YaHei"/>
          <w:b w:val="0"/>
          <w:sz w:val="21"/>
        </w:rPr>
        <w:t>对高度、速度和倾角进行离散扫描；每个网格点求解非线性配平方程，满足迎角、舵偏、推力和阻力约束后判为有效点。</w:t>
      </w:r>
    </w:p>
    <w:p>
      <w:pPr>
        <w:pStyle w:val="ListBullet"/>
        <w:spacing w:after="60"/>
      </w:pPr>
      <w:r>
        <w:rPr>
          <w:rFonts w:ascii="Microsoft YaHei" w:hAnsi="Microsoft YaHei" w:eastAsia="Microsoft YaHei"/>
          <w:b w:val="0"/>
          <w:sz w:val="21"/>
        </w:rPr>
        <w:t>对每个倾角统计有效速度上下界，并取所有倾角均能覆盖的保守交集作为建议过渡速度带。</w:t>
      </w:r>
    </w:p>
    <w:p>
      <w:pPr>
        <w:pStyle w:val="Heading1"/>
      </w:pPr>
      <w:r>
        <w:rPr>
          <w:rFonts w:ascii="Microsoft YaHei" w:hAnsi="Microsoft YaHei" w:eastAsia="Microsoft YaHei"/>
          <w:b/>
          <w:color w:val="2E74B5"/>
          <w:sz w:val="32"/>
        </w:rPr>
        <w:t>2. 已知参数与数据来源</w:t>
      </w:r>
    </w:p>
    <w:p>
      <w:pPr>
        <w:spacing w:after="120"/>
      </w:pPr>
      <w:r>
        <w:rPr>
          <w:rFonts w:ascii="Microsoft YaHei" w:hAnsi="Microsoft YaHei" w:eastAsia="Microsoft YaHei"/>
          <w:b w:val="0"/>
          <w:sz w:val="21"/>
        </w:rPr>
        <w:t>飞机几何、质量、惯量、纵向静气动、尾翼效能和螺旋桨数据均来自项目中的 eVTOL 三视图与参数文档；本次未重新拟合外部数据。</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E8EEF5"/>
          </w:tcPr>
          <w:p>
            <w:pPr>
              <w:spacing w:after="0"/>
              <w:jc w:val="center"/>
            </w:pPr>
            <w:r>
              <w:rPr>
                <w:b/>
              </w:rPr>
            </w:r>
            <w:r>
              <w:rPr>
                <w:rFonts w:ascii="Microsoft YaHei" w:hAnsi="Microsoft YaHei" w:eastAsia="Microsoft YaHei"/>
                <w:b/>
                <w:sz w:val="18"/>
              </w:rPr>
              <w:t>参数</w:t>
            </w:r>
          </w:p>
        </w:tc>
        <w:tc>
          <w:tcPr>
            <w:tcW w:type="dxa" w:w="3120"/>
            <w:vAlign w:val="center"/>
            <w:shd w:fill="E8EEF5"/>
          </w:tcPr>
          <w:p>
            <w:pPr>
              <w:spacing w:after="0"/>
              <w:jc w:val="center"/>
            </w:pPr>
            <w:r>
              <w:rPr>
                <w:b/>
              </w:rPr>
            </w:r>
            <w:r>
              <w:rPr>
                <w:rFonts w:ascii="Microsoft YaHei" w:hAnsi="Microsoft YaHei" w:eastAsia="Microsoft YaHei"/>
                <w:b/>
                <w:sz w:val="18"/>
              </w:rPr>
              <w:t>数值</w:t>
            </w:r>
          </w:p>
        </w:tc>
        <w:tc>
          <w:tcPr>
            <w:tcW w:type="dxa" w:w="3120"/>
            <w:vAlign w:val="center"/>
            <w:shd w:fill="E8EEF5"/>
          </w:tcPr>
          <w:p>
            <w:pPr>
              <w:spacing w:after="0"/>
              <w:jc w:val="center"/>
            </w:pPr>
            <w:r>
              <w:rPr>
                <w:b/>
              </w:rPr>
            </w:r>
            <w:r>
              <w:rPr>
                <w:rFonts w:ascii="Microsoft YaHei" w:hAnsi="Microsoft YaHei" w:eastAsia="Microsoft YaHei"/>
                <w:b/>
                <w:sz w:val="18"/>
              </w:rPr>
              <w:t>说明</w:t>
            </w:r>
          </w:p>
        </w:tc>
      </w:tr>
      <w:tr>
        <w:tc>
          <w:tcPr>
            <w:tcW w:type="dxa" w:w="3120"/>
            <w:vAlign w:val="center"/>
          </w:tcPr>
          <w:p>
            <w:pPr>
              <w:spacing w:after="0"/>
              <w:jc w:val="center"/>
            </w:pPr>
            <w:r/>
            <w:r>
              <w:rPr>
                <w:rFonts w:ascii="Microsoft YaHei" w:hAnsi="Microsoft YaHei" w:eastAsia="Microsoft YaHei"/>
                <w:b w:val="0"/>
                <w:sz w:val="18"/>
              </w:rPr>
              <w:t>最大起飞质量 m</w:t>
            </w:r>
          </w:p>
        </w:tc>
        <w:tc>
          <w:tcPr>
            <w:tcW w:type="dxa" w:w="3120"/>
            <w:vAlign w:val="center"/>
          </w:tcPr>
          <w:p>
            <w:pPr>
              <w:spacing w:after="0"/>
              <w:jc w:val="center"/>
            </w:pPr>
            <w:r/>
            <w:r>
              <w:rPr>
                <w:rFonts w:ascii="Microsoft YaHei" w:hAnsi="Microsoft YaHei" w:eastAsia="Microsoft YaHei"/>
                <w:b w:val="0"/>
                <w:sz w:val="18"/>
              </w:rPr>
              <w:t>2255.52 kg</w:t>
            </w:r>
          </w:p>
        </w:tc>
        <w:tc>
          <w:tcPr>
            <w:tcW w:type="dxa" w:w="3120"/>
            <w:vAlign w:val="center"/>
          </w:tcPr>
          <w:p>
            <w:pPr>
              <w:spacing w:after="0"/>
              <w:jc w:val="center"/>
            </w:pPr>
            <w:r/>
            <w:r>
              <w:rPr>
                <w:rFonts w:ascii="Microsoft YaHei" w:hAnsi="Microsoft YaHei" w:eastAsia="Microsoft YaHei"/>
                <w:b w:val="0"/>
                <w:sz w:val="18"/>
              </w:rPr>
              <w:t>用于重力 W=m g</w:t>
            </w:r>
          </w:p>
        </w:tc>
      </w:tr>
      <w:tr>
        <w:tc>
          <w:tcPr>
            <w:tcW w:type="dxa" w:w="3120"/>
            <w:vAlign w:val="center"/>
          </w:tcPr>
          <w:p>
            <w:pPr>
              <w:spacing w:after="0"/>
              <w:jc w:val="center"/>
            </w:pPr>
            <w:r/>
            <w:r>
              <w:rPr>
                <w:rFonts w:ascii="Microsoft YaHei" w:hAnsi="Microsoft YaHei" w:eastAsia="Microsoft YaHei"/>
                <w:b w:val="0"/>
                <w:sz w:val="18"/>
              </w:rPr>
              <w:t>重量 W</w:t>
            </w:r>
          </w:p>
        </w:tc>
        <w:tc>
          <w:tcPr>
            <w:tcW w:type="dxa" w:w="3120"/>
            <w:vAlign w:val="center"/>
          </w:tcPr>
          <w:p>
            <w:pPr>
              <w:spacing w:after="0"/>
              <w:jc w:val="center"/>
            </w:pPr>
            <w:r/>
            <w:r>
              <w:rPr>
                <w:rFonts w:ascii="Microsoft YaHei" w:hAnsi="Microsoft YaHei" w:eastAsia="Microsoft YaHei"/>
                <w:b w:val="0"/>
                <w:sz w:val="18"/>
              </w:rPr>
              <w:t>22119.1 N</w:t>
            </w:r>
          </w:p>
        </w:tc>
        <w:tc>
          <w:tcPr>
            <w:tcW w:type="dxa" w:w="3120"/>
            <w:vAlign w:val="center"/>
          </w:tcPr>
          <w:p>
            <w:pPr>
              <w:spacing w:after="0"/>
              <w:jc w:val="center"/>
            </w:pPr>
            <w:r/>
            <w:r>
              <w:rPr>
                <w:rFonts w:ascii="Microsoft YaHei" w:hAnsi="Microsoft YaHei" w:eastAsia="Microsoft YaHei"/>
                <w:b w:val="0"/>
                <w:sz w:val="18"/>
              </w:rPr>
              <w:t>g=9.80665 m/s2</w:t>
            </w:r>
          </w:p>
        </w:tc>
      </w:tr>
      <w:tr>
        <w:tc>
          <w:tcPr>
            <w:tcW w:type="dxa" w:w="3120"/>
            <w:vAlign w:val="center"/>
          </w:tcPr>
          <w:p>
            <w:pPr>
              <w:spacing w:after="0"/>
              <w:jc w:val="center"/>
            </w:pPr>
            <w:r/>
            <w:r>
              <w:rPr>
                <w:rFonts w:ascii="Microsoft YaHei" w:hAnsi="Microsoft YaHei" w:eastAsia="Microsoft YaHei"/>
                <w:b w:val="0"/>
                <w:sz w:val="18"/>
              </w:rPr>
              <w:t>参考面积 S</w:t>
            </w:r>
          </w:p>
        </w:tc>
        <w:tc>
          <w:tcPr>
            <w:tcW w:type="dxa" w:w="3120"/>
            <w:vAlign w:val="center"/>
          </w:tcPr>
          <w:p>
            <w:pPr>
              <w:spacing w:after="0"/>
              <w:jc w:val="center"/>
            </w:pPr>
            <w:r/>
            <w:r>
              <w:rPr>
                <w:rFonts w:ascii="Microsoft YaHei" w:hAnsi="Microsoft YaHei" w:eastAsia="Microsoft YaHei"/>
                <w:b w:val="0"/>
                <w:sz w:val="18"/>
              </w:rPr>
              <w:t>12.20 m2</w:t>
            </w:r>
          </w:p>
        </w:tc>
        <w:tc>
          <w:tcPr>
            <w:tcW w:type="dxa" w:w="3120"/>
            <w:vAlign w:val="center"/>
          </w:tcPr>
          <w:p>
            <w:pPr>
              <w:spacing w:after="0"/>
              <w:jc w:val="center"/>
            </w:pPr>
            <w:r/>
            <w:r>
              <w:rPr>
                <w:rFonts w:ascii="Microsoft YaHei" w:hAnsi="Microsoft YaHei" w:eastAsia="Microsoft YaHei"/>
                <w:b w:val="0"/>
                <w:sz w:val="18"/>
              </w:rPr>
              <w:t>用于气动力计算</w:t>
            </w:r>
          </w:p>
        </w:tc>
      </w:tr>
      <w:tr>
        <w:tc>
          <w:tcPr>
            <w:tcW w:type="dxa" w:w="3120"/>
            <w:vAlign w:val="center"/>
          </w:tcPr>
          <w:p>
            <w:pPr>
              <w:spacing w:after="0"/>
              <w:jc w:val="center"/>
            </w:pPr>
            <w:r/>
            <w:r>
              <w:rPr>
                <w:rFonts w:ascii="Microsoft YaHei" w:hAnsi="Microsoft YaHei" w:eastAsia="Microsoft YaHei"/>
                <w:b w:val="0"/>
                <w:sz w:val="18"/>
              </w:rPr>
              <w:t>翼展 b</w:t>
            </w:r>
          </w:p>
        </w:tc>
        <w:tc>
          <w:tcPr>
            <w:tcW w:type="dxa" w:w="3120"/>
            <w:vAlign w:val="center"/>
          </w:tcPr>
          <w:p>
            <w:pPr>
              <w:spacing w:after="0"/>
              <w:jc w:val="center"/>
            </w:pPr>
            <w:r/>
            <w:r>
              <w:rPr>
                <w:rFonts w:ascii="Microsoft YaHei" w:hAnsi="Microsoft YaHei" w:eastAsia="Microsoft YaHei"/>
                <w:b w:val="0"/>
                <w:sz w:val="18"/>
              </w:rPr>
              <w:t>11.60 m</w:t>
            </w:r>
          </w:p>
        </w:tc>
        <w:tc>
          <w:tcPr>
            <w:tcW w:type="dxa" w:w="3120"/>
            <w:vAlign w:val="center"/>
          </w:tcPr>
          <w:p>
            <w:pPr>
              <w:spacing w:after="0"/>
              <w:jc w:val="center"/>
            </w:pPr>
            <w:r/>
            <w:r>
              <w:rPr>
                <w:rFonts w:ascii="Microsoft YaHei" w:hAnsi="Microsoft YaHei" w:eastAsia="Microsoft YaHei"/>
                <w:b w:val="0"/>
                <w:sz w:val="18"/>
              </w:rPr>
              <w:t>保留用于后续模态分析</w:t>
            </w:r>
          </w:p>
        </w:tc>
      </w:tr>
      <w:tr>
        <w:tc>
          <w:tcPr>
            <w:tcW w:type="dxa" w:w="3120"/>
            <w:vAlign w:val="center"/>
          </w:tcPr>
          <w:p>
            <w:pPr>
              <w:spacing w:after="0"/>
              <w:jc w:val="center"/>
            </w:pPr>
            <w:r/>
            <w:r>
              <w:rPr>
                <w:rFonts w:ascii="Microsoft YaHei" w:hAnsi="Microsoft YaHei" w:eastAsia="Microsoft YaHei"/>
                <w:b w:val="0"/>
                <w:sz w:val="18"/>
              </w:rPr>
              <w:t>平均气动弦长 c_bar</w:t>
            </w:r>
          </w:p>
        </w:tc>
        <w:tc>
          <w:tcPr>
            <w:tcW w:type="dxa" w:w="3120"/>
            <w:vAlign w:val="center"/>
          </w:tcPr>
          <w:p>
            <w:pPr>
              <w:spacing w:after="0"/>
              <w:jc w:val="center"/>
            </w:pPr>
            <w:r/>
            <w:r>
              <w:rPr>
                <w:rFonts w:ascii="Microsoft YaHei" w:hAnsi="Microsoft YaHei" w:eastAsia="Microsoft YaHei"/>
                <w:b w:val="0"/>
                <w:sz w:val="18"/>
              </w:rPr>
              <w:t>1.102 m</w:t>
            </w:r>
          </w:p>
        </w:tc>
        <w:tc>
          <w:tcPr>
            <w:tcW w:type="dxa" w:w="3120"/>
            <w:vAlign w:val="center"/>
          </w:tcPr>
          <w:p>
            <w:pPr>
              <w:spacing w:after="0"/>
              <w:jc w:val="center"/>
            </w:pPr>
            <w:r/>
            <w:r>
              <w:rPr>
                <w:rFonts w:ascii="Microsoft YaHei" w:hAnsi="Microsoft YaHei" w:eastAsia="Microsoft YaHei"/>
                <w:b w:val="0"/>
                <w:sz w:val="18"/>
              </w:rPr>
              <w:t>保留用于后续线化</w:t>
            </w:r>
          </w:p>
        </w:tc>
      </w:tr>
      <w:tr>
        <w:tc>
          <w:tcPr>
            <w:tcW w:type="dxa" w:w="3120"/>
            <w:vAlign w:val="center"/>
          </w:tcPr>
          <w:p>
            <w:pPr>
              <w:spacing w:after="0"/>
              <w:jc w:val="center"/>
            </w:pPr>
            <w:r/>
            <w:r>
              <w:rPr>
                <w:rFonts w:ascii="Microsoft YaHei" w:hAnsi="Microsoft YaHei" w:eastAsia="Microsoft YaHei"/>
                <w:b w:val="0"/>
                <w:sz w:val="18"/>
              </w:rPr>
              <w:t>有效迎角范围</w:t>
            </w:r>
          </w:p>
        </w:tc>
        <w:tc>
          <w:tcPr>
            <w:tcW w:type="dxa" w:w="3120"/>
            <w:vAlign w:val="center"/>
          </w:tcPr>
          <w:p>
            <w:pPr>
              <w:spacing w:after="0"/>
              <w:jc w:val="center"/>
            </w:pPr>
            <w:r/>
            <w:r>
              <w:rPr>
                <w:rFonts w:ascii="Microsoft YaHei" w:hAnsi="Microsoft YaHei" w:eastAsia="Microsoft YaHei"/>
                <w:b w:val="0"/>
                <w:sz w:val="18"/>
              </w:rPr>
              <w:t>-4 deg 至 12 deg</w:t>
            </w:r>
          </w:p>
        </w:tc>
        <w:tc>
          <w:tcPr>
            <w:tcW w:type="dxa" w:w="3120"/>
            <w:vAlign w:val="center"/>
          </w:tcPr>
          <w:p>
            <w:pPr>
              <w:spacing w:after="0"/>
              <w:jc w:val="center"/>
            </w:pPr>
            <w:r/>
            <w:r>
              <w:rPr>
                <w:rFonts w:ascii="Microsoft YaHei" w:hAnsi="Microsoft YaHei" w:eastAsia="Microsoft YaHei"/>
                <w:b w:val="0"/>
                <w:sz w:val="18"/>
              </w:rPr>
              <w:t>按上一阶段气动数据有效范围</w:t>
            </w:r>
          </w:p>
        </w:tc>
      </w:tr>
      <w:tr>
        <w:tc>
          <w:tcPr>
            <w:tcW w:type="dxa" w:w="3120"/>
            <w:vAlign w:val="center"/>
          </w:tcPr>
          <w:p>
            <w:pPr>
              <w:spacing w:after="0"/>
              <w:jc w:val="center"/>
            </w:pPr>
            <w:r/>
            <w:r>
              <w:rPr>
                <w:rFonts w:ascii="Microsoft YaHei" w:hAnsi="Microsoft YaHei" w:eastAsia="Microsoft YaHei"/>
                <w:b w:val="0"/>
                <w:sz w:val="18"/>
              </w:rPr>
              <w:t>最大尾翼偏转</w:t>
            </w:r>
          </w:p>
        </w:tc>
        <w:tc>
          <w:tcPr>
            <w:tcW w:type="dxa" w:w="3120"/>
            <w:vAlign w:val="center"/>
          </w:tcPr>
          <w:p>
            <w:pPr>
              <w:spacing w:after="0"/>
              <w:jc w:val="center"/>
            </w:pPr>
            <w:r/>
            <w:r>
              <w:rPr>
                <w:rFonts w:ascii="Microsoft YaHei" w:hAnsi="Microsoft YaHei" w:eastAsia="Microsoft YaHei"/>
                <w:b w:val="0"/>
                <w:sz w:val="18"/>
              </w:rPr>
              <w:t>|delta_e| &lt;= 20 deg</w:t>
            </w:r>
          </w:p>
        </w:tc>
        <w:tc>
          <w:tcPr>
            <w:tcW w:type="dxa" w:w="3120"/>
            <w:vAlign w:val="center"/>
          </w:tcPr>
          <w:p>
            <w:pPr>
              <w:spacing w:after="0"/>
              <w:jc w:val="center"/>
            </w:pPr>
            <w:r/>
            <w:r>
              <w:rPr>
                <w:rFonts w:ascii="Microsoft YaHei" w:hAnsi="Microsoft YaHei" w:eastAsia="Microsoft YaHei"/>
                <w:b w:val="0"/>
                <w:sz w:val="18"/>
              </w:rPr>
              <w:t>按尾翼效能使用边界</w:t>
            </w:r>
          </w:p>
        </w:tc>
      </w:tr>
      <w:tr>
        <w:tc>
          <w:tcPr>
            <w:tcW w:type="dxa" w:w="3120"/>
            <w:vAlign w:val="center"/>
          </w:tcPr>
          <w:p>
            <w:pPr>
              <w:spacing w:after="0"/>
              <w:jc w:val="center"/>
            </w:pPr>
            <w:r/>
            <w:r>
              <w:rPr>
                <w:rFonts w:ascii="Microsoft YaHei" w:hAnsi="Microsoft YaHei" w:eastAsia="Microsoft YaHei"/>
                <w:b w:val="0"/>
                <w:sz w:val="18"/>
              </w:rPr>
              <w:t>升力桨数量</w:t>
            </w:r>
          </w:p>
        </w:tc>
        <w:tc>
          <w:tcPr>
            <w:tcW w:type="dxa" w:w="3120"/>
            <w:vAlign w:val="center"/>
          </w:tcPr>
          <w:p>
            <w:pPr>
              <w:spacing w:after="0"/>
              <w:jc w:val="center"/>
            </w:pPr>
            <w:r/>
            <w:r>
              <w:rPr>
                <w:rFonts w:ascii="Microsoft YaHei" w:hAnsi="Microsoft YaHei" w:eastAsia="Microsoft YaHei"/>
                <w:b w:val="0"/>
                <w:sz w:val="18"/>
              </w:rPr>
              <w:t>6</w:t>
            </w:r>
          </w:p>
        </w:tc>
        <w:tc>
          <w:tcPr>
            <w:tcW w:type="dxa" w:w="3120"/>
            <w:vAlign w:val="center"/>
          </w:tcPr>
          <w:p>
            <w:pPr>
              <w:spacing w:after="0"/>
              <w:jc w:val="center"/>
            </w:pPr>
            <w:r/>
            <w:r>
              <w:rPr>
                <w:rFonts w:ascii="Microsoft YaHei" w:hAnsi="Microsoft YaHei" w:eastAsia="Microsoft YaHei"/>
                <w:b w:val="0"/>
                <w:sz w:val="18"/>
              </w:rPr>
              <w:t>按三视图构型作第一阶段总推力估算</w:t>
            </w:r>
          </w:p>
        </w:tc>
      </w:tr>
      <w:tr>
        <w:tc>
          <w:tcPr>
            <w:tcW w:type="dxa" w:w="3120"/>
            <w:vAlign w:val="center"/>
          </w:tcPr>
          <w:p>
            <w:pPr>
              <w:spacing w:after="0"/>
              <w:jc w:val="center"/>
            </w:pPr>
            <w:r/>
            <w:r>
              <w:rPr>
                <w:rFonts w:ascii="Microsoft YaHei" w:hAnsi="Microsoft YaHei" w:eastAsia="Microsoft YaHei"/>
                <w:b w:val="0"/>
                <w:sz w:val="18"/>
              </w:rPr>
              <w:t>桨径 D</w:t>
            </w:r>
          </w:p>
        </w:tc>
        <w:tc>
          <w:tcPr>
            <w:tcW w:type="dxa" w:w="3120"/>
            <w:vAlign w:val="center"/>
          </w:tcPr>
          <w:p>
            <w:pPr>
              <w:spacing w:after="0"/>
              <w:jc w:val="center"/>
            </w:pPr>
            <w:r/>
            <w:r>
              <w:rPr>
                <w:rFonts w:ascii="Microsoft YaHei" w:hAnsi="Microsoft YaHei" w:eastAsia="Microsoft YaHei"/>
                <w:b w:val="0"/>
                <w:sz w:val="18"/>
              </w:rPr>
              <w:t>3.0 m</w:t>
            </w:r>
          </w:p>
        </w:tc>
        <w:tc>
          <w:tcPr>
            <w:tcW w:type="dxa" w:w="3120"/>
            <w:vAlign w:val="center"/>
          </w:tcPr>
          <w:p>
            <w:pPr>
              <w:spacing w:after="0"/>
              <w:jc w:val="center"/>
            </w:pPr>
            <w:r/>
            <w:r>
              <w:rPr>
                <w:rFonts w:ascii="Microsoft YaHei" w:hAnsi="Microsoft YaHei" w:eastAsia="Microsoft YaHei"/>
                <w:b w:val="0"/>
                <w:sz w:val="18"/>
              </w:rPr>
              <w:t>由螺旋桨表 J=V/(nD) 反算得到</w:t>
            </w:r>
          </w:p>
        </w:tc>
      </w:tr>
    </w:tbl>
    <w:p>
      <w:pPr>
        <w:pStyle w:val="Heading1"/>
      </w:pPr>
      <w:r>
        <w:rPr>
          <w:rFonts w:ascii="Microsoft YaHei" w:hAnsi="Microsoft YaHei" w:eastAsia="Microsoft YaHei"/>
          <w:b/>
          <w:color w:val="2E74B5"/>
          <w:sz w:val="32"/>
        </w:rPr>
        <w:t>3. 定常平飞配平模型</w:t>
      </w:r>
    </w:p>
    <w:p>
      <w:pPr>
        <w:pStyle w:val="Heading2"/>
      </w:pPr>
      <w:r>
        <w:rPr>
          <w:rFonts w:ascii="Microsoft YaHei" w:hAnsi="Microsoft YaHei" w:eastAsia="Microsoft YaHei"/>
          <w:b/>
          <w:color w:val="2E74B5"/>
          <w:sz w:val="26"/>
        </w:rPr>
        <w:t>3.1 大气与动压</w:t>
      </w:r>
    </w:p>
    <w:p>
      <w:pPr>
        <w:spacing w:after="120"/>
      </w:pPr>
      <w:r>
        <w:rPr>
          <w:rFonts w:ascii="Microsoft YaHei" w:hAnsi="Microsoft YaHei" w:eastAsia="Microsoft YaHei"/>
          <w:b w:val="0"/>
          <w:sz w:val="21"/>
        </w:rPr>
        <w:t>高度影响通过 ISA 对流层密度进入动压。对每个高度 h 和真空速 V，先计算空气密度 rho 和动压。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 name="Picture 1"/>
                  <wp:cNvGraphicFramePr>
                    <a:graphicFrameLocks noChangeAspect="1"/>
                  </wp:cNvGraphicFramePr>
                  <a:graphic>
                    <a:graphicData uri="http://schemas.openxmlformats.org/drawingml/2006/picture">
                      <pic:pic>
                        <pic:nvPicPr>
                          <pic:cNvPr id="0" name="formula_01.png"/>
                          <pic:cNvPicPr/>
                        </pic:nvPicPr>
                        <pic:blipFill>
                          <a:blip r:embed="rId9"/>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w:t>
            </w:r>
          </w:p>
        </w:tc>
      </w:tr>
    </w:tbl>
    <w:p>
      <w:pPr>
        <w:spacing w:after="100"/>
        <w:ind w:left="504" w:right="504"/>
      </w:pPr>
      <w:r>
        <w:rPr>
          <w:rFonts w:ascii="Microsoft YaHei" w:hAnsi="Microsoft YaHei" w:eastAsia="Microsoft YaHei"/>
          <w:b w:val="0"/>
          <w:color w:val="555555"/>
          <w:sz w:val="18"/>
        </w:rPr>
        <w:t>q_bar 为动压；rho(h) 为 ISA 密度；V 为真空速。</w:t>
      </w:r>
    </w:p>
    <w:p>
      <w:pPr>
        <w:pStyle w:val="Heading2"/>
      </w:pPr>
      <w:r>
        <w:rPr>
          <w:rFonts w:ascii="Microsoft YaHei" w:hAnsi="Microsoft YaHei" w:eastAsia="Microsoft YaHei"/>
          <w:b/>
          <w:color w:val="2E74B5"/>
          <w:sz w:val="26"/>
        </w:rPr>
        <w:t>3.2 气动系数与尾翼配平</w:t>
      </w:r>
    </w:p>
    <w:p>
      <w:pPr>
        <w:spacing w:after="120"/>
      </w:pPr>
      <w:r>
        <w:rPr>
          <w:rFonts w:ascii="Microsoft YaHei" w:hAnsi="Microsoft YaHei" w:eastAsia="Microsoft YaHei"/>
          <w:b w:val="0"/>
          <w:sz w:val="21"/>
        </w:rPr>
        <w:t>纵向静气动系数由原始表格按迎角插值；左右尾翼对称偏转时，升力、阻力和俯仰力矩增量按左右尾翼效能相加。</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2" name="Picture 2"/>
                  <wp:cNvGraphicFramePr>
                    <a:graphicFrameLocks noChangeAspect="1"/>
                  </wp:cNvGraphicFramePr>
                  <a:graphic>
                    <a:graphicData uri="http://schemas.openxmlformats.org/drawingml/2006/picture">
                      <pic:pic>
                        <pic:nvPicPr>
                          <pic:cNvPr id="0" name="formula_02.png"/>
                          <pic:cNvPicPr/>
                        </pic:nvPicPr>
                        <pic:blipFill>
                          <a:blip r:embed="rId10"/>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(2)</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3" name="Picture 3"/>
                  <wp:cNvGraphicFramePr>
                    <a:graphicFrameLocks noChangeAspect="1"/>
                  </wp:cNvGraphicFramePr>
                  <a:graphic>
                    <a:graphicData uri="http://schemas.openxmlformats.org/drawingml/2006/picture">
                      <pic:pic>
                        <pic:nvPicPr>
                          <pic:cNvPr id="0" name="formula_03.png"/>
                          <pic:cNvPicPr/>
                        </pic:nvPicPr>
                        <pic:blipFill>
                          <a:blip r:embed="rId11"/>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(3)</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4" name="Picture 4"/>
                  <wp:cNvGraphicFramePr>
                    <a:graphicFrameLocks noChangeAspect="1"/>
                  </wp:cNvGraphicFramePr>
                  <a:graphic>
                    <a:graphicData uri="http://schemas.openxmlformats.org/drawingml/2006/picture">
                      <pic:pic>
                        <pic:nvPicPr>
                          <pic:cNvPr id="0" name="formula_04.png"/>
                          <pic:cNvPicPr/>
                        </pic:nvPicPr>
                        <pic:blipFill>
                          <a:blip r:embed="rId12"/>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(4)</w:t>
            </w:r>
          </w:p>
        </w:tc>
      </w:tr>
    </w:tbl>
    <w:p>
      <w:pPr>
        <w:spacing w:after="20"/>
      </w:pPr>
    </w:p>
    <w:p>
      <w:pPr>
        <w:spacing w:after="120"/>
      </w:pPr>
      <w:r>
        <w:rPr>
          <w:rFonts w:ascii="Microsoft YaHei" w:hAnsi="Microsoft YaHei" w:eastAsia="Microsoft YaHei"/>
          <w:b w:val="0"/>
          <w:sz w:val="21"/>
        </w:rPr>
        <w:t>其中 delta_e 使用角度制 deg，与原尾翼效能表的单位 deg^-1 保持一致。</w:t>
      </w:r>
    </w:p>
    <w:p>
      <w:pPr>
        <w:pStyle w:val="Heading2"/>
      </w:pPr>
      <w:r>
        <w:rPr>
          <w:rFonts w:ascii="Microsoft YaHei" w:hAnsi="Microsoft YaHei" w:eastAsia="Microsoft YaHei"/>
          <w:b/>
          <w:color w:val="2E74B5"/>
          <w:sz w:val="26"/>
        </w:rPr>
        <w:t>3.3 气动力分解</w:t>
      </w:r>
    </w:p>
    <w:p>
      <w:pPr>
        <w:spacing w:after="120"/>
      </w:pPr>
      <w:r>
        <w:rPr>
          <w:rFonts w:ascii="Microsoft YaHei" w:hAnsi="Microsoft YaHei" w:eastAsia="Microsoft YaHei"/>
          <w:b w:val="0"/>
          <w:sz w:val="21"/>
        </w:rPr>
        <w:t>以机体系 x 轴向前、z 轴向下为正。升力 L 和阻力 D 由风轴转换到机体系后，气动力分量写为：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5" name="Picture 5"/>
                  <wp:cNvGraphicFramePr>
                    <a:graphicFrameLocks noChangeAspect="1"/>
                  </wp:cNvGraphicFramePr>
                  <a:graphic>
                    <a:graphicData uri="http://schemas.openxmlformats.org/drawingml/2006/picture">
                      <pic:pic>
                        <pic:nvPicPr>
                          <pic:cNvPr id="0" name="formula_05.png"/>
                          <pic:cNvPicPr/>
                        </pic:nvPicPr>
                        <pic:blipFill>
                          <a:blip r:embed="rId13"/>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(5)</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6" name="Picture 6"/>
                  <wp:cNvGraphicFramePr>
                    <a:graphicFrameLocks noChangeAspect="1"/>
                  </wp:cNvGraphicFramePr>
                  <a:graphic>
                    <a:graphicData uri="http://schemas.openxmlformats.org/drawingml/2006/picture">
                      <pic:pic>
                        <pic:nvPicPr>
                          <pic:cNvPr id="0" name="formula_06.png"/>
                          <pic:cNvPicPr/>
                        </pic:nvPicPr>
                        <pic:blipFill>
                          <a:blip r:embed="rId14"/>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(6)</w:t>
            </w:r>
          </w:p>
        </w:tc>
      </w:tr>
    </w:tbl>
    <w:p>
      <w:pPr>
        <w:spacing w:after="20"/>
      </w:pPr>
    </w:p>
    <w:p>
      <w:pPr>
        <w:spacing w:after="120"/>
      </w:pPr>
      <w:r>
        <w:rPr>
          <w:rFonts w:ascii="Microsoft YaHei" w:hAnsi="Microsoft YaHei" w:eastAsia="Microsoft YaHei"/>
          <w:b w:val="0"/>
          <w:sz w:val="21"/>
        </w:rPr>
        <w:t>这里 Z_a 通常为负值，表示气动力主要向上；该表达式与上一阶段巡航平飞配平保持一致。</w:t>
      </w:r>
    </w:p>
    <w:p>
      <w:pPr>
        <w:pStyle w:val="Heading2"/>
      </w:pPr>
      <w:r>
        <w:rPr>
          <w:rFonts w:ascii="Microsoft YaHei" w:hAnsi="Microsoft YaHei" w:eastAsia="Microsoft YaHei"/>
          <w:b/>
          <w:color w:val="2E74B5"/>
          <w:sz w:val="26"/>
        </w:rPr>
        <w:t>3.4 倾转推力分解</w:t>
      </w:r>
    </w:p>
    <w:p>
      <w:pPr>
        <w:spacing w:after="120"/>
      </w:pPr>
      <w:r>
        <w:rPr>
          <w:rFonts w:ascii="Microsoft YaHei" w:hAnsi="Microsoft YaHei" w:eastAsia="Microsoft YaHei"/>
          <w:b w:val="0"/>
          <w:sz w:val="21"/>
        </w:rPr>
        <w:t>本次新增推力倾角 beta。beta=0 deg 时推力沿机体系 x 轴向前；beta=90 deg 时推力沿机体系 -z 轴向上。总推力 T 在机体系中分解为：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7" name="Picture 7"/>
                  <wp:cNvGraphicFramePr>
                    <a:graphicFrameLocks noChangeAspect="1"/>
                  </wp:cNvGraphicFramePr>
                  <a:graphic>
                    <a:graphicData uri="http://schemas.openxmlformats.org/drawingml/2006/picture">
                      <pic:pic>
                        <pic:nvPicPr>
                          <pic:cNvPr id="0" name="formula_07.png"/>
                          <pic:cNvPicPr/>
                        </pic:nvPicPr>
                        <pic:blipFill>
                          <a:blip r:embed="rId15"/>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(7)</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8" name="Picture 8"/>
                  <wp:cNvGraphicFramePr>
                    <a:graphicFrameLocks noChangeAspect="1"/>
                  </wp:cNvGraphicFramePr>
                  <a:graphic>
                    <a:graphicData uri="http://schemas.openxmlformats.org/drawingml/2006/picture">
                      <pic:pic>
                        <pic:nvPicPr>
                          <pic:cNvPr id="0" name="formula_08.png"/>
                          <pic:cNvPicPr/>
                        </pic:nvPicPr>
                        <pic:blipFill>
                          <a:blip r:embed="rId16"/>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(8)</w:t>
            </w:r>
          </w:p>
        </w:tc>
      </w:tr>
    </w:tbl>
    <w:p>
      <w:pPr>
        <w:spacing w:after="20"/>
      </w:pPr>
    </w:p>
    <w:p>
      <w:pPr>
        <w:pStyle w:val="Heading2"/>
      </w:pPr>
      <w:r>
        <w:rPr>
          <w:rFonts w:ascii="Microsoft YaHei" w:hAnsi="Microsoft YaHei" w:eastAsia="Microsoft YaHei"/>
          <w:b/>
          <w:color w:val="2E74B5"/>
          <w:sz w:val="26"/>
        </w:rPr>
        <w:t>3.5 非线性配平方程组</w:t>
      </w:r>
    </w:p>
    <w:p>
      <w:pPr>
        <w:spacing w:after="120"/>
      </w:pPr>
      <w:r>
        <w:rPr>
          <w:rFonts w:ascii="Microsoft YaHei" w:hAnsi="Microsoft YaHei" w:eastAsia="Microsoft YaHei"/>
          <w:b w:val="0"/>
          <w:sz w:val="21"/>
        </w:rPr>
        <w:t>定常平飞条件取航迹角 gamma=0、俯仰角 theta=alpha、俯仰角速度 q=0。未知量为 x=[alpha, delta_e, T]^T，通过三条方程同时求解：</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9" name="Picture 9"/>
                  <wp:cNvGraphicFramePr>
                    <a:graphicFrameLocks noChangeAspect="1"/>
                  </wp:cNvGraphicFramePr>
                  <a:graphic>
                    <a:graphicData uri="http://schemas.openxmlformats.org/drawingml/2006/picture">
                      <pic:pic>
                        <pic:nvPicPr>
                          <pic:cNvPr id="0" name="formula_09.png"/>
                          <pic:cNvPicPr/>
                        </pic:nvPicPr>
                        <pic:blipFill>
                          <a:blip r:embed="rId17"/>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(9)</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0" name="Picture 10"/>
                  <wp:cNvGraphicFramePr>
                    <a:graphicFrameLocks noChangeAspect="1"/>
                  </wp:cNvGraphicFramePr>
                  <a:graphic>
                    <a:graphicData uri="http://schemas.openxmlformats.org/drawingml/2006/picture">
                      <pic:pic>
                        <pic:nvPicPr>
                          <pic:cNvPr id="0" name="formula_10.png"/>
                          <pic:cNvPicPr/>
                        </pic:nvPicPr>
                        <pic:blipFill>
                          <a:blip r:embed="rId18"/>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(10)</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1" name="Picture 11"/>
                  <wp:cNvGraphicFramePr>
                    <a:graphicFrameLocks noChangeAspect="1"/>
                  </wp:cNvGraphicFramePr>
                  <a:graphic>
                    <a:graphicData uri="http://schemas.openxmlformats.org/drawingml/2006/picture">
                      <pic:pic>
                        <pic:nvPicPr>
                          <pic:cNvPr id="0" name="formula_11.png"/>
                          <pic:cNvPicPr/>
                        </pic:nvPicPr>
                        <pic:blipFill>
                          <a:blip r:embed="rId19"/>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(11)</w:t>
            </w:r>
          </w:p>
        </w:tc>
      </w:tr>
    </w:tbl>
    <w:p>
      <w:pPr>
        <w:spacing w:after="20"/>
      </w:pPr>
    </w:p>
    <w:p>
      <w:pPr>
        <w:spacing w:after="120"/>
      </w:pPr>
      <w:r>
        <w:rPr>
          <w:rFonts w:ascii="Microsoft YaHei" w:hAnsi="Microsoft YaHei" w:eastAsia="Microsoft YaHei"/>
          <w:b w:val="0"/>
          <w:sz w:val="21"/>
        </w:rPr>
        <w:t>式 (9) 为机体系 x 方向力平衡，式 (10) 为机体系 z 方向力平衡，式 (11) 为俯仰力矩配平。beta=0 deg 时，方程退化为上一阶段巡航构型平飞模型；beta=90 deg 时，即为悬停构型下带有机翼气动力的平飞配平模型。</w:t>
      </w:r>
    </w:p>
    <w:p>
      <w:pPr>
        <w:pStyle w:val="Heading1"/>
      </w:pPr>
      <w:r>
        <w:rPr>
          <w:rFonts w:ascii="Microsoft YaHei" w:hAnsi="Microsoft YaHei" w:eastAsia="Microsoft YaHei"/>
          <w:b/>
          <w:color w:val="2E74B5"/>
          <w:sz w:val="32"/>
        </w:rPr>
        <w:t>4. 功率估算方法</w:t>
      </w:r>
    </w:p>
    <w:p>
      <w:pPr>
        <w:spacing w:after="120"/>
      </w:pPr>
      <w:r>
        <w:rPr>
          <w:rFonts w:ascii="Microsoft YaHei" w:hAnsi="Microsoft YaHei" w:eastAsia="Microsoft YaHei"/>
          <w:b w:val="0"/>
          <w:sz w:val="21"/>
        </w:rPr>
        <w:t>巡航构型常用 D·V 表示气动有效功率，但悬停和倾转状态存在明显垂向推力分量，因此本报告采用“前向有效功率 + 垂向诱导功率”的过渡段估算功率，用于不同倾角之间的相对比较。</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2" name="Picture 12"/>
                  <wp:cNvGraphicFramePr>
                    <a:graphicFrameLocks noChangeAspect="1"/>
                  </wp:cNvGraphicFramePr>
                  <a:graphic>
                    <a:graphicData uri="http://schemas.openxmlformats.org/drawingml/2006/picture">
                      <pic:pic>
                        <pic:nvPicPr>
                          <pic:cNvPr id="0" name="formula_12.png"/>
                          <pic:cNvPicPr/>
                        </pic:nvPicPr>
                        <pic:blipFill>
                          <a:blip r:embed="rId20"/>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(12)</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3" name="Picture 13"/>
                  <wp:cNvGraphicFramePr>
                    <a:graphicFrameLocks noChangeAspect="1"/>
                  </wp:cNvGraphicFramePr>
                  <a:graphic>
                    <a:graphicData uri="http://schemas.openxmlformats.org/drawingml/2006/picture">
                      <pic:pic>
                        <pic:nvPicPr>
                          <pic:cNvPr id="0" name="formula_13.png"/>
                          <pic:cNvPicPr/>
                        </pic:nvPicPr>
                        <pic:blipFill>
                          <a:blip r:embed="rId21"/>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(13)</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4" name="Picture 14"/>
                  <wp:cNvGraphicFramePr>
                    <a:graphicFrameLocks noChangeAspect="1"/>
                  </wp:cNvGraphicFramePr>
                  <a:graphic>
                    <a:graphicData uri="http://schemas.openxmlformats.org/drawingml/2006/picture">
                      <pic:pic>
                        <pic:nvPicPr>
                          <pic:cNvPr id="0" name="formula_14.png"/>
                          <pic:cNvPicPr/>
                        </pic:nvPicPr>
                        <pic:blipFill>
                          <a:blip r:embed="rId22"/>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(14)</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5" name="Picture 15"/>
                  <wp:cNvGraphicFramePr>
                    <a:graphicFrameLocks noChangeAspect="1"/>
                  </wp:cNvGraphicFramePr>
                  <a:graphic>
                    <a:graphicData uri="http://schemas.openxmlformats.org/drawingml/2006/picture">
                      <pic:pic>
                        <pic:nvPicPr>
                          <pic:cNvPr id="0" name="formula_15.png"/>
                          <pic:cNvPicPr/>
                        </pic:nvPicPr>
                        <pic:blipFill>
                          <a:blip r:embed="rId23"/>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(15)</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6" name="Picture 16"/>
                  <wp:cNvGraphicFramePr>
                    <a:graphicFrameLocks noChangeAspect="1"/>
                  </wp:cNvGraphicFramePr>
                  <a:graphic>
                    <a:graphicData uri="http://schemas.openxmlformats.org/drawingml/2006/picture">
                      <pic:pic>
                        <pic:nvPicPr>
                          <pic:cNvPr id="0" name="formula_16.png"/>
                          <pic:cNvPicPr/>
                        </pic:nvPicPr>
                        <pic:blipFill>
                          <a:blip r:embed="rId24"/>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(16)</w:t>
            </w:r>
          </w:p>
        </w:tc>
      </w:tr>
    </w:tbl>
    <w:p>
      <w:pPr>
        <w:spacing w:after="20"/>
      </w:pPr>
    </w:p>
    <w:p>
      <w:pPr>
        <w:spacing w:after="120"/>
      </w:pPr>
      <w:r>
        <w:rPr>
          <w:rFonts w:ascii="Microsoft YaHei" w:hAnsi="Microsoft YaHei" w:eastAsia="Microsoft YaHei"/>
          <w:b w:val="0"/>
          <w:sz w:val="21"/>
        </w:rPr>
        <w:t>其中 N_prop=6，D=3.0 m，eta_p=0.68。P_est 的单位为 kW。该值不包含电机、电调、电池和倾转机构损失，不能直接等同于电池输出功率。</w:t>
      </w:r>
    </w:p>
    <w:p>
      <w:pPr>
        <w:spacing w:after="120"/>
      </w:pPr>
      <w:r>
        <w:rPr>
          <w:rFonts w:ascii="Microsoft YaHei" w:hAnsi="Microsoft YaHei" w:eastAsia="Microsoft YaHei"/>
          <w:b w:val="0"/>
          <w:sz w:val="21"/>
        </w:rPr>
        <w:t>原始螺旋桨表也可用于单桨推力与轴功率插值：</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7" name="Picture 17"/>
                  <wp:cNvGraphicFramePr>
                    <a:graphicFrameLocks noChangeAspect="1"/>
                  </wp:cNvGraphicFramePr>
                  <a:graphic>
                    <a:graphicData uri="http://schemas.openxmlformats.org/drawingml/2006/picture">
                      <pic:pic>
                        <pic:nvPicPr>
                          <pic:cNvPr id="0" name="formula_17.png"/>
                          <pic:cNvPicPr/>
                        </pic:nvPicPr>
                        <pic:blipFill>
                          <a:blip r:embed="rId25"/>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(17)</w:t>
            </w:r>
          </w:p>
        </w:tc>
      </w:tr>
    </w:tbl>
    <w:p>
      <w:pPr>
        <w:spacing w:after="2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8" name="Picture 18"/>
                  <wp:cNvGraphicFramePr>
                    <a:graphicFrameLocks noChangeAspect="1"/>
                  </wp:cNvGraphicFramePr>
                  <a:graphic>
                    <a:graphicData uri="http://schemas.openxmlformats.org/drawingml/2006/picture">
                      <pic:pic>
                        <pic:nvPicPr>
                          <pic:cNvPr id="0" name="formula_18.png"/>
                          <pic:cNvPicPr/>
                        </pic:nvPicPr>
                        <pic:blipFill>
                          <a:blip r:embed="rId26"/>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(18)</w:t>
            </w:r>
          </w:p>
        </w:tc>
      </w:tr>
    </w:tbl>
    <w:p>
      <w:pPr>
        <w:spacing w:after="20"/>
      </w:pPr>
    </w:p>
    <w:p>
      <w:pPr>
        <w:spacing w:after="120"/>
      </w:pPr>
      <w:r>
        <w:rPr>
          <w:rFonts w:ascii="Microsoft YaHei" w:hAnsi="Microsoft YaHei" w:eastAsia="Microsoft YaHei"/>
          <w:b w:val="0"/>
          <w:sz w:val="21"/>
        </w:rPr>
        <w:t>由于当前螺旋桨表的测试速度点有限，本报告主表采用式 (12)-(16) 的过渡段估算功率；螺旋桨表内插结果保留在 CSV 明细中，供后续推进系统细化时使用。</w:t>
      </w:r>
    </w:p>
    <w:p>
      <w:pPr>
        <w:pStyle w:val="Heading1"/>
      </w:pPr>
      <w:r>
        <w:rPr>
          <w:rFonts w:ascii="Microsoft YaHei" w:hAnsi="Microsoft YaHei" w:eastAsia="Microsoft YaHei"/>
          <w:b/>
          <w:color w:val="2E74B5"/>
          <w:sz w:val="32"/>
        </w:rPr>
        <w:t>5. 数值求解与有效性判据</w:t>
      </w:r>
    </w:p>
    <w:p>
      <w:pPr>
        <w:spacing w:after="120"/>
      </w:pPr>
      <w:r>
        <w:rPr>
          <w:rFonts w:ascii="Microsoft YaHei" w:hAnsi="Microsoft YaHei" w:eastAsia="Microsoft YaHei"/>
          <w:b w:val="0"/>
          <w:sz w:val="21"/>
        </w:rPr>
        <w:t>对每个高度 h、速度 V 和倾角 beta，使用非线性方程求根方法求解式 (9)-(11)。为避免初值导致局部失败，每个网格点使用多个迎角初值进行尝试，并选择残差范数最小且收敛的解。</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19" name="Picture 19"/>
                  <wp:cNvGraphicFramePr>
                    <a:graphicFrameLocks noChangeAspect="1"/>
                  </wp:cNvGraphicFramePr>
                  <a:graphic>
                    <a:graphicData uri="http://schemas.openxmlformats.org/drawingml/2006/picture">
                      <pic:pic>
                        <pic:nvPicPr>
                          <pic:cNvPr id="0" name="formula_19.png"/>
                          <pic:cNvPicPr/>
                        </pic:nvPicPr>
                        <pic:blipFill>
                          <a:blip r:embed="rId27"/>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(19)</w:t>
            </w:r>
          </w:p>
        </w:tc>
      </w:tr>
    </w:tbl>
    <w:p>
      <w:pPr>
        <w:spacing w:after="20"/>
      </w:pPr>
    </w:p>
    <w:p>
      <w:pPr>
        <w:spacing w:after="120"/>
      </w:pPr>
      <w:r>
        <w:rPr>
          <w:rFonts w:ascii="Microsoft YaHei" w:hAnsi="Microsoft YaHei" w:eastAsia="Microsoft YaHei"/>
          <w:b w:val="0"/>
          <w:sz w:val="21"/>
        </w:rPr>
        <w:t>求解后按以下条件筛选有效点：</w:t>
      </w:r>
    </w:p>
    <w:p>
      <w:pPr>
        <w:pStyle w:val="ListBullet"/>
        <w:spacing w:after="60"/>
      </w:pPr>
      <w:r>
        <w:rPr>
          <w:rFonts w:ascii="Microsoft YaHei" w:hAnsi="Microsoft YaHei" w:eastAsia="Microsoft YaHei"/>
          <w:b w:val="0"/>
          <w:sz w:val="21"/>
        </w:rPr>
        <w:t>求解器收敛，且残差范数足够小；</w:t>
      </w:r>
    </w:p>
    <w:p>
      <w:pPr>
        <w:pStyle w:val="ListBullet"/>
        <w:spacing w:after="60"/>
      </w:pPr>
      <w:r>
        <w:rPr>
          <w:rFonts w:ascii="Microsoft YaHei" w:hAnsi="Microsoft YaHei" w:eastAsia="Microsoft YaHei"/>
          <w:b w:val="0"/>
          <w:sz w:val="21"/>
        </w:rPr>
        <w:t>迎角 alpha 位于 -4 deg 至 12 deg；</w:t>
      </w:r>
    </w:p>
    <w:p>
      <w:pPr>
        <w:pStyle w:val="ListBullet"/>
        <w:spacing w:after="60"/>
      </w:pPr>
      <w:r>
        <w:rPr>
          <w:rFonts w:ascii="Microsoft YaHei" w:hAnsi="Microsoft YaHei" w:eastAsia="Microsoft YaHei"/>
          <w:b w:val="0"/>
          <w:sz w:val="21"/>
        </w:rPr>
        <w:t>对称尾翼偏转满足 |delta_e| &lt;= 20 deg；</w:t>
      </w:r>
    </w:p>
    <w:p>
      <w:pPr>
        <w:pStyle w:val="ListBullet"/>
        <w:spacing w:after="60"/>
      </w:pPr>
      <w:r>
        <w:rPr>
          <w:rFonts w:ascii="Microsoft YaHei" w:hAnsi="Microsoft YaHei" w:eastAsia="Microsoft YaHei"/>
          <w:b w:val="0"/>
          <w:sz w:val="21"/>
        </w:rPr>
        <w:t>总推力 T &gt;= 0，且 C_D &gt; 0；</w:t>
      </w:r>
    </w:p>
    <w:p>
      <w:pPr>
        <w:pStyle w:val="ListBullet"/>
        <w:spacing w:after="60"/>
      </w:pPr>
      <w:r>
        <w:rPr>
          <w:rFonts w:ascii="Microsoft YaHei" w:hAnsi="Microsoft YaHei" w:eastAsia="Microsoft YaHei"/>
          <w:b w:val="0"/>
          <w:sz w:val="21"/>
        </w:rPr>
        <w:t>垂向平衡比接近 1，即升力与推力垂向分量能够平衡重量。</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20" name="Picture 20"/>
                  <wp:cNvGraphicFramePr>
                    <a:graphicFrameLocks noChangeAspect="1"/>
                  </wp:cNvGraphicFramePr>
                  <a:graphic>
                    <a:graphicData uri="http://schemas.openxmlformats.org/drawingml/2006/picture">
                      <pic:pic>
                        <pic:nvPicPr>
                          <pic:cNvPr id="0" name="formula_20.png"/>
                          <pic:cNvPicPr/>
                        </pic:nvPicPr>
                        <pic:blipFill>
                          <a:blip r:embed="rId28"/>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(20)</w:t>
            </w:r>
          </w:p>
        </w:tc>
      </w:tr>
    </w:tbl>
    <w:p>
      <w:pPr>
        <w:spacing w:after="20"/>
      </w:pPr>
    </w:p>
    <w:p>
      <w:pPr>
        <w:spacing w:after="120"/>
      </w:pPr>
      <w:r>
        <w:rPr>
          <w:rFonts w:ascii="Microsoft YaHei" w:hAnsi="Microsoft YaHei" w:eastAsia="Microsoft YaHei"/>
          <w:b w:val="0"/>
          <w:sz w:val="21"/>
        </w:rPr>
        <w:t>R_z 用于直观校核垂向力平衡；有效配平点中 R_z 接近 1。</w:t>
      </w:r>
    </w:p>
    <w:p>
      <w:pPr>
        <w:pStyle w:val="Heading1"/>
      </w:pPr>
      <w:r>
        <w:rPr>
          <w:rFonts w:ascii="Microsoft YaHei" w:hAnsi="Microsoft YaHei" w:eastAsia="Microsoft YaHei"/>
          <w:b/>
          <w:color w:val="2E74B5"/>
          <w:sz w:val="32"/>
        </w:rPr>
        <w:t>6. 悬停构型平飞性能结果</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pPr>
              <w:spacing w:after="0"/>
              <w:jc w:val="center"/>
            </w:pPr>
            <w:r>
              <w:rPr>
                <w:b/>
              </w:rPr>
            </w:r>
            <w:r>
              <w:rPr>
                <w:rFonts w:ascii="Microsoft YaHei" w:hAnsi="Microsoft YaHei" w:eastAsia="Microsoft YaHei"/>
                <w:b/>
                <w:sz w:val="18"/>
              </w:rPr>
              <w:t>高度/m</w:t>
            </w:r>
          </w:p>
        </w:tc>
        <w:tc>
          <w:tcPr>
            <w:tcW w:type="dxa" w:w="1560"/>
            <w:vAlign w:val="center"/>
            <w:shd w:fill="E8EEF5"/>
          </w:tcPr>
          <w:p>
            <w:pPr>
              <w:spacing w:after="0"/>
              <w:jc w:val="center"/>
            </w:pPr>
            <w:r>
              <w:rPr>
                <w:b/>
              </w:rPr>
            </w:r>
            <w:r>
              <w:rPr>
                <w:rFonts w:ascii="Microsoft YaHei" w:hAnsi="Microsoft YaHei" w:eastAsia="Microsoft YaHei"/>
                <w:b/>
                <w:sz w:val="18"/>
              </w:rPr>
              <w:t>有效速度/(m/s)</w:t>
            </w:r>
          </w:p>
        </w:tc>
        <w:tc>
          <w:tcPr>
            <w:tcW w:type="dxa" w:w="1560"/>
            <w:vAlign w:val="center"/>
            <w:shd w:fill="E8EEF5"/>
          </w:tcPr>
          <w:p>
            <w:pPr>
              <w:spacing w:after="0"/>
              <w:jc w:val="center"/>
            </w:pPr>
            <w:r>
              <w:rPr>
                <w:b/>
              </w:rPr>
            </w:r>
            <w:r>
              <w:rPr>
                <w:rFonts w:ascii="Microsoft YaHei" w:hAnsi="Microsoft YaHei" w:eastAsia="Microsoft YaHei"/>
                <w:b/>
                <w:sz w:val="18"/>
              </w:rPr>
              <w:t>最小推力/kN</w:t>
            </w:r>
          </w:p>
        </w:tc>
        <w:tc>
          <w:tcPr>
            <w:tcW w:type="dxa" w:w="1560"/>
            <w:vAlign w:val="center"/>
            <w:shd w:fill="E8EEF5"/>
          </w:tcPr>
          <w:p>
            <w:pPr>
              <w:spacing w:after="0"/>
              <w:jc w:val="center"/>
            </w:pPr>
            <w:r>
              <w:rPr>
                <w:b/>
              </w:rPr>
            </w:r>
            <w:r>
              <w:rPr>
                <w:rFonts w:ascii="Microsoft YaHei" w:hAnsi="Microsoft YaHei" w:eastAsia="Microsoft YaHei"/>
                <w:b/>
                <w:sz w:val="18"/>
              </w:rPr>
              <w:t>最大推力/kN</w:t>
            </w:r>
          </w:p>
        </w:tc>
        <w:tc>
          <w:tcPr>
            <w:tcW w:type="dxa" w:w="1560"/>
            <w:vAlign w:val="center"/>
            <w:shd w:fill="E8EEF5"/>
          </w:tcPr>
          <w:p>
            <w:pPr>
              <w:spacing w:after="0"/>
              <w:jc w:val="center"/>
            </w:pPr>
            <w:r>
              <w:rPr>
                <w:b/>
              </w:rPr>
            </w:r>
            <w:r>
              <w:rPr>
                <w:rFonts w:ascii="Microsoft YaHei" w:hAnsi="Microsoft YaHei" w:eastAsia="Microsoft YaHei"/>
                <w:b/>
                <w:sz w:val="18"/>
              </w:rPr>
              <w:t>最小功率/kW</w:t>
            </w:r>
          </w:p>
        </w:tc>
        <w:tc>
          <w:tcPr>
            <w:tcW w:type="dxa" w:w="1560"/>
            <w:vAlign w:val="center"/>
            <w:shd w:fill="E8EEF5"/>
          </w:tcPr>
          <w:p>
            <w:pPr>
              <w:spacing w:after="0"/>
              <w:jc w:val="center"/>
            </w:pPr>
            <w:r>
              <w:rPr>
                <w:b/>
              </w:rPr>
            </w:r>
            <w:r>
              <w:rPr>
                <w:rFonts w:ascii="Microsoft YaHei" w:hAnsi="Microsoft YaHei" w:eastAsia="Microsoft YaHei"/>
                <w:b/>
                <w:sz w:val="18"/>
              </w:rPr>
              <w:t>最大功率/kW</w:t>
            </w:r>
          </w:p>
        </w:tc>
      </w:tr>
      <w:tr>
        <w:tc>
          <w:tcPr>
            <w:tcW w:type="dxa" w:w="1560"/>
            <w:vAlign w:val="center"/>
          </w:tcPr>
          <w:p>
            <w:pPr>
              <w:spacing w:after="0"/>
              <w:jc w:val="center"/>
            </w:pPr>
            <w:r/>
            <w:r>
              <w:rPr>
                <w:rFonts w:ascii="Microsoft YaHei" w:hAnsi="Microsoft YaHei" w:eastAsia="Microsoft YaHei"/>
                <w:b w:val="0"/>
                <w:sz w:val="18"/>
              </w:rPr>
              <w:t>0</w:t>
            </w:r>
          </w:p>
        </w:tc>
        <w:tc>
          <w:tcPr>
            <w:tcW w:type="dxa" w:w="1560"/>
            <w:vAlign w:val="center"/>
          </w:tcPr>
          <w:p>
            <w:pPr>
              <w:spacing w:after="0"/>
              <w:jc w:val="center"/>
            </w:pPr>
            <w:r/>
            <w:r>
              <w:rPr>
                <w:rFonts w:ascii="Microsoft YaHei" w:hAnsi="Microsoft YaHei" w:eastAsia="Microsoft YaHei"/>
                <w:b w:val="0"/>
                <w:sz w:val="18"/>
              </w:rPr>
              <w:t>5-60</w:t>
            </w:r>
          </w:p>
        </w:tc>
        <w:tc>
          <w:tcPr>
            <w:tcW w:type="dxa" w:w="1560"/>
            <w:vAlign w:val="center"/>
          </w:tcPr>
          <w:p>
            <w:pPr>
              <w:spacing w:after="0"/>
              <w:jc w:val="center"/>
            </w:pPr>
            <w:r/>
            <w:r>
              <w:rPr>
                <w:rFonts w:ascii="Microsoft YaHei" w:hAnsi="Microsoft YaHei" w:eastAsia="Microsoft YaHei"/>
                <w:b w:val="0"/>
                <w:sz w:val="18"/>
              </w:rPr>
              <w:t>13.26</w:t>
            </w:r>
          </w:p>
        </w:tc>
        <w:tc>
          <w:tcPr>
            <w:tcW w:type="dxa" w:w="1560"/>
            <w:vAlign w:val="center"/>
          </w:tcPr>
          <w:p>
            <w:pPr>
              <w:spacing w:after="0"/>
              <w:jc w:val="center"/>
            </w:pPr>
            <w:r/>
            <w:r>
              <w:rPr>
                <w:rFonts w:ascii="Microsoft YaHei" w:hAnsi="Microsoft YaHei" w:eastAsia="Microsoft YaHei"/>
                <w:b w:val="0"/>
                <w:sz w:val="18"/>
              </w:rPr>
              <w:t>22.00</w:t>
            </w:r>
          </w:p>
        </w:tc>
        <w:tc>
          <w:tcPr>
            <w:tcW w:type="dxa" w:w="1560"/>
            <w:vAlign w:val="center"/>
          </w:tcPr>
          <w:p>
            <w:pPr>
              <w:spacing w:after="0"/>
              <w:jc w:val="center"/>
            </w:pPr>
            <w:r/>
            <w:r>
              <w:rPr>
                <w:rFonts w:ascii="Microsoft YaHei" w:hAnsi="Microsoft YaHei" w:eastAsia="Microsoft YaHei"/>
                <w:b w:val="0"/>
                <w:sz w:val="18"/>
              </w:rPr>
              <w:t>211.7</w:t>
            </w:r>
          </w:p>
        </w:tc>
        <w:tc>
          <w:tcPr>
            <w:tcW w:type="dxa" w:w="1560"/>
            <w:vAlign w:val="center"/>
          </w:tcPr>
          <w:p>
            <w:pPr>
              <w:spacing w:after="0"/>
              <w:jc w:val="center"/>
            </w:pPr>
            <w:r/>
            <w:r>
              <w:rPr>
                <w:rFonts w:ascii="Microsoft YaHei" w:hAnsi="Microsoft YaHei" w:eastAsia="Microsoft YaHei"/>
                <w:b w:val="0"/>
                <w:sz w:val="18"/>
              </w:rPr>
              <w:t>320.1</w:t>
            </w:r>
          </w:p>
        </w:tc>
      </w:tr>
      <w:tr>
        <w:tc>
          <w:tcPr>
            <w:tcW w:type="dxa" w:w="1560"/>
            <w:vAlign w:val="center"/>
          </w:tcPr>
          <w:p>
            <w:pPr>
              <w:spacing w:after="0"/>
              <w:jc w:val="center"/>
            </w:pPr>
            <w:r/>
            <w:r>
              <w:rPr>
                <w:rFonts w:ascii="Microsoft YaHei" w:hAnsi="Microsoft YaHei" w:eastAsia="Microsoft YaHei"/>
                <w:b w:val="0"/>
                <w:sz w:val="18"/>
              </w:rPr>
              <w:t>1000</w:t>
            </w:r>
          </w:p>
        </w:tc>
        <w:tc>
          <w:tcPr>
            <w:tcW w:type="dxa" w:w="1560"/>
            <w:vAlign w:val="center"/>
          </w:tcPr>
          <w:p>
            <w:pPr>
              <w:spacing w:after="0"/>
              <w:jc w:val="center"/>
            </w:pPr>
            <w:r/>
            <w:r>
              <w:rPr>
                <w:rFonts w:ascii="Microsoft YaHei" w:hAnsi="Microsoft YaHei" w:eastAsia="Microsoft YaHei"/>
                <w:b w:val="0"/>
                <w:sz w:val="18"/>
              </w:rPr>
              <w:t>5-65</w:t>
            </w:r>
          </w:p>
        </w:tc>
        <w:tc>
          <w:tcPr>
            <w:tcW w:type="dxa" w:w="1560"/>
            <w:vAlign w:val="center"/>
          </w:tcPr>
          <w:p>
            <w:pPr>
              <w:spacing w:after="0"/>
              <w:jc w:val="center"/>
            </w:pPr>
            <w:r/>
            <w:r>
              <w:rPr>
                <w:rFonts w:ascii="Microsoft YaHei" w:hAnsi="Microsoft YaHei" w:eastAsia="Microsoft YaHei"/>
                <w:b w:val="0"/>
                <w:sz w:val="18"/>
              </w:rPr>
              <w:t>13.20</w:t>
            </w:r>
          </w:p>
        </w:tc>
        <w:tc>
          <w:tcPr>
            <w:tcW w:type="dxa" w:w="1560"/>
            <w:vAlign w:val="center"/>
          </w:tcPr>
          <w:p>
            <w:pPr>
              <w:spacing w:after="0"/>
              <w:jc w:val="center"/>
            </w:pPr>
            <w:r/>
            <w:r>
              <w:rPr>
                <w:rFonts w:ascii="Microsoft YaHei" w:hAnsi="Microsoft YaHei" w:eastAsia="Microsoft YaHei"/>
                <w:b w:val="0"/>
                <w:sz w:val="18"/>
              </w:rPr>
              <w:t>22.01</w:t>
            </w:r>
          </w:p>
        </w:tc>
        <w:tc>
          <w:tcPr>
            <w:tcW w:type="dxa" w:w="1560"/>
            <w:vAlign w:val="center"/>
          </w:tcPr>
          <w:p>
            <w:pPr>
              <w:spacing w:after="0"/>
              <w:jc w:val="center"/>
            </w:pPr>
            <w:r/>
            <w:r>
              <w:rPr>
                <w:rFonts w:ascii="Microsoft YaHei" w:hAnsi="Microsoft YaHei" w:eastAsia="Microsoft YaHei"/>
                <w:b w:val="0"/>
                <w:sz w:val="18"/>
              </w:rPr>
              <w:t>222.7</w:t>
            </w:r>
          </w:p>
        </w:tc>
        <w:tc>
          <w:tcPr>
            <w:tcW w:type="dxa" w:w="1560"/>
            <w:vAlign w:val="center"/>
          </w:tcPr>
          <w:p>
            <w:pPr>
              <w:spacing w:after="0"/>
              <w:jc w:val="center"/>
            </w:pPr>
            <w:r/>
            <w:r>
              <w:rPr>
                <w:rFonts w:ascii="Microsoft YaHei" w:hAnsi="Microsoft YaHei" w:eastAsia="Microsoft YaHei"/>
                <w:b w:val="0"/>
                <w:sz w:val="18"/>
              </w:rPr>
              <w:t>336.3</w:t>
            </w:r>
          </w:p>
        </w:tc>
      </w:tr>
      <w:tr>
        <w:tc>
          <w:tcPr>
            <w:tcW w:type="dxa" w:w="1560"/>
            <w:vAlign w:val="center"/>
          </w:tcPr>
          <w:p>
            <w:pPr>
              <w:spacing w:after="0"/>
              <w:jc w:val="center"/>
            </w:pPr>
            <w:r/>
            <w:r>
              <w:rPr>
                <w:rFonts w:ascii="Microsoft YaHei" w:hAnsi="Microsoft YaHei" w:eastAsia="Microsoft YaHei"/>
                <w:b w:val="0"/>
                <w:sz w:val="18"/>
              </w:rPr>
              <w:t>2000</w:t>
            </w:r>
          </w:p>
        </w:tc>
        <w:tc>
          <w:tcPr>
            <w:tcW w:type="dxa" w:w="1560"/>
            <w:vAlign w:val="center"/>
          </w:tcPr>
          <w:p>
            <w:pPr>
              <w:spacing w:after="0"/>
              <w:jc w:val="center"/>
            </w:pPr>
            <w:r/>
            <w:r>
              <w:rPr>
                <w:rFonts w:ascii="Microsoft YaHei" w:hAnsi="Microsoft YaHei" w:eastAsia="Microsoft YaHei"/>
                <w:b w:val="0"/>
                <w:sz w:val="18"/>
              </w:rPr>
              <w:t>5-70</w:t>
            </w:r>
          </w:p>
        </w:tc>
        <w:tc>
          <w:tcPr>
            <w:tcW w:type="dxa" w:w="1560"/>
            <w:vAlign w:val="center"/>
          </w:tcPr>
          <w:p>
            <w:pPr>
              <w:spacing w:after="0"/>
              <w:jc w:val="center"/>
            </w:pPr>
            <w:r/>
            <w:r>
              <w:rPr>
                <w:rFonts w:ascii="Microsoft YaHei" w:hAnsi="Microsoft YaHei" w:eastAsia="Microsoft YaHei"/>
                <w:b w:val="0"/>
                <w:sz w:val="18"/>
              </w:rPr>
              <w:t>13.17</w:t>
            </w:r>
          </w:p>
        </w:tc>
        <w:tc>
          <w:tcPr>
            <w:tcW w:type="dxa" w:w="1560"/>
            <w:vAlign w:val="center"/>
          </w:tcPr>
          <w:p>
            <w:pPr>
              <w:spacing w:after="0"/>
              <w:jc w:val="center"/>
            </w:pPr>
            <w:r/>
            <w:r>
              <w:rPr>
                <w:rFonts w:ascii="Microsoft YaHei" w:hAnsi="Microsoft YaHei" w:eastAsia="Microsoft YaHei"/>
                <w:b w:val="0"/>
                <w:sz w:val="18"/>
              </w:rPr>
              <w:t>22.02</w:t>
            </w:r>
          </w:p>
        </w:tc>
        <w:tc>
          <w:tcPr>
            <w:tcW w:type="dxa" w:w="1560"/>
            <w:vAlign w:val="center"/>
          </w:tcPr>
          <w:p>
            <w:pPr>
              <w:spacing w:after="0"/>
              <w:jc w:val="center"/>
            </w:pPr>
            <w:r/>
            <w:r>
              <w:rPr>
                <w:rFonts w:ascii="Microsoft YaHei" w:hAnsi="Microsoft YaHei" w:eastAsia="Microsoft YaHei"/>
                <w:b w:val="0"/>
                <w:sz w:val="18"/>
              </w:rPr>
              <w:t>233.6</w:t>
            </w:r>
          </w:p>
        </w:tc>
        <w:tc>
          <w:tcPr>
            <w:tcW w:type="dxa" w:w="1560"/>
            <w:vAlign w:val="center"/>
          </w:tcPr>
          <w:p>
            <w:pPr>
              <w:spacing w:after="0"/>
              <w:jc w:val="center"/>
            </w:pPr>
            <w:r/>
            <w:r>
              <w:rPr>
                <w:rFonts w:ascii="Microsoft YaHei" w:hAnsi="Microsoft YaHei" w:eastAsia="Microsoft YaHei"/>
                <w:b w:val="0"/>
                <w:sz w:val="18"/>
              </w:rPr>
              <w:t>353.7</w:t>
            </w:r>
          </w:p>
        </w:tc>
      </w:tr>
      <w:tr>
        <w:tc>
          <w:tcPr>
            <w:tcW w:type="dxa" w:w="1560"/>
            <w:vAlign w:val="center"/>
          </w:tcPr>
          <w:p>
            <w:pPr>
              <w:spacing w:after="0"/>
              <w:jc w:val="center"/>
            </w:pPr>
            <w:r/>
            <w:r>
              <w:rPr>
                <w:rFonts w:ascii="Microsoft YaHei" w:hAnsi="Microsoft YaHei" w:eastAsia="Microsoft YaHei"/>
                <w:b w:val="0"/>
                <w:sz w:val="18"/>
              </w:rPr>
              <w:t>3000</w:t>
            </w:r>
          </w:p>
        </w:tc>
        <w:tc>
          <w:tcPr>
            <w:tcW w:type="dxa" w:w="1560"/>
            <w:vAlign w:val="center"/>
          </w:tcPr>
          <w:p>
            <w:pPr>
              <w:spacing w:after="0"/>
              <w:jc w:val="center"/>
            </w:pPr>
            <w:r/>
            <w:r>
              <w:rPr>
                <w:rFonts w:ascii="Microsoft YaHei" w:hAnsi="Microsoft YaHei" w:eastAsia="Microsoft YaHei"/>
                <w:b w:val="0"/>
                <w:sz w:val="18"/>
              </w:rPr>
              <w:t>5-70</w:t>
            </w:r>
          </w:p>
        </w:tc>
        <w:tc>
          <w:tcPr>
            <w:tcW w:type="dxa" w:w="1560"/>
            <w:vAlign w:val="center"/>
          </w:tcPr>
          <w:p>
            <w:pPr>
              <w:spacing w:after="0"/>
              <w:jc w:val="center"/>
            </w:pPr>
            <w:r/>
            <w:r>
              <w:rPr>
                <w:rFonts w:ascii="Microsoft YaHei" w:hAnsi="Microsoft YaHei" w:eastAsia="Microsoft YaHei"/>
                <w:b w:val="0"/>
                <w:sz w:val="18"/>
              </w:rPr>
              <w:t>13.25</w:t>
            </w:r>
          </w:p>
        </w:tc>
        <w:tc>
          <w:tcPr>
            <w:tcW w:type="dxa" w:w="1560"/>
            <w:vAlign w:val="center"/>
          </w:tcPr>
          <w:p>
            <w:pPr>
              <w:spacing w:after="0"/>
              <w:jc w:val="center"/>
            </w:pPr>
            <w:r/>
            <w:r>
              <w:rPr>
                <w:rFonts w:ascii="Microsoft YaHei" w:hAnsi="Microsoft YaHei" w:eastAsia="Microsoft YaHei"/>
                <w:b w:val="0"/>
                <w:sz w:val="18"/>
              </w:rPr>
              <w:t>22.03</w:t>
            </w:r>
          </w:p>
        </w:tc>
        <w:tc>
          <w:tcPr>
            <w:tcW w:type="dxa" w:w="1560"/>
            <w:vAlign w:val="center"/>
          </w:tcPr>
          <w:p>
            <w:pPr>
              <w:spacing w:after="0"/>
              <w:jc w:val="center"/>
            </w:pPr>
            <w:r/>
            <w:r>
              <w:rPr>
                <w:rFonts w:ascii="Microsoft YaHei" w:hAnsi="Microsoft YaHei" w:eastAsia="Microsoft YaHei"/>
                <w:b w:val="0"/>
                <w:sz w:val="18"/>
              </w:rPr>
              <w:t>246.0</w:t>
            </w:r>
          </w:p>
        </w:tc>
        <w:tc>
          <w:tcPr>
            <w:tcW w:type="dxa" w:w="1560"/>
            <w:vAlign w:val="center"/>
          </w:tcPr>
          <w:p>
            <w:pPr>
              <w:spacing w:after="0"/>
              <w:jc w:val="center"/>
            </w:pPr>
            <w:r/>
            <w:r>
              <w:rPr>
                <w:rFonts w:ascii="Microsoft YaHei" w:hAnsi="Microsoft YaHei" w:eastAsia="Microsoft YaHei"/>
                <w:b w:val="0"/>
                <w:sz w:val="18"/>
              </w:rPr>
              <w:t>372.4</w:t>
            </w:r>
          </w:p>
        </w:tc>
      </w:tr>
    </w:tbl>
    <w:p>
      <w:pPr>
        <w:spacing w:after="120"/>
      </w:pPr>
      <w:r>
        <w:rPr>
          <w:rFonts w:ascii="Microsoft YaHei" w:hAnsi="Microsoft YaHei" w:eastAsia="Microsoft YaHei"/>
          <w:b w:val="0"/>
          <w:sz w:val="21"/>
        </w:rPr>
        <w:t>表中 beta=90 deg。海平面下悬停构型有效速度范围为 5-60 m/s；随高度升高，空气密度降低，估算功率整体升高。</w:t>
      </w:r>
    </w:p>
    <w:p>
      <w:pPr>
        <w:jc w:val="center"/>
      </w:pPr>
      <w:r>
        <w:drawing>
          <wp:inline xmlns:a="http://schemas.openxmlformats.org/drawingml/2006/main" xmlns:pic="http://schemas.openxmlformats.org/drawingml/2006/picture">
            <wp:extent cx="5715000" cy="2143125"/>
            <wp:docPr id="21" name="Picture 21"/>
            <wp:cNvGraphicFramePr>
              <a:graphicFrameLocks noChangeAspect="1"/>
            </wp:cNvGraphicFramePr>
            <a:graphic>
              <a:graphicData uri="http://schemas.openxmlformats.org/drawingml/2006/picture">
                <pic:pic>
                  <pic:nvPicPr>
                    <pic:cNvPr id="0" name="hover_configuration_performance.png"/>
                    <pic:cNvPicPr/>
                  </pic:nvPicPr>
                  <pic:blipFill>
                    <a:blip r:embed="rId29"/>
                    <a:stretch>
                      <a:fillRect/>
                    </a:stretch>
                  </pic:blipFill>
                  <pic:spPr>
                    <a:xfrm>
                      <a:off x="0" y="0"/>
                      <a:ext cx="5715000" cy="2143125"/>
                    </a:xfrm>
                    <a:prstGeom prst="rect"/>
                  </pic:spPr>
                </pic:pic>
              </a:graphicData>
            </a:graphic>
          </wp:inline>
        </w:drawing>
      </w:r>
    </w:p>
    <w:p>
      <w:pPr>
        <w:spacing w:after="160"/>
        <w:jc w:val="center"/>
      </w:pPr>
      <w:r>
        <w:rPr>
          <w:rFonts w:ascii="Microsoft YaHei" w:hAnsi="Microsoft YaHei" w:eastAsia="Microsoft YaHei"/>
          <w:b w:val="0"/>
          <w:color w:val="555555"/>
          <w:sz w:val="18"/>
        </w:rPr>
        <w:t>图 1  悬停构型不同高度平飞需用推力与功率</w:t>
      </w:r>
    </w:p>
    <w:p>
      <w:pPr>
        <w:pStyle w:val="Heading1"/>
      </w:pPr>
      <w:r>
        <w:rPr>
          <w:rFonts w:ascii="Microsoft YaHei" w:hAnsi="Microsoft YaHei" w:eastAsia="Microsoft YaHei"/>
          <w:b/>
          <w:color w:val="2E74B5"/>
          <w:sz w:val="32"/>
        </w:rPr>
        <w:t>7. 不同倾角平飞性能与走廊判定</w:t>
      </w:r>
    </w:p>
    <w:p>
      <w:pPr>
        <w:spacing w:after="120"/>
      </w:pPr>
      <w:r>
        <w:rPr>
          <w:rFonts w:ascii="Microsoft YaHei" w:hAnsi="Microsoft YaHei" w:eastAsia="Microsoft YaHei"/>
          <w:b w:val="0"/>
          <w:sz w:val="21"/>
        </w:rPr>
        <w:t>对海平面 h=0 m，扫描 beta=90, 75, 60, 45, 30, 15, 0 deg。每个 beta 下将满足第 5 节判据的速度点组成该倾角的有效平飞区间。</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E8EEF5"/>
          </w:tcPr>
          <w:p>
            <w:pPr>
              <w:spacing w:after="0"/>
              <w:jc w:val="center"/>
            </w:pPr>
            <w:r>
              <w:rPr>
                <w:b/>
              </w:rPr>
            </w:r>
            <w:r>
              <w:rPr>
                <w:rFonts w:ascii="Microsoft YaHei" w:hAnsi="Microsoft YaHei" w:eastAsia="Microsoft YaHei"/>
                <w:b/>
                <w:sz w:val="18"/>
              </w:rPr>
              <w:t>倾角 beta/deg</w:t>
            </w:r>
          </w:p>
        </w:tc>
        <w:tc>
          <w:tcPr>
            <w:tcW w:type="dxa" w:w="1560"/>
            <w:vAlign w:val="center"/>
            <w:shd w:fill="E8EEF5"/>
          </w:tcPr>
          <w:p>
            <w:pPr>
              <w:spacing w:after="0"/>
              <w:jc w:val="center"/>
            </w:pPr>
            <w:r>
              <w:rPr>
                <w:b/>
              </w:rPr>
            </w:r>
            <w:r>
              <w:rPr>
                <w:rFonts w:ascii="Microsoft YaHei" w:hAnsi="Microsoft YaHei" w:eastAsia="Microsoft YaHei"/>
                <w:b/>
                <w:sz w:val="18"/>
              </w:rPr>
              <w:t>有效速度/(m/s)</w:t>
            </w:r>
          </w:p>
        </w:tc>
        <w:tc>
          <w:tcPr>
            <w:tcW w:type="dxa" w:w="1560"/>
            <w:vAlign w:val="center"/>
            <w:shd w:fill="E8EEF5"/>
          </w:tcPr>
          <w:p>
            <w:pPr>
              <w:spacing w:after="0"/>
              <w:jc w:val="center"/>
            </w:pPr>
            <w:r>
              <w:rPr>
                <w:b/>
              </w:rPr>
            </w:r>
            <w:r>
              <w:rPr>
                <w:rFonts w:ascii="Microsoft YaHei" w:hAnsi="Microsoft YaHei" w:eastAsia="Microsoft YaHei"/>
                <w:b/>
                <w:sz w:val="18"/>
              </w:rPr>
              <w:t>最小推力/kN</w:t>
            </w:r>
          </w:p>
        </w:tc>
        <w:tc>
          <w:tcPr>
            <w:tcW w:type="dxa" w:w="1560"/>
            <w:vAlign w:val="center"/>
            <w:shd w:fill="E8EEF5"/>
          </w:tcPr>
          <w:p>
            <w:pPr>
              <w:spacing w:after="0"/>
              <w:jc w:val="center"/>
            </w:pPr>
            <w:r>
              <w:rPr>
                <w:b/>
              </w:rPr>
            </w:r>
            <w:r>
              <w:rPr>
                <w:rFonts w:ascii="Microsoft YaHei" w:hAnsi="Microsoft YaHei" w:eastAsia="Microsoft YaHei"/>
                <w:b/>
                <w:sz w:val="18"/>
              </w:rPr>
              <w:t>最大推力/kN</w:t>
            </w:r>
          </w:p>
        </w:tc>
        <w:tc>
          <w:tcPr>
            <w:tcW w:type="dxa" w:w="1560"/>
            <w:vAlign w:val="center"/>
            <w:shd w:fill="E8EEF5"/>
          </w:tcPr>
          <w:p>
            <w:pPr>
              <w:spacing w:after="0"/>
              <w:jc w:val="center"/>
            </w:pPr>
            <w:r>
              <w:rPr>
                <w:b/>
              </w:rPr>
            </w:r>
            <w:r>
              <w:rPr>
                <w:rFonts w:ascii="Microsoft YaHei" w:hAnsi="Microsoft YaHei" w:eastAsia="Microsoft YaHei"/>
                <w:b/>
                <w:sz w:val="18"/>
              </w:rPr>
              <w:t>最小功率/kW</w:t>
            </w:r>
          </w:p>
        </w:tc>
        <w:tc>
          <w:tcPr>
            <w:tcW w:type="dxa" w:w="1560"/>
            <w:vAlign w:val="center"/>
            <w:shd w:fill="E8EEF5"/>
          </w:tcPr>
          <w:p>
            <w:pPr>
              <w:spacing w:after="0"/>
              <w:jc w:val="center"/>
            </w:pPr>
            <w:r>
              <w:rPr>
                <w:b/>
              </w:rPr>
            </w:r>
            <w:r>
              <w:rPr>
                <w:rFonts w:ascii="Microsoft YaHei" w:hAnsi="Microsoft YaHei" w:eastAsia="Microsoft YaHei"/>
                <w:b/>
                <w:sz w:val="18"/>
              </w:rPr>
              <w:t>最大功率/kW</w:t>
            </w:r>
          </w:p>
        </w:tc>
      </w:tr>
      <w:tr>
        <w:tc>
          <w:tcPr>
            <w:tcW w:type="dxa" w:w="1560"/>
            <w:vAlign w:val="center"/>
          </w:tcPr>
          <w:p>
            <w:pPr>
              <w:spacing w:after="0"/>
              <w:jc w:val="center"/>
            </w:pPr>
            <w:r/>
            <w:r>
              <w:rPr>
                <w:rFonts w:ascii="Microsoft YaHei" w:hAnsi="Microsoft YaHei" w:eastAsia="Microsoft YaHei"/>
                <w:b w:val="0"/>
                <w:sz w:val="18"/>
              </w:rPr>
              <w:t>90</w:t>
            </w:r>
          </w:p>
        </w:tc>
        <w:tc>
          <w:tcPr>
            <w:tcW w:type="dxa" w:w="1560"/>
            <w:vAlign w:val="center"/>
          </w:tcPr>
          <w:p>
            <w:pPr>
              <w:spacing w:after="0"/>
              <w:jc w:val="center"/>
            </w:pPr>
            <w:r/>
            <w:r>
              <w:rPr>
                <w:rFonts w:ascii="Microsoft YaHei" w:hAnsi="Microsoft YaHei" w:eastAsia="Microsoft YaHei"/>
                <w:b w:val="0"/>
                <w:sz w:val="18"/>
              </w:rPr>
              <w:t>5-60</w:t>
            </w:r>
          </w:p>
        </w:tc>
        <w:tc>
          <w:tcPr>
            <w:tcW w:type="dxa" w:w="1560"/>
            <w:vAlign w:val="center"/>
          </w:tcPr>
          <w:p>
            <w:pPr>
              <w:spacing w:after="0"/>
              <w:jc w:val="center"/>
            </w:pPr>
            <w:r/>
            <w:r>
              <w:rPr>
                <w:rFonts w:ascii="Microsoft YaHei" w:hAnsi="Microsoft YaHei" w:eastAsia="Microsoft YaHei"/>
                <w:b w:val="0"/>
                <w:sz w:val="18"/>
              </w:rPr>
              <w:t>13.26</w:t>
            </w:r>
          </w:p>
        </w:tc>
        <w:tc>
          <w:tcPr>
            <w:tcW w:type="dxa" w:w="1560"/>
            <w:vAlign w:val="center"/>
          </w:tcPr>
          <w:p>
            <w:pPr>
              <w:spacing w:after="0"/>
              <w:jc w:val="center"/>
            </w:pPr>
            <w:r/>
            <w:r>
              <w:rPr>
                <w:rFonts w:ascii="Microsoft YaHei" w:hAnsi="Microsoft YaHei" w:eastAsia="Microsoft YaHei"/>
                <w:b w:val="0"/>
                <w:sz w:val="18"/>
              </w:rPr>
              <w:t>22.00</w:t>
            </w:r>
          </w:p>
        </w:tc>
        <w:tc>
          <w:tcPr>
            <w:tcW w:type="dxa" w:w="1560"/>
            <w:vAlign w:val="center"/>
          </w:tcPr>
          <w:p>
            <w:pPr>
              <w:spacing w:after="0"/>
              <w:jc w:val="center"/>
            </w:pPr>
            <w:r/>
            <w:r>
              <w:rPr>
                <w:rFonts w:ascii="Microsoft YaHei" w:hAnsi="Microsoft YaHei" w:eastAsia="Microsoft YaHei"/>
                <w:b w:val="0"/>
                <w:sz w:val="18"/>
              </w:rPr>
              <w:t>211.7</w:t>
            </w:r>
          </w:p>
        </w:tc>
        <w:tc>
          <w:tcPr>
            <w:tcW w:type="dxa" w:w="1560"/>
            <w:vAlign w:val="center"/>
          </w:tcPr>
          <w:p>
            <w:pPr>
              <w:spacing w:after="0"/>
              <w:jc w:val="center"/>
            </w:pPr>
            <w:r/>
            <w:r>
              <w:rPr>
                <w:rFonts w:ascii="Microsoft YaHei" w:hAnsi="Microsoft YaHei" w:eastAsia="Microsoft YaHei"/>
                <w:b w:val="0"/>
                <w:sz w:val="18"/>
              </w:rPr>
              <w:t>320.1</w:t>
            </w:r>
          </w:p>
        </w:tc>
      </w:tr>
      <w:tr>
        <w:tc>
          <w:tcPr>
            <w:tcW w:type="dxa" w:w="1560"/>
            <w:vAlign w:val="center"/>
          </w:tcPr>
          <w:p>
            <w:pPr>
              <w:spacing w:after="0"/>
              <w:jc w:val="center"/>
            </w:pPr>
            <w:r/>
            <w:r>
              <w:rPr>
                <w:rFonts w:ascii="Microsoft YaHei" w:hAnsi="Microsoft YaHei" w:eastAsia="Microsoft YaHei"/>
                <w:b w:val="0"/>
                <w:sz w:val="18"/>
              </w:rPr>
              <w:t>75</w:t>
            </w:r>
          </w:p>
        </w:tc>
        <w:tc>
          <w:tcPr>
            <w:tcW w:type="dxa" w:w="1560"/>
            <w:vAlign w:val="center"/>
          </w:tcPr>
          <w:p>
            <w:pPr>
              <w:spacing w:after="0"/>
              <w:jc w:val="center"/>
            </w:pPr>
            <w:r/>
            <w:r>
              <w:rPr>
                <w:rFonts w:ascii="Microsoft YaHei" w:hAnsi="Microsoft YaHei" w:eastAsia="Microsoft YaHei"/>
                <w:b w:val="0"/>
                <w:sz w:val="18"/>
              </w:rPr>
              <w:t>30-85</w:t>
            </w:r>
          </w:p>
        </w:tc>
        <w:tc>
          <w:tcPr>
            <w:tcW w:type="dxa" w:w="1560"/>
            <w:vAlign w:val="center"/>
          </w:tcPr>
          <w:p>
            <w:pPr>
              <w:spacing w:after="0"/>
              <w:jc w:val="center"/>
            </w:pPr>
            <w:r/>
            <w:r>
              <w:rPr>
                <w:rFonts w:ascii="Microsoft YaHei" w:hAnsi="Microsoft YaHei" w:eastAsia="Microsoft YaHei"/>
                <w:b w:val="0"/>
                <w:sz w:val="18"/>
              </w:rPr>
              <w:t>4.43</w:t>
            </w:r>
          </w:p>
        </w:tc>
        <w:tc>
          <w:tcPr>
            <w:tcW w:type="dxa" w:w="1560"/>
            <w:vAlign w:val="center"/>
          </w:tcPr>
          <w:p>
            <w:pPr>
              <w:spacing w:after="0"/>
              <w:jc w:val="center"/>
            </w:pPr>
            <w:r/>
            <w:r>
              <w:rPr>
                <w:rFonts w:ascii="Microsoft YaHei" w:hAnsi="Microsoft YaHei" w:eastAsia="Microsoft YaHei"/>
                <w:b w:val="0"/>
                <w:sz w:val="18"/>
              </w:rPr>
              <w:t>11.40</w:t>
            </w:r>
          </w:p>
        </w:tc>
        <w:tc>
          <w:tcPr>
            <w:tcW w:type="dxa" w:w="1560"/>
            <w:vAlign w:val="center"/>
          </w:tcPr>
          <w:p>
            <w:pPr>
              <w:spacing w:after="0"/>
              <w:jc w:val="center"/>
            </w:pPr>
            <w:r/>
            <w:r>
              <w:rPr>
                <w:rFonts w:ascii="Microsoft YaHei" w:hAnsi="Microsoft YaHei" w:eastAsia="Microsoft YaHei"/>
                <w:b w:val="0"/>
                <w:sz w:val="18"/>
              </w:rPr>
              <w:t>107.3</w:t>
            </w:r>
          </w:p>
        </w:tc>
        <w:tc>
          <w:tcPr>
            <w:tcW w:type="dxa" w:w="1560"/>
            <w:vAlign w:val="center"/>
          </w:tcPr>
          <w:p>
            <w:pPr>
              <w:spacing w:after="0"/>
              <w:jc w:val="center"/>
            </w:pPr>
            <w:r/>
            <w:r>
              <w:rPr>
                <w:rFonts w:ascii="Microsoft YaHei" w:hAnsi="Microsoft YaHei" w:eastAsia="Microsoft YaHei"/>
                <w:b w:val="0"/>
                <w:sz w:val="18"/>
              </w:rPr>
              <w:t>241.5</w:t>
            </w:r>
          </w:p>
        </w:tc>
      </w:tr>
      <w:tr>
        <w:tc>
          <w:tcPr>
            <w:tcW w:type="dxa" w:w="1560"/>
            <w:vAlign w:val="center"/>
          </w:tcPr>
          <w:p>
            <w:pPr>
              <w:spacing w:after="0"/>
              <w:jc w:val="center"/>
            </w:pPr>
            <w:r/>
            <w:r>
              <w:rPr>
                <w:rFonts w:ascii="Microsoft YaHei" w:hAnsi="Microsoft YaHei" w:eastAsia="Microsoft YaHei"/>
                <w:b w:val="0"/>
                <w:sz w:val="18"/>
              </w:rPr>
              <w:t>60</w:t>
            </w:r>
          </w:p>
        </w:tc>
        <w:tc>
          <w:tcPr>
            <w:tcW w:type="dxa" w:w="1560"/>
            <w:vAlign w:val="center"/>
          </w:tcPr>
          <w:p>
            <w:pPr>
              <w:spacing w:after="0"/>
              <w:jc w:val="center"/>
            </w:pPr>
            <w:r/>
            <w:r>
              <w:rPr>
                <w:rFonts w:ascii="Microsoft YaHei" w:hAnsi="Microsoft YaHei" w:eastAsia="Microsoft YaHei"/>
                <w:b w:val="0"/>
                <w:sz w:val="18"/>
              </w:rPr>
              <w:t>40-90</w:t>
            </w:r>
          </w:p>
        </w:tc>
        <w:tc>
          <w:tcPr>
            <w:tcW w:type="dxa" w:w="1560"/>
            <w:vAlign w:val="center"/>
          </w:tcPr>
          <w:p>
            <w:pPr>
              <w:spacing w:after="0"/>
              <w:jc w:val="center"/>
            </w:pPr>
            <w:r/>
            <w:r>
              <w:rPr>
                <w:rFonts w:ascii="Microsoft YaHei" w:hAnsi="Microsoft YaHei" w:eastAsia="Microsoft YaHei"/>
                <w:b w:val="0"/>
                <w:sz w:val="18"/>
              </w:rPr>
              <w:t>2.57</w:t>
            </w:r>
          </w:p>
        </w:tc>
        <w:tc>
          <w:tcPr>
            <w:tcW w:type="dxa" w:w="1560"/>
            <w:vAlign w:val="center"/>
          </w:tcPr>
          <w:p>
            <w:pPr>
              <w:spacing w:after="0"/>
              <w:jc w:val="center"/>
            </w:pPr>
            <w:r/>
            <w:r>
              <w:rPr>
                <w:rFonts w:ascii="Microsoft YaHei" w:hAnsi="Microsoft YaHei" w:eastAsia="Microsoft YaHei"/>
                <w:b w:val="0"/>
                <w:sz w:val="18"/>
              </w:rPr>
              <w:t>3.69</w:t>
            </w:r>
          </w:p>
        </w:tc>
        <w:tc>
          <w:tcPr>
            <w:tcW w:type="dxa" w:w="1560"/>
            <w:vAlign w:val="center"/>
          </w:tcPr>
          <w:p>
            <w:pPr>
              <w:spacing w:after="0"/>
              <w:jc w:val="center"/>
            </w:pPr>
            <w:r/>
            <w:r>
              <w:rPr>
                <w:rFonts w:ascii="Microsoft YaHei" w:hAnsi="Microsoft YaHei" w:eastAsia="Microsoft YaHei"/>
                <w:b w:val="0"/>
                <w:sz w:val="18"/>
              </w:rPr>
              <w:t>88.5</w:t>
            </w:r>
          </w:p>
        </w:tc>
        <w:tc>
          <w:tcPr>
            <w:tcW w:type="dxa" w:w="1560"/>
            <w:vAlign w:val="center"/>
          </w:tcPr>
          <w:p>
            <w:pPr>
              <w:spacing w:after="0"/>
              <w:jc w:val="center"/>
            </w:pPr>
            <w:r/>
            <w:r>
              <w:rPr>
                <w:rFonts w:ascii="Microsoft YaHei" w:hAnsi="Microsoft YaHei" w:eastAsia="Microsoft YaHei"/>
                <w:b w:val="0"/>
                <w:sz w:val="18"/>
              </w:rPr>
              <w:t>261.0</w:t>
            </w:r>
          </w:p>
        </w:tc>
      </w:tr>
      <w:tr>
        <w:tc>
          <w:tcPr>
            <w:tcW w:type="dxa" w:w="1560"/>
            <w:vAlign w:val="center"/>
          </w:tcPr>
          <w:p>
            <w:pPr>
              <w:spacing w:after="0"/>
              <w:jc w:val="center"/>
            </w:pPr>
            <w:r/>
            <w:r>
              <w:rPr>
                <w:rFonts w:ascii="Microsoft YaHei" w:hAnsi="Microsoft YaHei" w:eastAsia="Microsoft YaHei"/>
                <w:b w:val="0"/>
                <w:sz w:val="18"/>
              </w:rPr>
              <w:t>45</w:t>
            </w:r>
          </w:p>
        </w:tc>
        <w:tc>
          <w:tcPr>
            <w:tcW w:type="dxa" w:w="1560"/>
            <w:vAlign w:val="center"/>
          </w:tcPr>
          <w:p>
            <w:pPr>
              <w:spacing w:after="0"/>
              <w:jc w:val="center"/>
            </w:pPr>
            <w:r/>
            <w:r>
              <w:rPr>
                <w:rFonts w:ascii="Microsoft YaHei" w:hAnsi="Microsoft YaHei" w:eastAsia="Microsoft YaHei"/>
                <w:b w:val="0"/>
                <w:sz w:val="18"/>
              </w:rPr>
              <w:t>45-95</w:t>
            </w:r>
          </w:p>
        </w:tc>
        <w:tc>
          <w:tcPr>
            <w:tcW w:type="dxa" w:w="1560"/>
            <w:vAlign w:val="center"/>
          </w:tcPr>
          <w:p>
            <w:pPr>
              <w:spacing w:after="0"/>
              <w:jc w:val="center"/>
            </w:pPr>
            <w:r/>
            <w:r>
              <w:rPr>
                <w:rFonts w:ascii="Microsoft YaHei" w:hAnsi="Microsoft YaHei" w:eastAsia="Microsoft YaHei"/>
                <w:b w:val="0"/>
                <w:sz w:val="18"/>
              </w:rPr>
              <w:t>1.87</w:t>
            </w:r>
          </w:p>
        </w:tc>
        <w:tc>
          <w:tcPr>
            <w:tcW w:type="dxa" w:w="1560"/>
            <w:vAlign w:val="center"/>
          </w:tcPr>
          <w:p>
            <w:pPr>
              <w:spacing w:after="0"/>
              <w:jc w:val="center"/>
            </w:pPr>
            <w:r/>
            <w:r>
              <w:rPr>
                <w:rFonts w:ascii="Microsoft YaHei" w:hAnsi="Microsoft YaHei" w:eastAsia="Microsoft YaHei"/>
                <w:b w:val="0"/>
                <w:sz w:val="18"/>
              </w:rPr>
              <w:t>2.71</w:t>
            </w:r>
          </w:p>
        </w:tc>
        <w:tc>
          <w:tcPr>
            <w:tcW w:type="dxa" w:w="1560"/>
            <w:vAlign w:val="center"/>
          </w:tcPr>
          <w:p>
            <w:pPr>
              <w:spacing w:after="0"/>
              <w:jc w:val="center"/>
            </w:pPr>
            <w:r/>
            <w:r>
              <w:rPr>
                <w:rFonts w:ascii="Microsoft YaHei" w:hAnsi="Microsoft YaHei" w:eastAsia="Microsoft YaHei"/>
                <w:b w:val="0"/>
                <w:sz w:val="18"/>
              </w:rPr>
              <w:t>90.6</w:t>
            </w:r>
          </w:p>
        </w:tc>
        <w:tc>
          <w:tcPr>
            <w:tcW w:type="dxa" w:w="1560"/>
            <w:vAlign w:val="center"/>
          </w:tcPr>
          <w:p>
            <w:pPr>
              <w:spacing w:after="0"/>
              <w:jc w:val="center"/>
            </w:pPr>
            <w:r/>
            <w:r>
              <w:rPr>
                <w:rFonts w:ascii="Microsoft YaHei" w:hAnsi="Microsoft YaHei" w:eastAsia="Microsoft YaHei"/>
                <w:b w:val="0"/>
                <w:sz w:val="18"/>
              </w:rPr>
              <w:t>293.1</w:t>
            </w:r>
          </w:p>
        </w:tc>
      </w:tr>
      <w:tr>
        <w:tc>
          <w:tcPr>
            <w:tcW w:type="dxa" w:w="1560"/>
            <w:vAlign w:val="center"/>
          </w:tcPr>
          <w:p>
            <w:pPr>
              <w:spacing w:after="0"/>
              <w:jc w:val="center"/>
            </w:pPr>
            <w:r/>
            <w:r>
              <w:rPr>
                <w:rFonts w:ascii="Microsoft YaHei" w:hAnsi="Microsoft YaHei" w:eastAsia="Microsoft YaHei"/>
                <w:b w:val="0"/>
                <w:sz w:val="18"/>
              </w:rPr>
              <w:t>30</w:t>
            </w:r>
          </w:p>
        </w:tc>
        <w:tc>
          <w:tcPr>
            <w:tcW w:type="dxa" w:w="1560"/>
            <w:vAlign w:val="center"/>
          </w:tcPr>
          <w:p>
            <w:pPr>
              <w:spacing w:after="0"/>
              <w:jc w:val="center"/>
            </w:pPr>
            <w:r/>
            <w:r>
              <w:rPr>
                <w:rFonts w:ascii="Microsoft YaHei" w:hAnsi="Microsoft YaHei" w:eastAsia="Microsoft YaHei"/>
                <w:b w:val="0"/>
                <w:sz w:val="18"/>
              </w:rPr>
              <w:t>45-95</w:t>
            </w:r>
          </w:p>
        </w:tc>
        <w:tc>
          <w:tcPr>
            <w:tcW w:type="dxa" w:w="1560"/>
            <w:vAlign w:val="center"/>
          </w:tcPr>
          <w:p>
            <w:pPr>
              <w:spacing w:after="0"/>
              <w:jc w:val="center"/>
            </w:pPr>
            <w:r/>
            <w:r>
              <w:rPr>
                <w:rFonts w:ascii="Microsoft YaHei" w:hAnsi="Microsoft YaHei" w:eastAsia="Microsoft YaHei"/>
                <w:b w:val="0"/>
                <w:sz w:val="18"/>
              </w:rPr>
              <w:t>1.55</w:t>
            </w:r>
          </w:p>
        </w:tc>
        <w:tc>
          <w:tcPr>
            <w:tcW w:type="dxa" w:w="1560"/>
            <w:vAlign w:val="center"/>
          </w:tcPr>
          <w:p>
            <w:pPr>
              <w:spacing w:after="0"/>
              <w:jc w:val="center"/>
            </w:pPr>
            <w:r/>
            <w:r>
              <w:rPr>
                <w:rFonts w:ascii="Microsoft YaHei" w:hAnsi="Microsoft YaHei" w:eastAsia="Microsoft YaHei"/>
                <w:b w:val="0"/>
                <w:sz w:val="18"/>
              </w:rPr>
              <w:t>2.29</w:t>
            </w:r>
          </w:p>
        </w:tc>
        <w:tc>
          <w:tcPr>
            <w:tcW w:type="dxa" w:w="1560"/>
            <w:vAlign w:val="center"/>
          </w:tcPr>
          <w:p>
            <w:pPr>
              <w:spacing w:after="0"/>
              <w:jc w:val="center"/>
            </w:pPr>
            <w:r/>
            <w:r>
              <w:rPr>
                <w:rFonts w:ascii="Microsoft YaHei" w:hAnsi="Microsoft YaHei" w:eastAsia="Microsoft YaHei"/>
                <w:b w:val="0"/>
                <w:sz w:val="18"/>
              </w:rPr>
              <w:t>90.5</w:t>
            </w:r>
          </w:p>
        </w:tc>
        <w:tc>
          <w:tcPr>
            <w:tcW w:type="dxa" w:w="1560"/>
            <w:vAlign w:val="center"/>
          </w:tcPr>
          <w:p>
            <w:pPr>
              <w:spacing w:after="0"/>
              <w:jc w:val="center"/>
            </w:pPr>
            <w:r/>
            <w:r>
              <w:rPr>
                <w:rFonts w:ascii="Microsoft YaHei" w:hAnsi="Microsoft YaHei" w:eastAsia="Microsoft YaHei"/>
                <w:b w:val="0"/>
                <w:sz w:val="18"/>
              </w:rPr>
              <w:t>291.3</w:t>
            </w:r>
          </w:p>
        </w:tc>
      </w:tr>
      <w:tr>
        <w:tc>
          <w:tcPr>
            <w:tcW w:type="dxa" w:w="1560"/>
            <w:vAlign w:val="center"/>
          </w:tcPr>
          <w:p>
            <w:pPr>
              <w:spacing w:after="0"/>
              <w:jc w:val="center"/>
            </w:pPr>
            <w:r/>
            <w:r>
              <w:rPr>
                <w:rFonts w:ascii="Microsoft YaHei" w:hAnsi="Microsoft YaHei" w:eastAsia="Microsoft YaHei"/>
                <w:b w:val="0"/>
                <w:sz w:val="18"/>
              </w:rPr>
              <w:t>15</w:t>
            </w:r>
          </w:p>
        </w:tc>
        <w:tc>
          <w:tcPr>
            <w:tcW w:type="dxa" w:w="1560"/>
            <w:vAlign w:val="center"/>
          </w:tcPr>
          <w:p>
            <w:pPr>
              <w:spacing w:after="0"/>
              <w:jc w:val="center"/>
            </w:pPr>
            <w:r/>
            <w:r>
              <w:rPr>
                <w:rFonts w:ascii="Microsoft YaHei" w:hAnsi="Microsoft YaHei" w:eastAsia="Microsoft YaHei"/>
                <w:b w:val="0"/>
                <w:sz w:val="18"/>
              </w:rPr>
              <w:t>45-95</w:t>
            </w:r>
          </w:p>
        </w:tc>
        <w:tc>
          <w:tcPr>
            <w:tcW w:type="dxa" w:w="1560"/>
            <w:vAlign w:val="center"/>
          </w:tcPr>
          <w:p>
            <w:pPr>
              <w:spacing w:after="0"/>
              <w:jc w:val="center"/>
            </w:pPr>
            <w:r/>
            <w:r>
              <w:rPr>
                <w:rFonts w:ascii="Microsoft YaHei" w:hAnsi="Microsoft YaHei" w:eastAsia="Microsoft YaHei"/>
                <w:b w:val="0"/>
                <w:sz w:val="18"/>
              </w:rPr>
              <w:t>1.39</w:t>
            </w:r>
          </w:p>
        </w:tc>
        <w:tc>
          <w:tcPr>
            <w:tcW w:type="dxa" w:w="1560"/>
            <w:vAlign w:val="center"/>
          </w:tcPr>
          <w:p>
            <w:pPr>
              <w:spacing w:after="0"/>
              <w:jc w:val="center"/>
            </w:pPr>
            <w:r/>
            <w:r>
              <w:rPr>
                <w:rFonts w:ascii="Microsoft YaHei" w:hAnsi="Microsoft YaHei" w:eastAsia="Microsoft YaHei"/>
                <w:b w:val="0"/>
                <w:sz w:val="18"/>
              </w:rPr>
              <w:t>2.11</w:t>
            </w:r>
          </w:p>
        </w:tc>
        <w:tc>
          <w:tcPr>
            <w:tcW w:type="dxa" w:w="1560"/>
            <w:vAlign w:val="center"/>
          </w:tcPr>
          <w:p>
            <w:pPr>
              <w:spacing w:after="0"/>
              <w:jc w:val="center"/>
            </w:pPr>
            <w:r/>
            <w:r>
              <w:rPr>
                <w:rFonts w:ascii="Microsoft YaHei" w:hAnsi="Microsoft YaHei" w:eastAsia="Microsoft YaHei"/>
                <w:b w:val="0"/>
                <w:sz w:val="18"/>
              </w:rPr>
              <w:t>91.0</w:t>
            </w:r>
          </w:p>
        </w:tc>
        <w:tc>
          <w:tcPr>
            <w:tcW w:type="dxa" w:w="1560"/>
            <w:vAlign w:val="center"/>
          </w:tcPr>
          <w:p>
            <w:pPr>
              <w:spacing w:after="0"/>
              <w:jc w:val="center"/>
            </w:pPr>
            <w:r/>
            <w:r>
              <w:rPr>
                <w:rFonts w:ascii="Microsoft YaHei" w:hAnsi="Microsoft YaHei" w:eastAsia="Microsoft YaHei"/>
                <w:b w:val="0"/>
                <w:sz w:val="18"/>
              </w:rPr>
              <w:t>290.8</w:t>
            </w:r>
          </w:p>
        </w:tc>
      </w:tr>
      <w:tr>
        <w:tc>
          <w:tcPr>
            <w:tcW w:type="dxa" w:w="1560"/>
            <w:vAlign w:val="center"/>
          </w:tcPr>
          <w:p>
            <w:pPr>
              <w:spacing w:after="0"/>
              <w:jc w:val="center"/>
            </w:pPr>
            <w:r/>
            <w:r>
              <w:rPr>
                <w:rFonts w:ascii="Microsoft YaHei" w:hAnsi="Microsoft YaHei" w:eastAsia="Microsoft YaHei"/>
                <w:b w:val="0"/>
                <w:sz w:val="18"/>
              </w:rPr>
              <w:t>0</w:t>
            </w:r>
          </w:p>
        </w:tc>
        <w:tc>
          <w:tcPr>
            <w:tcW w:type="dxa" w:w="1560"/>
            <w:vAlign w:val="center"/>
          </w:tcPr>
          <w:p>
            <w:pPr>
              <w:spacing w:after="0"/>
              <w:jc w:val="center"/>
            </w:pPr>
            <w:r/>
            <w:r>
              <w:rPr>
                <w:rFonts w:ascii="Microsoft YaHei" w:hAnsi="Microsoft YaHei" w:eastAsia="Microsoft YaHei"/>
                <w:b w:val="0"/>
                <w:sz w:val="18"/>
              </w:rPr>
              <w:t>45-100</w:t>
            </w:r>
          </w:p>
        </w:tc>
        <w:tc>
          <w:tcPr>
            <w:tcW w:type="dxa" w:w="1560"/>
            <w:vAlign w:val="center"/>
          </w:tcPr>
          <w:p>
            <w:pPr>
              <w:spacing w:after="0"/>
              <w:jc w:val="center"/>
            </w:pPr>
            <w:r/>
            <w:r>
              <w:rPr>
                <w:rFonts w:ascii="Microsoft YaHei" w:hAnsi="Microsoft YaHei" w:eastAsia="Microsoft YaHei"/>
                <w:b w:val="0"/>
                <w:sz w:val="18"/>
              </w:rPr>
              <w:t>1.34</w:t>
            </w:r>
          </w:p>
        </w:tc>
        <w:tc>
          <w:tcPr>
            <w:tcW w:type="dxa" w:w="1560"/>
            <w:vAlign w:val="center"/>
          </w:tcPr>
          <w:p>
            <w:pPr>
              <w:spacing w:after="0"/>
              <w:jc w:val="center"/>
            </w:pPr>
            <w:r/>
            <w:r>
              <w:rPr>
                <w:rFonts w:ascii="Microsoft YaHei" w:hAnsi="Microsoft YaHei" w:eastAsia="Microsoft YaHei"/>
                <w:b w:val="0"/>
                <w:sz w:val="18"/>
              </w:rPr>
              <w:t>2.26</w:t>
            </w:r>
          </w:p>
        </w:tc>
        <w:tc>
          <w:tcPr>
            <w:tcW w:type="dxa" w:w="1560"/>
            <w:vAlign w:val="center"/>
          </w:tcPr>
          <w:p>
            <w:pPr>
              <w:spacing w:after="0"/>
              <w:jc w:val="center"/>
            </w:pPr>
            <w:r/>
            <w:r>
              <w:rPr>
                <w:rFonts w:ascii="Microsoft YaHei" w:hAnsi="Microsoft YaHei" w:eastAsia="Microsoft YaHei"/>
                <w:b w:val="0"/>
                <w:sz w:val="18"/>
              </w:rPr>
              <w:t>92.2</w:t>
            </w:r>
          </w:p>
        </w:tc>
        <w:tc>
          <w:tcPr>
            <w:tcW w:type="dxa" w:w="1560"/>
            <w:vAlign w:val="center"/>
          </w:tcPr>
          <w:p>
            <w:pPr>
              <w:spacing w:after="0"/>
              <w:jc w:val="center"/>
            </w:pPr>
            <w:r/>
            <w:r>
              <w:rPr>
                <w:rFonts w:ascii="Microsoft YaHei" w:hAnsi="Microsoft YaHei" w:eastAsia="Microsoft YaHei"/>
                <w:b w:val="0"/>
                <w:sz w:val="18"/>
              </w:rPr>
              <w:t>331.4</w:t>
            </w:r>
          </w:p>
        </w:tc>
      </w:tr>
    </w:tbl>
    <w:p>
      <w:pPr>
        <w:spacing w:after="120"/>
      </w:pPr>
      <w:r>
        <w:rPr>
          <w:rFonts w:ascii="Microsoft YaHei" w:hAnsi="Microsoft YaHei" w:eastAsia="Microsoft YaHei"/>
          <w:b w:val="0"/>
          <w:sz w:val="21"/>
        </w:rPr>
        <w:t>走廊判定方法为：先求每个倾角的有效速度区间 [V_min(beta), V_max(beta)]，再取所有离散倾角均覆盖的公共速度段。由表可得公共段为 45-60 m/s。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80"/>
        <w:gridCol w:w="792"/>
      </w:tblGrid>
      <w:tr>
        <w:tc>
          <w:tcPr>
            <w:tcW w:type="dxa" w:w="4680"/>
            <w:vAlign w:val="center"/>
          </w:tcPr>
          <w:p>
            <w:pPr>
              <w:spacing w:before="40" w:after="40"/>
              <w:jc w:val="center"/>
            </w:pPr>
            <w:r>
              <w:drawing>
                <wp:inline xmlns:a="http://schemas.openxmlformats.org/drawingml/2006/main" xmlns:pic="http://schemas.openxmlformats.org/drawingml/2006/picture">
                  <wp:extent cx="4709160" cy="473840"/>
                  <wp:docPr id="22" name="Picture 22"/>
                  <wp:cNvGraphicFramePr>
                    <a:graphicFrameLocks noChangeAspect="1"/>
                  </wp:cNvGraphicFramePr>
                  <a:graphic>
                    <a:graphicData uri="http://schemas.openxmlformats.org/drawingml/2006/picture">
                      <pic:pic>
                        <pic:nvPicPr>
                          <pic:cNvPr id="0" name="formula_21.png"/>
                          <pic:cNvPicPr/>
                        </pic:nvPicPr>
                        <pic:blipFill>
                          <a:blip r:embed="rId30"/>
                          <a:stretch>
                            <a:fillRect/>
                          </a:stretch>
                        </pic:blipFill>
                        <pic:spPr>
                          <a:xfrm>
                            <a:off x="0" y="0"/>
                            <a:ext cx="4709160" cy="473840"/>
                          </a:xfrm>
                          <a:prstGeom prst="rect"/>
                        </pic:spPr>
                      </pic:pic>
                    </a:graphicData>
                  </a:graphic>
                </wp:inline>
              </w:drawing>
            </w:r>
          </w:p>
        </w:tc>
        <w:tc>
          <w:tcPr>
            <w:tcW w:type="dxa" w:w="4680"/>
            <w:vAlign w:val="center"/>
          </w:tcPr>
          <w:p>
            <w:pPr>
              <w:jc w:val="right"/>
            </w:pPr>
            <w:r>
              <w:rPr>
                <w:rFonts w:ascii="Cambria Math" w:hAnsi="Cambria Math" w:eastAsia="Cambria Math"/>
                <w:b w:val="0"/>
                <w:sz w:val="20"/>
              </w:rPr>
              <w:t>(21)</w:t>
            </w:r>
          </w:p>
        </w:tc>
      </w:tr>
    </w:tbl>
    <w:p>
      <w:pPr>
        <w:spacing w:after="20"/>
      </w:pPr>
    </w:p>
    <w:p>
      <w:pPr>
        <w:jc w:val="center"/>
      </w:pPr>
      <w:r>
        <w:drawing>
          <wp:inline xmlns:a="http://schemas.openxmlformats.org/drawingml/2006/main" xmlns:pic="http://schemas.openxmlformats.org/drawingml/2006/picture">
            <wp:extent cx="5715000" cy="2143125"/>
            <wp:docPr id="23" name="Picture 23"/>
            <wp:cNvGraphicFramePr>
              <a:graphicFrameLocks noChangeAspect="1"/>
            </wp:cNvGraphicFramePr>
            <a:graphic>
              <a:graphicData uri="http://schemas.openxmlformats.org/drawingml/2006/picture">
                <pic:pic>
                  <pic:nvPicPr>
                    <pic:cNvPr id="0" name="tilt_performance_curves.png"/>
                    <pic:cNvPicPr/>
                  </pic:nvPicPr>
                  <pic:blipFill>
                    <a:blip r:embed="rId31"/>
                    <a:stretch>
                      <a:fillRect/>
                    </a:stretch>
                  </pic:blipFill>
                  <pic:spPr>
                    <a:xfrm>
                      <a:off x="0" y="0"/>
                      <a:ext cx="5715000" cy="2143125"/>
                    </a:xfrm>
                    <a:prstGeom prst="rect"/>
                  </pic:spPr>
                </pic:pic>
              </a:graphicData>
            </a:graphic>
          </wp:inline>
        </w:drawing>
      </w:r>
    </w:p>
    <w:p>
      <w:pPr>
        <w:spacing w:after="160"/>
        <w:jc w:val="center"/>
      </w:pPr>
      <w:r>
        <w:rPr>
          <w:rFonts w:ascii="Microsoft YaHei" w:hAnsi="Microsoft YaHei" w:eastAsia="Microsoft YaHei"/>
          <w:b w:val="0"/>
          <w:color w:val="555555"/>
          <w:sz w:val="18"/>
        </w:rPr>
        <w:t>图 2  海平面不同倾角平飞需用推力与功率</w:t>
      </w:r>
    </w:p>
    <w:p>
      <w:pPr>
        <w:jc w:val="center"/>
      </w:pPr>
      <w:r>
        <w:drawing>
          <wp:inline xmlns:a="http://schemas.openxmlformats.org/drawingml/2006/main" xmlns:pic="http://schemas.openxmlformats.org/drawingml/2006/picture">
            <wp:extent cx="5303520" cy="2994929"/>
            <wp:docPr id="24" name="Picture 24"/>
            <wp:cNvGraphicFramePr>
              <a:graphicFrameLocks noChangeAspect="1"/>
            </wp:cNvGraphicFramePr>
            <a:graphic>
              <a:graphicData uri="http://schemas.openxmlformats.org/drawingml/2006/picture">
                <pic:pic>
                  <pic:nvPicPr>
                    <pic:cNvPr id="0" name="transition_corridor.png"/>
                    <pic:cNvPicPr/>
                  </pic:nvPicPr>
                  <pic:blipFill>
                    <a:blip r:embed="rId32"/>
                    <a:stretch>
                      <a:fillRect/>
                    </a:stretch>
                  </pic:blipFill>
                  <pic:spPr>
                    <a:xfrm>
                      <a:off x="0" y="0"/>
                      <a:ext cx="5303520" cy="2994929"/>
                    </a:xfrm>
                    <a:prstGeom prst="rect"/>
                  </pic:spPr>
                </pic:pic>
              </a:graphicData>
            </a:graphic>
          </wp:inline>
        </w:drawing>
      </w:r>
    </w:p>
    <w:p>
      <w:pPr>
        <w:spacing w:after="160"/>
        <w:jc w:val="center"/>
      </w:pPr>
      <w:r>
        <w:rPr>
          <w:rFonts w:ascii="Microsoft YaHei" w:hAnsi="Microsoft YaHei" w:eastAsia="Microsoft YaHei"/>
          <w:b w:val="0"/>
          <w:color w:val="555555"/>
          <w:sz w:val="18"/>
        </w:rPr>
        <w:t>图 3  海平面不同推力倾角的平飞有效速度走廊</w:t>
      </w:r>
    </w:p>
    <w:p>
      <w:pPr>
        <w:pStyle w:val="Heading1"/>
      </w:pPr>
      <w:r>
        <w:rPr>
          <w:rFonts w:ascii="Microsoft YaHei" w:hAnsi="Microsoft YaHei" w:eastAsia="Microsoft YaHei"/>
          <w:b/>
          <w:color w:val="2E74B5"/>
          <w:sz w:val="32"/>
        </w:rPr>
        <w:t>8. 典型点校核</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E8EEF5"/>
          </w:tcPr>
          <w:p>
            <w:pPr>
              <w:spacing w:after="0"/>
              <w:jc w:val="center"/>
            </w:pPr>
            <w:r>
              <w:rPr>
                <w:b/>
              </w:rPr>
            </w:r>
            <w:r>
              <w:rPr>
                <w:rFonts w:ascii="Microsoft YaHei" w:hAnsi="Microsoft YaHei" w:eastAsia="Microsoft YaHei"/>
                <w:b/>
                <w:sz w:val="18"/>
              </w:rPr>
              <w:t>beta/deg</w:t>
            </w:r>
          </w:p>
        </w:tc>
        <w:tc>
          <w:tcPr>
            <w:tcW w:type="dxa" w:w="1170"/>
            <w:vAlign w:val="center"/>
            <w:shd w:fill="E8EEF5"/>
          </w:tcPr>
          <w:p>
            <w:pPr>
              <w:spacing w:after="0"/>
              <w:jc w:val="center"/>
            </w:pPr>
            <w:r>
              <w:rPr>
                <w:b/>
              </w:rPr>
            </w:r>
            <w:r>
              <w:rPr>
                <w:rFonts w:ascii="Microsoft YaHei" w:hAnsi="Microsoft YaHei" w:eastAsia="Microsoft YaHei"/>
                <w:b/>
                <w:sz w:val="18"/>
              </w:rPr>
              <w:t>V/(m/s)</w:t>
            </w:r>
          </w:p>
        </w:tc>
        <w:tc>
          <w:tcPr>
            <w:tcW w:type="dxa" w:w="1170"/>
            <w:vAlign w:val="center"/>
            <w:shd w:fill="E8EEF5"/>
          </w:tcPr>
          <w:p>
            <w:pPr>
              <w:spacing w:after="0"/>
              <w:jc w:val="center"/>
            </w:pPr>
            <w:r>
              <w:rPr>
                <w:b/>
              </w:rPr>
            </w:r>
            <w:r>
              <w:rPr>
                <w:rFonts w:ascii="Microsoft YaHei" w:hAnsi="Microsoft YaHei" w:eastAsia="Microsoft YaHei"/>
                <w:b/>
                <w:sz w:val="18"/>
              </w:rPr>
              <w:t>有效</w:t>
            </w:r>
          </w:p>
        </w:tc>
        <w:tc>
          <w:tcPr>
            <w:tcW w:type="dxa" w:w="1170"/>
            <w:vAlign w:val="center"/>
            <w:shd w:fill="E8EEF5"/>
          </w:tcPr>
          <w:p>
            <w:pPr>
              <w:spacing w:after="0"/>
              <w:jc w:val="center"/>
            </w:pPr>
            <w:r>
              <w:rPr>
                <w:b/>
              </w:rPr>
            </w:r>
            <w:r>
              <w:rPr>
                <w:rFonts w:ascii="Microsoft YaHei" w:hAnsi="Microsoft YaHei" w:eastAsia="Microsoft YaHei"/>
                <w:b/>
                <w:sz w:val="18"/>
              </w:rPr>
              <w:t>alpha/deg</w:t>
            </w:r>
          </w:p>
        </w:tc>
        <w:tc>
          <w:tcPr>
            <w:tcW w:type="dxa" w:w="1170"/>
            <w:vAlign w:val="center"/>
            <w:shd w:fill="E8EEF5"/>
          </w:tcPr>
          <w:p>
            <w:pPr>
              <w:spacing w:after="0"/>
              <w:jc w:val="center"/>
            </w:pPr>
            <w:r>
              <w:rPr>
                <w:b/>
              </w:rPr>
            </w:r>
            <w:r>
              <w:rPr>
                <w:rFonts w:ascii="Microsoft YaHei" w:hAnsi="Microsoft YaHei" w:eastAsia="Microsoft YaHei"/>
                <w:b/>
                <w:sz w:val="18"/>
              </w:rPr>
              <w:t>delta_e/deg</w:t>
            </w:r>
          </w:p>
        </w:tc>
        <w:tc>
          <w:tcPr>
            <w:tcW w:type="dxa" w:w="1170"/>
            <w:vAlign w:val="center"/>
            <w:shd w:fill="E8EEF5"/>
          </w:tcPr>
          <w:p>
            <w:pPr>
              <w:spacing w:after="0"/>
              <w:jc w:val="center"/>
            </w:pPr>
            <w:r>
              <w:rPr>
                <w:b/>
              </w:rPr>
            </w:r>
            <w:r>
              <w:rPr>
                <w:rFonts w:ascii="Microsoft YaHei" w:hAnsi="Microsoft YaHei" w:eastAsia="Microsoft YaHei"/>
                <w:b/>
                <w:sz w:val="18"/>
              </w:rPr>
              <w:t>T/kN</w:t>
            </w:r>
          </w:p>
        </w:tc>
        <w:tc>
          <w:tcPr>
            <w:tcW w:type="dxa" w:w="1170"/>
            <w:vAlign w:val="center"/>
            <w:shd w:fill="E8EEF5"/>
          </w:tcPr>
          <w:p>
            <w:pPr>
              <w:spacing w:after="0"/>
              <w:jc w:val="center"/>
            </w:pPr>
            <w:r>
              <w:rPr>
                <w:b/>
              </w:rPr>
            </w:r>
            <w:r>
              <w:rPr>
                <w:rFonts w:ascii="Microsoft YaHei" w:hAnsi="Microsoft YaHei" w:eastAsia="Microsoft YaHei"/>
                <w:b/>
                <w:sz w:val="18"/>
              </w:rPr>
              <w:t>R_z</w:t>
            </w:r>
          </w:p>
        </w:tc>
        <w:tc>
          <w:tcPr>
            <w:tcW w:type="dxa" w:w="1170"/>
            <w:vAlign w:val="center"/>
            <w:shd w:fill="E8EEF5"/>
          </w:tcPr>
          <w:p>
            <w:pPr>
              <w:spacing w:after="0"/>
              <w:jc w:val="center"/>
            </w:pPr>
            <w:r>
              <w:rPr>
                <w:b/>
              </w:rPr>
            </w:r>
            <w:r>
              <w:rPr>
                <w:rFonts w:ascii="Microsoft YaHei" w:hAnsi="Microsoft YaHei" w:eastAsia="Microsoft YaHei"/>
                <w:b/>
                <w:sz w:val="18"/>
              </w:rPr>
              <w:t>残差范数</w:t>
            </w:r>
          </w:p>
        </w:tc>
      </w:tr>
      <w:tr>
        <w:tc>
          <w:tcPr>
            <w:tcW w:type="dxa" w:w="1170"/>
            <w:vAlign w:val="center"/>
          </w:tcPr>
          <w:p>
            <w:pPr>
              <w:spacing w:after="0"/>
              <w:jc w:val="center"/>
            </w:pPr>
            <w:r/>
            <w:r>
              <w:rPr>
                <w:rFonts w:ascii="Microsoft YaHei" w:hAnsi="Microsoft YaHei" w:eastAsia="Microsoft YaHei"/>
                <w:b w:val="0"/>
                <w:sz w:val="18"/>
              </w:rPr>
              <w:t>90</w:t>
            </w:r>
          </w:p>
        </w:tc>
        <w:tc>
          <w:tcPr>
            <w:tcW w:type="dxa" w:w="1170"/>
            <w:vAlign w:val="center"/>
          </w:tcPr>
          <w:p>
            <w:pPr>
              <w:spacing w:after="0"/>
              <w:jc w:val="center"/>
            </w:pPr>
            <w:r/>
            <w:r>
              <w:rPr>
                <w:rFonts w:ascii="Microsoft YaHei" w:hAnsi="Microsoft YaHei" w:eastAsia="Microsoft YaHei"/>
                <w:b w:val="0"/>
                <w:sz w:val="18"/>
              </w:rPr>
              <w:t>45</w:t>
            </w:r>
          </w:p>
        </w:tc>
        <w:tc>
          <w:tcPr>
            <w:tcW w:type="dxa" w:w="1170"/>
            <w:vAlign w:val="center"/>
          </w:tcPr>
          <w:p>
            <w:pPr>
              <w:spacing w:after="0"/>
              <w:jc w:val="center"/>
            </w:pPr>
            <w:r/>
            <w:r>
              <w:rPr>
                <w:rFonts w:ascii="Microsoft YaHei" w:hAnsi="Microsoft YaHei" w:eastAsia="Microsoft YaHei"/>
                <w:b w:val="0"/>
                <w:sz w:val="18"/>
              </w:rPr>
              <w:t>是</w:t>
            </w:r>
          </w:p>
        </w:tc>
        <w:tc>
          <w:tcPr>
            <w:tcW w:type="dxa" w:w="1170"/>
            <w:vAlign w:val="center"/>
          </w:tcPr>
          <w:p>
            <w:pPr>
              <w:spacing w:after="0"/>
              <w:jc w:val="center"/>
            </w:pPr>
            <w:r/>
            <w:r>
              <w:rPr>
                <w:rFonts w:ascii="Microsoft YaHei" w:hAnsi="Microsoft YaHei" w:eastAsia="Microsoft YaHei"/>
                <w:b w:val="0"/>
                <w:sz w:val="18"/>
              </w:rPr>
              <w:t>-2.04</w:t>
            </w:r>
          </w:p>
        </w:tc>
        <w:tc>
          <w:tcPr>
            <w:tcW w:type="dxa" w:w="1170"/>
            <w:vAlign w:val="center"/>
          </w:tcPr>
          <w:p>
            <w:pPr>
              <w:spacing w:after="0"/>
              <w:jc w:val="center"/>
            </w:pPr>
            <w:r/>
            <w:r>
              <w:rPr>
                <w:rFonts w:ascii="Microsoft YaHei" w:hAnsi="Microsoft YaHei" w:eastAsia="Microsoft YaHei"/>
                <w:b w:val="0"/>
                <w:sz w:val="18"/>
              </w:rPr>
              <w:t>4.91</w:t>
            </w:r>
          </w:p>
        </w:tc>
        <w:tc>
          <w:tcPr>
            <w:tcW w:type="dxa" w:w="1170"/>
            <w:vAlign w:val="center"/>
          </w:tcPr>
          <w:p>
            <w:pPr>
              <w:spacing w:after="0"/>
              <w:jc w:val="center"/>
            </w:pPr>
            <w:r/>
            <w:r>
              <w:rPr>
                <w:rFonts w:ascii="Microsoft YaHei" w:hAnsi="Microsoft YaHei" w:eastAsia="Microsoft YaHei"/>
                <w:b w:val="0"/>
                <w:sz w:val="18"/>
              </w:rPr>
              <w:t>14.98</w:t>
            </w:r>
          </w:p>
        </w:tc>
        <w:tc>
          <w:tcPr>
            <w:tcW w:type="dxa" w:w="1170"/>
            <w:vAlign w:val="center"/>
          </w:tcPr>
          <w:p>
            <w:pPr>
              <w:spacing w:after="0"/>
              <w:jc w:val="center"/>
            </w:pPr>
            <w:r/>
            <w:r>
              <w:rPr>
                <w:rFonts w:ascii="Microsoft YaHei" w:hAnsi="Microsoft YaHei" w:eastAsia="Microsoft YaHei"/>
                <w:b w:val="0"/>
                <w:sz w:val="18"/>
              </w:rPr>
              <w:t>1.0000</w:t>
            </w:r>
          </w:p>
        </w:tc>
        <w:tc>
          <w:tcPr>
            <w:tcW w:type="dxa" w:w="1170"/>
            <w:vAlign w:val="center"/>
          </w:tcPr>
          <w:p>
            <w:pPr>
              <w:spacing w:after="0"/>
              <w:jc w:val="center"/>
            </w:pPr>
            <w:r/>
            <w:r>
              <w:rPr>
                <w:rFonts w:ascii="Microsoft YaHei" w:hAnsi="Microsoft YaHei" w:eastAsia="Microsoft YaHei"/>
                <w:b w:val="0"/>
                <w:sz w:val="18"/>
              </w:rPr>
              <w:t>0.00</w:t>
            </w:r>
          </w:p>
        </w:tc>
      </w:tr>
      <w:tr>
        <w:tc>
          <w:tcPr>
            <w:tcW w:type="dxa" w:w="1170"/>
            <w:vAlign w:val="center"/>
          </w:tcPr>
          <w:p>
            <w:pPr>
              <w:spacing w:after="0"/>
              <w:jc w:val="center"/>
            </w:pPr>
            <w:r/>
            <w:r>
              <w:rPr>
                <w:rFonts w:ascii="Microsoft YaHei" w:hAnsi="Microsoft YaHei" w:eastAsia="Microsoft YaHei"/>
                <w:b w:val="0"/>
                <w:sz w:val="18"/>
              </w:rPr>
              <w:t>90</w:t>
            </w:r>
          </w:p>
        </w:tc>
        <w:tc>
          <w:tcPr>
            <w:tcW w:type="dxa" w:w="1170"/>
            <w:vAlign w:val="center"/>
          </w:tcPr>
          <w:p>
            <w:pPr>
              <w:spacing w:after="0"/>
              <w:jc w:val="center"/>
            </w:pPr>
            <w:r/>
            <w:r>
              <w:rPr>
                <w:rFonts w:ascii="Microsoft YaHei" w:hAnsi="Microsoft YaHei" w:eastAsia="Microsoft YaHei"/>
                <w:b w:val="0"/>
                <w:sz w:val="18"/>
              </w:rPr>
              <w:t>60</w:t>
            </w:r>
          </w:p>
        </w:tc>
        <w:tc>
          <w:tcPr>
            <w:tcW w:type="dxa" w:w="1170"/>
            <w:vAlign w:val="center"/>
          </w:tcPr>
          <w:p>
            <w:pPr>
              <w:spacing w:after="0"/>
              <w:jc w:val="center"/>
            </w:pPr>
            <w:r/>
            <w:r>
              <w:rPr>
                <w:rFonts w:ascii="Microsoft YaHei" w:hAnsi="Microsoft YaHei" w:eastAsia="Microsoft YaHei"/>
                <w:b w:val="0"/>
                <w:sz w:val="18"/>
              </w:rPr>
              <w:t>是</w:t>
            </w:r>
          </w:p>
        </w:tc>
        <w:tc>
          <w:tcPr>
            <w:tcW w:type="dxa" w:w="1170"/>
            <w:vAlign w:val="center"/>
          </w:tcPr>
          <w:p>
            <w:pPr>
              <w:spacing w:after="0"/>
              <w:jc w:val="center"/>
            </w:pPr>
            <w:r/>
            <w:r>
              <w:rPr>
                <w:rFonts w:ascii="Microsoft YaHei" w:hAnsi="Microsoft YaHei" w:eastAsia="Microsoft YaHei"/>
                <w:b w:val="0"/>
                <w:sz w:val="18"/>
              </w:rPr>
              <w:t>-3.60</w:t>
            </w:r>
          </w:p>
        </w:tc>
        <w:tc>
          <w:tcPr>
            <w:tcW w:type="dxa" w:w="1170"/>
            <w:vAlign w:val="center"/>
          </w:tcPr>
          <w:p>
            <w:pPr>
              <w:spacing w:after="0"/>
              <w:jc w:val="center"/>
            </w:pPr>
            <w:r/>
            <w:r>
              <w:rPr>
                <w:rFonts w:ascii="Microsoft YaHei" w:hAnsi="Microsoft YaHei" w:eastAsia="Microsoft YaHei"/>
                <w:b w:val="0"/>
                <w:sz w:val="18"/>
              </w:rPr>
              <w:t>6.36</w:t>
            </w:r>
          </w:p>
        </w:tc>
        <w:tc>
          <w:tcPr>
            <w:tcW w:type="dxa" w:w="1170"/>
            <w:vAlign w:val="center"/>
          </w:tcPr>
          <w:p>
            <w:pPr>
              <w:spacing w:after="0"/>
              <w:jc w:val="center"/>
            </w:pPr>
            <w:r/>
            <w:r>
              <w:rPr>
                <w:rFonts w:ascii="Microsoft YaHei" w:hAnsi="Microsoft YaHei" w:eastAsia="Microsoft YaHei"/>
                <w:b w:val="0"/>
                <w:sz w:val="18"/>
              </w:rPr>
              <w:t>13.26</w:t>
            </w:r>
          </w:p>
        </w:tc>
        <w:tc>
          <w:tcPr>
            <w:tcW w:type="dxa" w:w="1170"/>
            <w:vAlign w:val="center"/>
          </w:tcPr>
          <w:p>
            <w:pPr>
              <w:spacing w:after="0"/>
              <w:jc w:val="center"/>
            </w:pPr>
            <w:r/>
            <w:r>
              <w:rPr>
                <w:rFonts w:ascii="Microsoft YaHei" w:hAnsi="Microsoft YaHei" w:eastAsia="Microsoft YaHei"/>
                <w:b w:val="0"/>
                <w:sz w:val="18"/>
              </w:rPr>
              <w:t>1.0000</w:t>
            </w:r>
          </w:p>
        </w:tc>
        <w:tc>
          <w:tcPr>
            <w:tcW w:type="dxa" w:w="1170"/>
            <w:vAlign w:val="center"/>
          </w:tcPr>
          <w:p>
            <w:pPr>
              <w:spacing w:after="0"/>
              <w:jc w:val="center"/>
            </w:pPr>
            <w:r/>
            <w:r>
              <w:rPr>
                <w:rFonts w:ascii="Microsoft YaHei" w:hAnsi="Microsoft YaHei" w:eastAsia="Microsoft YaHei"/>
                <w:b w:val="0"/>
                <w:sz w:val="18"/>
              </w:rPr>
              <w:t>0.00</w:t>
            </w:r>
          </w:p>
        </w:tc>
      </w:tr>
      <w:tr>
        <w:tc>
          <w:tcPr>
            <w:tcW w:type="dxa" w:w="1170"/>
            <w:vAlign w:val="center"/>
          </w:tcPr>
          <w:p>
            <w:pPr>
              <w:spacing w:after="0"/>
              <w:jc w:val="center"/>
            </w:pPr>
            <w:r/>
            <w:r>
              <w:rPr>
                <w:rFonts w:ascii="Microsoft YaHei" w:hAnsi="Microsoft YaHei" w:eastAsia="Microsoft YaHei"/>
                <w:b w:val="0"/>
                <w:sz w:val="18"/>
              </w:rPr>
              <w:t>60</w:t>
            </w:r>
          </w:p>
        </w:tc>
        <w:tc>
          <w:tcPr>
            <w:tcW w:type="dxa" w:w="1170"/>
            <w:vAlign w:val="center"/>
          </w:tcPr>
          <w:p>
            <w:pPr>
              <w:spacing w:after="0"/>
              <w:jc w:val="center"/>
            </w:pPr>
            <w:r/>
            <w:r>
              <w:rPr>
                <w:rFonts w:ascii="Microsoft YaHei" w:hAnsi="Microsoft YaHei" w:eastAsia="Microsoft YaHei"/>
                <w:b w:val="0"/>
                <w:sz w:val="18"/>
              </w:rPr>
              <w:t>60</w:t>
            </w:r>
          </w:p>
        </w:tc>
        <w:tc>
          <w:tcPr>
            <w:tcW w:type="dxa" w:w="1170"/>
            <w:vAlign w:val="center"/>
          </w:tcPr>
          <w:p>
            <w:pPr>
              <w:spacing w:after="0"/>
              <w:jc w:val="center"/>
            </w:pPr>
            <w:r/>
            <w:r>
              <w:rPr>
                <w:rFonts w:ascii="Microsoft YaHei" w:hAnsi="Microsoft YaHei" w:eastAsia="Microsoft YaHei"/>
                <w:b w:val="0"/>
                <w:sz w:val="18"/>
              </w:rPr>
              <w:t>是</w:t>
            </w:r>
          </w:p>
        </w:tc>
        <w:tc>
          <w:tcPr>
            <w:tcW w:type="dxa" w:w="1170"/>
            <w:vAlign w:val="center"/>
          </w:tcPr>
          <w:p>
            <w:pPr>
              <w:spacing w:after="0"/>
              <w:jc w:val="center"/>
            </w:pPr>
            <w:r/>
            <w:r>
              <w:rPr>
                <w:rFonts w:ascii="Microsoft YaHei" w:hAnsi="Microsoft YaHei" w:eastAsia="Microsoft YaHei"/>
                <w:b w:val="0"/>
                <w:sz w:val="18"/>
              </w:rPr>
              <w:t>0.95</w:t>
            </w:r>
          </w:p>
        </w:tc>
        <w:tc>
          <w:tcPr>
            <w:tcW w:type="dxa" w:w="1170"/>
            <w:vAlign w:val="center"/>
          </w:tcPr>
          <w:p>
            <w:pPr>
              <w:spacing w:after="0"/>
              <w:jc w:val="center"/>
            </w:pPr>
            <w:r/>
            <w:r>
              <w:rPr>
                <w:rFonts w:ascii="Microsoft YaHei" w:hAnsi="Microsoft YaHei" w:eastAsia="Microsoft YaHei"/>
                <w:b w:val="0"/>
                <w:sz w:val="18"/>
              </w:rPr>
              <w:t>1.72</w:t>
            </w:r>
          </w:p>
        </w:tc>
        <w:tc>
          <w:tcPr>
            <w:tcW w:type="dxa" w:w="1170"/>
            <w:vAlign w:val="center"/>
          </w:tcPr>
          <w:p>
            <w:pPr>
              <w:spacing w:after="0"/>
              <w:jc w:val="center"/>
            </w:pPr>
            <w:r/>
            <w:r>
              <w:rPr>
                <w:rFonts w:ascii="Microsoft YaHei" w:hAnsi="Microsoft YaHei" w:eastAsia="Microsoft YaHei"/>
                <w:b w:val="0"/>
                <w:sz w:val="18"/>
              </w:rPr>
              <w:t>2.57</w:t>
            </w:r>
          </w:p>
        </w:tc>
        <w:tc>
          <w:tcPr>
            <w:tcW w:type="dxa" w:w="1170"/>
            <w:vAlign w:val="center"/>
          </w:tcPr>
          <w:p>
            <w:pPr>
              <w:spacing w:after="0"/>
              <w:jc w:val="center"/>
            </w:pPr>
            <w:r/>
            <w:r>
              <w:rPr>
                <w:rFonts w:ascii="Microsoft YaHei" w:hAnsi="Microsoft YaHei" w:eastAsia="Microsoft YaHei"/>
                <w:b w:val="0"/>
                <w:sz w:val="18"/>
              </w:rPr>
              <w:t>0.9990</w:t>
            </w:r>
          </w:p>
        </w:tc>
        <w:tc>
          <w:tcPr>
            <w:tcW w:type="dxa" w:w="1170"/>
            <w:vAlign w:val="center"/>
          </w:tcPr>
          <w:p>
            <w:pPr>
              <w:spacing w:after="0"/>
              <w:jc w:val="center"/>
            </w:pPr>
            <w:r/>
            <w:r>
              <w:rPr>
                <w:rFonts w:ascii="Microsoft YaHei" w:hAnsi="Microsoft YaHei" w:eastAsia="Microsoft YaHei"/>
                <w:b w:val="0"/>
                <w:sz w:val="18"/>
              </w:rPr>
              <w:t>0.00</w:t>
            </w:r>
          </w:p>
        </w:tc>
      </w:tr>
      <w:tr>
        <w:tc>
          <w:tcPr>
            <w:tcW w:type="dxa" w:w="1170"/>
            <w:vAlign w:val="center"/>
          </w:tcPr>
          <w:p>
            <w:pPr>
              <w:spacing w:after="0"/>
              <w:jc w:val="center"/>
            </w:pPr>
            <w:r/>
            <w:r>
              <w:rPr>
                <w:rFonts w:ascii="Microsoft YaHei" w:hAnsi="Microsoft YaHei" w:eastAsia="Microsoft YaHei"/>
                <w:b w:val="0"/>
                <w:sz w:val="18"/>
              </w:rPr>
              <w:t>45</w:t>
            </w:r>
          </w:p>
        </w:tc>
        <w:tc>
          <w:tcPr>
            <w:tcW w:type="dxa" w:w="1170"/>
            <w:vAlign w:val="center"/>
          </w:tcPr>
          <w:p>
            <w:pPr>
              <w:spacing w:after="0"/>
              <w:jc w:val="center"/>
            </w:pPr>
            <w:r/>
            <w:r>
              <w:rPr>
                <w:rFonts w:ascii="Microsoft YaHei" w:hAnsi="Microsoft YaHei" w:eastAsia="Microsoft YaHei"/>
                <w:b w:val="0"/>
                <w:sz w:val="18"/>
              </w:rPr>
              <w:t>60</w:t>
            </w:r>
          </w:p>
        </w:tc>
        <w:tc>
          <w:tcPr>
            <w:tcW w:type="dxa" w:w="1170"/>
            <w:vAlign w:val="center"/>
          </w:tcPr>
          <w:p>
            <w:pPr>
              <w:spacing w:after="0"/>
              <w:jc w:val="center"/>
            </w:pPr>
            <w:r/>
            <w:r>
              <w:rPr>
                <w:rFonts w:ascii="Microsoft YaHei" w:hAnsi="Microsoft YaHei" w:eastAsia="Microsoft YaHei"/>
                <w:b w:val="0"/>
                <w:sz w:val="18"/>
              </w:rPr>
              <w:t>是</w:t>
            </w:r>
          </w:p>
        </w:tc>
        <w:tc>
          <w:tcPr>
            <w:tcW w:type="dxa" w:w="1170"/>
            <w:vAlign w:val="center"/>
          </w:tcPr>
          <w:p>
            <w:pPr>
              <w:spacing w:after="0"/>
              <w:jc w:val="center"/>
            </w:pPr>
            <w:r/>
            <w:r>
              <w:rPr>
                <w:rFonts w:ascii="Microsoft YaHei" w:hAnsi="Microsoft YaHei" w:eastAsia="Microsoft YaHei"/>
                <w:b w:val="0"/>
                <w:sz w:val="18"/>
              </w:rPr>
              <w:t>1.33</w:t>
            </w:r>
          </w:p>
        </w:tc>
        <w:tc>
          <w:tcPr>
            <w:tcW w:type="dxa" w:w="1170"/>
            <w:vAlign w:val="center"/>
          </w:tcPr>
          <w:p>
            <w:pPr>
              <w:spacing w:after="0"/>
              <w:jc w:val="center"/>
            </w:pPr>
            <w:r/>
            <w:r>
              <w:rPr>
                <w:rFonts w:ascii="Microsoft YaHei" w:hAnsi="Microsoft YaHei" w:eastAsia="Microsoft YaHei"/>
                <w:b w:val="0"/>
                <w:sz w:val="18"/>
              </w:rPr>
              <w:t>1.27</w:t>
            </w:r>
          </w:p>
        </w:tc>
        <w:tc>
          <w:tcPr>
            <w:tcW w:type="dxa" w:w="1170"/>
            <w:vAlign w:val="center"/>
          </w:tcPr>
          <w:p>
            <w:pPr>
              <w:spacing w:after="0"/>
              <w:jc w:val="center"/>
            </w:pPr>
            <w:r/>
            <w:r>
              <w:rPr>
                <w:rFonts w:ascii="Microsoft YaHei" w:hAnsi="Microsoft YaHei" w:eastAsia="Microsoft YaHei"/>
                <w:b w:val="0"/>
                <w:sz w:val="18"/>
              </w:rPr>
              <w:t>1.87</w:t>
            </w:r>
          </w:p>
        </w:tc>
        <w:tc>
          <w:tcPr>
            <w:tcW w:type="dxa" w:w="1170"/>
            <w:vAlign w:val="center"/>
          </w:tcPr>
          <w:p>
            <w:pPr>
              <w:spacing w:after="0"/>
              <w:jc w:val="center"/>
            </w:pPr>
            <w:r/>
            <w:r>
              <w:rPr>
                <w:rFonts w:ascii="Microsoft YaHei" w:hAnsi="Microsoft YaHei" w:eastAsia="Microsoft YaHei"/>
                <w:b w:val="0"/>
                <w:sz w:val="18"/>
              </w:rPr>
              <w:t>0.9986</w:t>
            </w:r>
          </w:p>
        </w:tc>
        <w:tc>
          <w:tcPr>
            <w:tcW w:type="dxa" w:w="1170"/>
            <w:vAlign w:val="center"/>
          </w:tcPr>
          <w:p>
            <w:pPr>
              <w:spacing w:after="0"/>
              <w:jc w:val="center"/>
            </w:pPr>
            <w:r/>
            <w:r>
              <w:rPr>
                <w:rFonts w:ascii="Microsoft YaHei" w:hAnsi="Microsoft YaHei" w:eastAsia="Microsoft YaHei"/>
                <w:b w:val="0"/>
                <w:sz w:val="18"/>
              </w:rPr>
              <w:t>0.00</w:t>
            </w:r>
          </w:p>
        </w:tc>
      </w:tr>
      <w:tr>
        <w:tc>
          <w:tcPr>
            <w:tcW w:type="dxa" w:w="1170"/>
            <w:vAlign w:val="center"/>
          </w:tcPr>
          <w:p>
            <w:pPr>
              <w:spacing w:after="0"/>
              <w:jc w:val="center"/>
            </w:pPr>
            <w:r/>
            <w:r>
              <w:rPr>
                <w:rFonts w:ascii="Microsoft YaHei" w:hAnsi="Microsoft YaHei" w:eastAsia="Microsoft YaHei"/>
                <w:b w:val="0"/>
                <w:sz w:val="18"/>
              </w:rPr>
              <w:t>0</w:t>
            </w:r>
          </w:p>
        </w:tc>
        <w:tc>
          <w:tcPr>
            <w:tcW w:type="dxa" w:w="1170"/>
            <w:vAlign w:val="center"/>
          </w:tcPr>
          <w:p>
            <w:pPr>
              <w:spacing w:after="0"/>
              <w:jc w:val="center"/>
            </w:pPr>
            <w:r/>
            <w:r>
              <w:rPr>
                <w:rFonts w:ascii="Microsoft YaHei" w:hAnsi="Microsoft YaHei" w:eastAsia="Microsoft YaHei"/>
                <w:b w:val="0"/>
                <w:sz w:val="18"/>
              </w:rPr>
              <w:t>65</w:t>
            </w:r>
          </w:p>
        </w:tc>
        <w:tc>
          <w:tcPr>
            <w:tcW w:type="dxa" w:w="1170"/>
            <w:vAlign w:val="center"/>
          </w:tcPr>
          <w:p>
            <w:pPr>
              <w:spacing w:after="0"/>
              <w:jc w:val="center"/>
            </w:pPr>
            <w:r/>
            <w:r>
              <w:rPr>
                <w:rFonts w:ascii="Microsoft YaHei" w:hAnsi="Microsoft YaHei" w:eastAsia="Microsoft YaHei"/>
                <w:b w:val="0"/>
                <w:sz w:val="18"/>
              </w:rPr>
              <w:t>是</w:t>
            </w:r>
          </w:p>
        </w:tc>
        <w:tc>
          <w:tcPr>
            <w:tcW w:type="dxa" w:w="1170"/>
            <w:vAlign w:val="center"/>
          </w:tcPr>
          <w:p>
            <w:pPr>
              <w:spacing w:after="0"/>
              <w:jc w:val="center"/>
            </w:pPr>
            <w:r/>
            <w:r>
              <w:rPr>
                <w:rFonts w:ascii="Microsoft YaHei" w:hAnsi="Microsoft YaHei" w:eastAsia="Microsoft YaHei"/>
                <w:b w:val="0"/>
                <w:sz w:val="18"/>
              </w:rPr>
              <w:t>0.51</w:t>
            </w:r>
          </w:p>
        </w:tc>
        <w:tc>
          <w:tcPr>
            <w:tcW w:type="dxa" w:w="1170"/>
            <w:vAlign w:val="center"/>
          </w:tcPr>
          <w:p>
            <w:pPr>
              <w:spacing w:after="0"/>
              <w:jc w:val="center"/>
            </w:pPr>
            <w:r/>
            <w:r>
              <w:rPr>
                <w:rFonts w:ascii="Microsoft YaHei" w:hAnsi="Microsoft YaHei" w:eastAsia="Microsoft YaHei"/>
                <w:b w:val="0"/>
                <w:sz w:val="18"/>
              </w:rPr>
              <w:t>2.23</w:t>
            </w:r>
          </w:p>
        </w:tc>
        <w:tc>
          <w:tcPr>
            <w:tcW w:type="dxa" w:w="1170"/>
            <w:vAlign w:val="center"/>
          </w:tcPr>
          <w:p>
            <w:pPr>
              <w:spacing w:after="0"/>
              <w:jc w:val="center"/>
            </w:pPr>
            <w:r/>
            <w:r>
              <w:rPr>
                <w:rFonts w:ascii="Microsoft YaHei" w:hAnsi="Microsoft YaHei" w:eastAsia="Microsoft YaHei"/>
                <w:b w:val="0"/>
                <w:sz w:val="18"/>
              </w:rPr>
              <w:t>1.40</w:t>
            </w:r>
          </w:p>
        </w:tc>
        <w:tc>
          <w:tcPr>
            <w:tcW w:type="dxa" w:w="1170"/>
            <w:vAlign w:val="center"/>
          </w:tcPr>
          <w:p>
            <w:pPr>
              <w:spacing w:after="0"/>
              <w:jc w:val="center"/>
            </w:pPr>
            <w:r/>
            <w:r>
              <w:rPr>
                <w:rFonts w:ascii="Microsoft YaHei" w:hAnsi="Microsoft YaHei" w:eastAsia="Microsoft YaHei"/>
                <w:b w:val="0"/>
                <w:sz w:val="18"/>
              </w:rPr>
              <w:t>0.9994</w:t>
            </w:r>
          </w:p>
        </w:tc>
        <w:tc>
          <w:tcPr>
            <w:tcW w:type="dxa" w:w="1170"/>
            <w:vAlign w:val="center"/>
          </w:tcPr>
          <w:p>
            <w:pPr>
              <w:spacing w:after="0"/>
              <w:jc w:val="center"/>
            </w:pPr>
            <w:r/>
            <w:r>
              <w:rPr>
                <w:rFonts w:ascii="Microsoft YaHei" w:hAnsi="Microsoft YaHei" w:eastAsia="Microsoft YaHei"/>
                <w:b w:val="0"/>
                <w:sz w:val="18"/>
              </w:rPr>
              <w:t>0.00</w:t>
            </w:r>
          </w:p>
        </w:tc>
      </w:tr>
    </w:tbl>
    <w:p>
      <w:pPr>
        <w:spacing w:after="120"/>
      </w:pPr>
      <w:r>
        <w:rPr>
          <w:rFonts w:ascii="Microsoft YaHei" w:hAnsi="Microsoft YaHei" w:eastAsia="Microsoft YaHei"/>
          <w:b w:val="0"/>
          <w:sz w:val="21"/>
        </w:rPr>
        <w:t>典型点显示：在建议走廊 45-60 m/s 内，不同倾角均能取得满足迎角和尾翼偏转限制的配平解；R_z 接近 1，说明垂向力平衡闭合。</w:t>
      </w:r>
    </w:p>
    <w:p>
      <w:pPr>
        <w:pStyle w:val="Heading1"/>
      </w:pPr>
      <w:r>
        <w:rPr>
          <w:rFonts w:ascii="Microsoft YaHei" w:hAnsi="Microsoft YaHei" w:eastAsia="Microsoft YaHei"/>
          <w:b/>
          <w:color w:val="2E74B5"/>
          <w:sz w:val="32"/>
        </w:rPr>
        <w:t>9. 结论与后续建议</w:t>
      </w:r>
    </w:p>
    <w:p>
      <w:pPr>
        <w:pStyle w:val="ListBullet"/>
        <w:spacing w:after="60"/>
      </w:pPr>
      <w:r>
        <w:rPr>
          <w:rFonts w:ascii="Microsoft YaHei" w:hAnsi="Microsoft YaHei" w:eastAsia="Microsoft YaHei"/>
          <w:b w:val="0"/>
          <w:sz w:val="21"/>
        </w:rPr>
        <w:t>悬停构型 beta=90 deg 的海平面有效平飞速度范围约为 5-60 m/s。</w:t>
      </w:r>
    </w:p>
    <w:p>
      <w:pPr>
        <w:pStyle w:val="ListBullet"/>
        <w:spacing w:after="60"/>
      </w:pPr>
      <w:r>
        <w:rPr>
          <w:rFonts w:ascii="Microsoft YaHei" w:hAnsi="Microsoft YaHei" w:eastAsia="Microsoft YaHei"/>
          <w:b w:val="0"/>
          <w:sz w:val="21"/>
        </w:rPr>
        <w:t>随着推力向前倾转，低速端逐步抬高，高速端扩展到 85-100 m/s。</w:t>
      </w:r>
    </w:p>
    <w:p>
      <w:pPr>
        <w:pStyle w:val="ListBullet"/>
        <w:spacing w:after="60"/>
      </w:pPr>
      <w:r>
        <w:rPr>
          <w:rFonts w:ascii="Microsoft YaHei" w:hAnsi="Microsoft YaHei" w:eastAsia="Microsoft YaHei"/>
          <w:b w:val="0"/>
          <w:sz w:val="21"/>
        </w:rPr>
        <w:t>按 beta=90 deg 至 0 deg 的离散倾角共同覆盖范围，第一阶段建议过渡飞行走廊取 45-60 m/s。</w:t>
      </w:r>
    </w:p>
    <w:p>
      <w:pPr>
        <w:pStyle w:val="ListBullet"/>
        <w:spacing w:after="60"/>
      </w:pPr>
      <w:r>
        <w:rPr>
          <w:rFonts w:ascii="Microsoft YaHei" w:hAnsi="Microsoft YaHei" w:eastAsia="Microsoft YaHei"/>
          <w:b w:val="0"/>
          <w:sz w:val="21"/>
        </w:rPr>
        <w:t>下一阶段可在该速度带内选取若干 beta-V 节点做线化与模态分析，再加入倾转机构动态、推力分配和控制律，进入控制与仿真。</w:t>
      </w:r>
    </w:p>
    <w:p>
      <w:pPr>
        <w:spacing w:after="120"/>
      </w:pPr>
      <w:r>
        <w:rPr>
          <w:rFonts w:ascii="Microsoft YaHei" w:hAnsi="Microsoft YaHei" w:eastAsia="Microsoft YaHei"/>
          <w:b w:val="0"/>
          <w:sz w:val="21"/>
        </w:rPr>
        <w:t>局限性：当前计算仍属于准定常配平分析，未包含倾转机构过渡速率、旋翼-机翼干扰、动态入流、电机限制和控制分配约束。因此该走廊适合作为第一阶段可行域，不应直接作为最终飞行控制包线。</w:t>
      </w:r>
    </w:p>
    <w:sectPr w:rsidR="00FC693F" w:rsidRPr="0006063C" w:rsidSect="00034616">
      <w:footerReference w:type="default" r:id="rI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555555"/>
        <w:sz w:val="18"/>
      </w:rPr>
      <w:t>eVTOL 第一阶段补充计算 - 公式格式修订版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