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13F" w:rsidRDefault="007C213F" w:rsidP="007C213F">
      <w:pPr>
        <w:pStyle w:val="Heading1"/>
      </w:pPr>
      <w:bookmarkStart w:id="0" w:name="_Toc292704905"/>
      <w:r>
        <w:t>General Information</w:t>
      </w:r>
      <w:bookmarkEnd w:id="0"/>
    </w:p>
    <w:p w:rsidR="007C213F" w:rsidRDefault="007C213F" w:rsidP="007C213F">
      <w:pPr>
        <w:pStyle w:val="Heading2"/>
      </w:pPr>
      <w:bookmarkStart w:id="1" w:name="_Toc292704906"/>
      <w:r>
        <w:t>Definitions</w:t>
      </w:r>
      <w:bookmarkEnd w:id="1"/>
    </w:p>
    <w:p w:rsidR="007C213F" w:rsidRDefault="007C213F" w:rsidP="002C0B2D">
      <w:pPr>
        <w:pStyle w:val="Body"/>
        <w:ind w:left="720"/>
      </w:pPr>
      <w:bookmarkStart w:id="2" w:name="_Ref38771445"/>
      <w:r>
        <w:t>The following acronyms and words may be used in this document.</w:t>
      </w:r>
      <w:bookmarkEnd w:id="2"/>
    </w:p>
    <w:tbl>
      <w:tblPr>
        <w:tblW w:w="0" w:type="auto"/>
        <w:tblInd w:w="720" w:type="dxa"/>
        <w:tblLook w:val="0000" w:firstRow="0" w:lastRow="0" w:firstColumn="0" w:lastColumn="0" w:noHBand="0" w:noVBand="0"/>
      </w:tblPr>
      <w:tblGrid>
        <w:gridCol w:w="2330"/>
        <w:gridCol w:w="6328"/>
      </w:tblGrid>
      <w:tr w:rsidR="007C213F" w:rsidTr="002C0B2D">
        <w:tc>
          <w:tcPr>
            <w:tcW w:w="2330" w:type="dxa"/>
          </w:tcPr>
          <w:p w:rsidR="007C213F" w:rsidRPr="00891471" w:rsidRDefault="007C213F" w:rsidP="0086340F">
            <w:pPr>
              <w:pStyle w:val="Body"/>
              <w:ind w:left="0"/>
            </w:pPr>
            <w:r w:rsidRPr="00891471">
              <w:t>Cal/EPA</w:t>
            </w:r>
          </w:p>
        </w:tc>
        <w:tc>
          <w:tcPr>
            <w:tcW w:w="6328" w:type="dxa"/>
          </w:tcPr>
          <w:p w:rsidR="007C213F" w:rsidRPr="00891471" w:rsidRDefault="007C213F" w:rsidP="0086340F">
            <w:pPr>
              <w:pStyle w:val="Body"/>
              <w:ind w:left="0"/>
            </w:pPr>
            <w:r w:rsidRPr="00891471">
              <w:t xml:space="preserve">Acronym for the California Environmental Protection Agency. See </w:t>
            </w:r>
            <w:hyperlink r:id="rId6" w:history="1">
              <w:r w:rsidRPr="00891471">
                <w:rPr>
                  <w:rStyle w:val="Hyperlink"/>
                </w:rPr>
                <w:t>http://www.calepa.ca.gov/</w:t>
              </w:r>
            </w:hyperlink>
            <w:r w:rsidRPr="00891471">
              <w:t>.</w:t>
            </w:r>
          </w:p>
        </w:tc>
      </w:tr>
      <w:tr w:rsidR="007C213F" w:rsidTr="002C0B2D">
        <w:tc>
          <w:tcPr>
            <w:tcW w:w="2330" w:type="dxa"/>
          </w:tcPr>
          <w:p w:rsidR="007C213F" w:rsidRPr="00891471" w:rsidRDefault="007C213F" w:rsidP="0086340F">
            <w:pPr>
              <w:pStyle w:val="Body"/>
              <w:ind w:left="0"/>
            </w:pPr>
            <w:r w:rsidRPr="00891471">
              <w:t>CERS</w:t>
            </w:r>
          </w:p>
        </w:tc>
        <w:tc>
          <w:tcPr>
            <w:tcW w:w="6328" w:type="dxa"/>
          </w:tcPr>
          <w:p w:rsidR="007C213F" w:rsidRPr="00891471" w:rsidRDefault="007C213F" w:rsidP="0086340F">
            <w:pPr>
              <w:pStyle w:val="Body"/>
              <w:ind w:left="0"/>
            </w:pPr>
            <w:r w:rsidRPr="00891471">
              <w:t>California Environmental Reporting System, Version 1.</w:t>
            </w:r>
          </w:p>
        </w:tc>
      </w:tr>
      <w:tr w:rsidR="007C213F" w:rsidTr="002C0B2D">
        <w:tc>
          <w:tcPr>
            <w:tcW w:w="2330" w:type="dxa"/>
          </w:tcPr>
          <w:p w:rsidR="007C213F" w:rsidRPr="00891471" w:rsidRDefault="007C213F" w:rsidP="0086340F">
            <w:pPr>
              <w:pStyle w:val="Body"/>
              <w:ind w:left="0"/>
            </w:pPr>
            <w:r w:rsidRPr="00891471">
              <w:t>CERS Data Registry</w:t>
            </w:r>
          </w:p>
        </w:tc>
        <w:tc>
          <w:tcPr>
            <w:tcW w:w="6328" w:type="dxa"/>
          </w:tcPr>
          <w:p w:rsidR="007C213F" w:rsidRPr="00891471" w:rsidRDefault="007C213F" w:rsidP="0086340F">
            <w:pPr>
              <w:pStyle w:val="Body"/>
              <w:ind w:left="0"/>
            </w:pPr>
            <w:r w:rsidRPr="00891471">
              <w:t xml:space="preserve">An online version of the Unified Program Data Standard available at </w:t>
            </w:r>
            <w:hyperlink r:id="rId7" w:history="1">
              <w:r w:rsidRPr="00891471">
                <w:rPr>
                  <w:rStyle w:val="Hyperlink"/>
                </w:rPr>
                <w:t>https://cers.calepa.ca.gov/Data/Registry/</w:t>
              </w:r>
            </w:hyperlink>
            <w:r w:rsidRPr="00891471">
              <w:t>.</w:t>
            </w:r>
          </w:p>
        </w:tc>
      </w:tr>
      <w:tr w:rsidR="007C213F" w:rsidTr="002C0B2D">
        <w:tc>
          <w:tcPr>
            <w:tcW w:w="2330" w:type="dxa"/>
          </w:tcPr>
          <w:p w:rsidR="007C213F" w:rsidRPr="00891471" w:rsidRDefault="007C213F" w:rsidP="0086340F">
            <w:pPr>
              <w:pStyle w:val="Body"/>
              <w:ind w:left="0"/>
            </w:pPr>
            <w:r w:rsidRPr="00891471">
              <w:t>CERS ID</w:t>
            </w:r>
          </w:p>
        </w:tc>
        <w:tc>
          <w:tcPr>
            <w:tcW w:w="6328" w:type="dxa"/>
          </w:tcPr>
          <w:p w:rsidR="007C213F" w:rsidRPr="00891471" w:rsidRDefault="007C213F" w:rsidP="0086340F">
            <w:pPr>
              <w:pStyle w:val="Body"/>
              <w:ind w:left="0"/>
            </w:pPr>
            <w:r w:rsidRPr="00891471">
              <w:t>A unique identifying number, assigned by CERS to each facility.</w:t>
            </w:r>
          </w:p>
        </w:tc>
      </w:tr>
      <w:tr w:rsidR="007C213F" w:rsidTr="002C0B2D">
        <w:tc>
          <w:tcPr>
            <w:tcW w:w="2330" w:type="dxa"/>
          </w:tcPr>
          <w:p w:rsidR="007C213F" w:rsidRPr="00891471" w:rsidRDefault="007C213F" w:rsidP="0086340F">
            <w:pPr>
              <w:pStyle w:val="Body"/>
              <w:ind w:left="0"/>
            </w:pPr>
            <w:r w:rsidRPr="00891471">
              <w:t>CERS2</w:t>
            </w:r>
          </w:p>
        </w:tc>
        <w:tc>
          <w:tcPr>
            <w:tcW w:w="6328" w:type="dxa"/>
          </w:tcPr>
          <w:p w:rsidR="007C213F" w:rsidRPr="00891471" w:rsidRDefault="007C213F" w:rsidP="0086340F">
            <w:pPr>
              <w:pStyle w:val="Body"/>
              <w:ind w:left="0"/>
            </w:pPr>
            <w:r w:rsidRPr="00891471">
              <w:t>California Environmental Reporting System Version 2, anticipated Summer 2011. A subsequent version of CERS.</w:t>
            </w:r>
          </w:p>
        </w:tc>
      </w:tr>
      <w:tr w:rsidR="007C213F" w:rsidTr="002C0B2D">
        <w:tc>
          <w:tcPr>
            <w:tcW w:w="2330" w:type="dxa"/>
          </w:tcPr>
          <w:p w:rsidR="007C213F" w:rsidRPr="00891471" w:rsidRDefault="007C213F" w:rsidP="0086340F">
            <w:pPr>
              <w:pStyle w:val="Body"/>
              <w:ind w:left="0"/>
            </w:pPr>
            <w:r w:rsidRPr="00891471">
              <w:t>Client</w:t>
            </w:r>
          </w:p>
        </w:tc>
        <w:tc>
          <w:tcPr>
            <w:tcW w:w="6328" w:type="dxa"/>
          </w:tcPr>
          <w:p w:rsidR="007C213F" w:rsidRPr="00891471" w:rsidRDefault="00A42B98" w:rsidP="0086340F">
            <w:pPr>
              <w:pStyle w:val="Body"/>
              <w:ind w:left="0"/>
            </w:pPr>
            <w:r>
              <w:fldChar w:fldCharType="begin"/>
            </w:r>
            <w:r>
              <w:instrText xml:space="preserve"> DOCPROPERTY "Company" \* MERGEFORMAT </w:instrText>
            </w:r>
            <w:r>
              <w:fldChar w:fldCharType="separate"/>
            </w:r>
            <w:r w:rsidR="007C213F" w:rsidRPr="00891471">
              <w:t>Cal/EPA</w:t>
            </w:r>
            <w:r>
              <w:fldChar w:fldCharType="end"/>
            </w:r>
          </w:p>
        </w:tc>
      </w:tr>
      <w:tr w:rsidR="007C213F" w:rsidTr="002C0B2D">
        <w:tc>
          <w:tcPr>
            <w:tcW w:w="2330" w:type="dxa"/>
          </w:tcPr>
          <w:p w:rsidR="007C213F" w:rsidRPr="00891471" w:rsidRDefault="007C213F" w:rsidP="0086340F">
            <w:pPr>
              <w:pStyle w:val="Body"/>
              <w:ind w:left="0"/>
            </w:pPr>
            <w:r w:rsidRPr="00891471">
              <w:t>Common Data</w:t>
            </w:r>
          </w:p>
        </w:tc>
        <w:tc>
          <w:tcPr>
            <w:tcW w:w="6328" w:type="dxa"/>
          </w:tcPr>
          <w:p w:rsidR="007C213F" w:rsidRPr="00891471" w:rsidRDefault="007C213F" w:rsidP="0086340F">
            <w:pPr>
              <w:pStyle w:val="Body"/>
              <w:ind w:left="0"/>
            </w:pPr>
            <w:r w:rsidRPr="00891471">
              <w:rPr>
                <w:i/>
              </w:rPr>
              <w:t>Common Data</w:t>
            </w:r>
            <w:r w:rsidRPr="00891471">
              <w:t xml:space="preserve"> is a </w:t>
            </w:r>
            <w:r w:rsidRPr="00891471">
              <w:rPr>
                <w:i/>
              </w:rPr>
              <w:t>submittal element</w:t>
            </w:r>
            <w:r w:rsidRPr="00891471">
              <w:t xml:space="preserve"> defined as information that is required to exist in CERS before any other submittal element can be submitted and be considered for approval. Common Data can only be approved by the Facilities CUPA (never by a PA). This information presently is represented on the Business Activities form, and the Business Owner/Operator form.</w:t>
            </w:r>
          </w:p>
        </w:tc>
      </w:tr>
      <w:tr w:rsidR="007C213F" w:rsidTr="002C0B2D">
        <w:tc>
          <w:tcPr>
            <w:tcW w:w="2330" w:type="dxa"/>
          </w:tcPr>
          <w:p w:rsidR="007C213F" w:rsidRPr="00891471" w:rsidRDefault="007C213F" w:rsidP="0086340F">
            <w:pPr>
              <w:pStyle w:val="Body"/>
              <w:ind w:left="0"/>
            </w:pPr>
            <w:r w:rsidRPr="00891471">
              <w:t>CUPA</w:t>
            </w:r>
          </w:p>
        </w:tc>
        <w:tc>
          <w:tcPr>
            <w:tcW w:w="6328" w:type="dxa"/>
          </w:tcPr>
          <w:p w:rsidR="007C213F" w:rsidRPr="00891471" w:rsidRDefault="007C213F" w:rsidP="0086340F">
            <w:pPr>
              <w:pStyle w:val="Body"/>
              <w:ind w:left="0"/>
            </w:pPr>
            <w:r w:rsidRPr="00891471">
              <w:t xml:space="preserve">Certified Unified Program Agency. See </w:t>
            </w:r>
            <w:hyperlink r:id="rId8" w:history="1">
              <w:r w:rsidRPr="00891471">
                <w:rPr>
                  <w:rStyle w:val="Hyperlink"/>
                </w:rPr>
                <w:t>http://www.calepa.ca.gov/CUPA/</w:t>
              </w:r>
            </w:hyperlink>
            <w:r w:rsidRPr="00891471">
              <w:t>.</w:t>
            </w:r>
          </w:p>
        </w:tc>
      </w:tr>
      <w:tr w:rsidR="007C213F" w:rsidTr="002C0B2D">
        <w:tc>
          <w:tcPr>
            <w:tcW w:w="2330" w:type="dxa"/>
          </w:tcPr>
          <w:p w:rsidR="007C213F" w:rsidRPr="00891471" w:rsidRDefault="007C213F" w:rsidP="0086340F">
            <w:pPr>
              <w:pStyle w:val="Body"/>
              <w:ind w:left="0"/>
            </w:pPr>
            <w:r w:rsidRPr="00891471">
              <w:t>Data Standard</w:t>
            </w:r>
          </w:p>
        </w:tc>
        <w:tc>
          <w:tcPr>
            <w:tcW w:w="6328" w:type="dxa"/>
          </w:tcPr>
          <w:p w:rsidR="007C213F" w:rsidRPr="00891471" w:rsidRDefault="007C213F" w:rsidP="0086340F">
            <w:pPr>
              <w:pStyle w:val="Body"/>
              <w:ind w:left="0"/>
            </w:pPr>
            <w:r w:rsidRPr="00891471">
              <w:t>See Unified Program Data Dictionary.</w:t>
            </w:r>
          </w:p>
        </w:tc>
      </w:tr>
      <w:tr w:rsidR="007C213F" w:rsidTr="002C0B2D">
        <w:tc>
          <w:tcPr>
            <w:tcW w:w="2330" w:type="dxa"/>
          </w:tcPr>
          <w:p w:rsidR="007C213F" w:rsidRPr="00891471" w:rsidRDefault="007C213F" w:rsidP="0086340F">
            <w:pPr>
              <w:pStyle w:val="Body"/>
              <w:ind w:left="0"/>
            </w:pPr>
            <w:r w:rsidRPr="00891471">
              <w:t>Electronic Data Transfer</w:t>
            </w:r>
          </w:p>
        </w:tc>
        <w:tc>
          <w:tcPr>
            <w:tcW w:w="6328" w:type="dxa"/>
          </w:tcPr>
          <w:p w:rsidR="007C213F" w:rsidRPr="00891471" w:rsidRDefault="007C213F" w:rsidP="0086340F">
            <w:pPr>
              <w:pStyle w:val="Body"/>
              <w:ind w:left="0"/>
            </w:pPr>
            <w:r w:rsidRPr="00891471">
              <w:t>Refers to the process of the exchange of data electronically between two or more parties, in this case Cal/EPA Unified Program, Regulatory Entities (local governments), and Businesses.</w:t>
            </w:r>
          </w:p>
        </w:tc>
      </w:tr>
      <w:tr w:rsidR="007C213F" w:rsidTr="002C0B2D">
        <w:tc>
          <w:tcPr>
            <w:tcW w:w="2330" w:type="dxa"/>
          </w:tcPr>
          <w:p w:rsidR="007C213F" w:rsidRPr="00891471" w:rsidRDefault="007C213F" w:rsidP="0086340F">
            <w:pPr>
              <w:pStyle w:val="Body"/>
              <w:ind w:left="0"/>
            </w:pPr>
            <w:r w:rsidRPr="00891471">
              <w:t>Exchange Standard</w:t>
            </w:r>
          </w:p>
        </w:tc>
        <w:tc>
          <w:tcPr>
            <w:tcW w:w="6328" w:type="dxa"/>
          </w:tcPr>
          <w:p w:rsidR="007C213F" w:rsidRPr="00891471" w:rsidRDefault="007C213F" w:rsidP="0086340F">
            <w:pPr>
              <w:pStyle w:val="Body"/>
              <w:ind w:left="0"/>
            </w:pPr>
            <w:r w:rsidRPr="00891471">
              <w:t>A detailed description of the processes and interfaces by which a CUPA may exchange data with CERS2. The document is anticipated Summer 2011.</w:t>
            </w:r>
          </w:p>
        </w:tc>
      </w:tr>
      <w:tr w:rsidR="007C213F" w:rsidTr="002C0B2D">
        <w:tc>
          <w:tcPr>
            <w:tcW w:w="2330" w:type="dxa"/>
          </w:tcPr>
          <w:p w:rsidR="007C213F" w:rsidRPr="00891471" w:rsidRDefault="007C213F" w:rsidP="0086340F">
            <w:pPr>
              <w:pStyle w:val="Body"/>
              <w:ind w:left="0"/>
            </w:pPr>
            <w:r w:rsidRPr="00891471">
              <w:t>Facility</w:t>
            </w:r>
          </w:p>
        </w:tc>
        <w:tc>
          <w:tcPr>
            <w:tcW w:w="6328" w:type="dxa"/>
          </w:tcPr>
          <w:p w:rsidR="007C213F" w:rsidRPr="00891471" w:rsidRDefault="007C213F" w:rsidP="0086340F">
            <w:pPr>
              <w:pStyle w:val="Body"/>
              <w:ind w:left="0"/>
            </w:pPr>
            <w:r w:rsidRPr="00891471">
              <w:t>A physical location that is regulated by the Unified Program.</w:t>
            </w:r>
          </w:p>
        </w:tc>
      </w:tr>
      <w:tr w:rsidR="007C213F" w:rsidTr="002C0B2D">
        <w:tc>
          <w:tcPr>
            <w:tcW w:w="2330" w:type="dxa"/>
          </w:tcPr>
          <w:p w:rsidR="007C213F" w:rsidRPr="00891471" w:rsidRDefault="007C213F" w:rsidP="0086340F">
            <w:pPr>
              <w:pStyle w:val="Body"/>
              <w:ind w:left="0"/>
            </w:pPr>
            <w:r w:rsidRPr="00891471">
              <w:t>Facility Transmission</w:t>
            </w:r>
          </w:p>
        </w:tc>
        <w:tc>
          <w:tcPr>
            <w:tcW w:w="6328" w:type="dxa"/>
          </w:tcPr>
          <w:p w:rsidR="007C213F" w:rsidRPr="00891471" w:rsidRDefault="007C213F" w:rsidP="0086340F">
            <w:pPr>
              <w:pStyle w:val="Body"/>
              <w:ind w:left="0"/>
            </w:pPr>
            <w:r w:rsidRPr="00891471">
              <w:t>A transmission refers to the process of a business or regulator sending XML data to the CERS XML Web Services. This type of transmission contains Facility Submittal data for one or more facilities.</w:t>
            </w:r>
          </w:p>
        </w:tc>
      </w:tr>
      <w:tr w:rsidR="007C213F" w:rsidTr="002C0B2D">
        <w:tc>
          <w:tcPr>
            <w:tcW w:w="2330" w:type="dxa"/>
          </w:tcPr>
          <w:p w:rsidR="007C213F" w:rsidRPr="00891471" w:rsidRDefault="007C213F" w:rsidP="0086340F">
            <w:pPr>
              <w:pStyle w:val="Body"/>
              <w:ind w:left="0"/>
            </w:pPr>
            <w:r w:rsidRPr="00891471">
              <w:t>Inspection/Enforcement Transmission</w:t>
            </w:r>
          </w:p>
        </w:tc>
        <w:tc>
          <w:tcPr>
            <w:tcW w:w="6328" w:type="dxa"/>
          </w:tcPr>
          <w:p w:rsidR="007C213F" w:rsidRPr="00891471" w:rsidRDefault="007C213F" w:rsidP="0086340F">
            <w:pPr>
              <w:pStyle w:val="Body"/>
              <w:ind w:left="0"/>
            </w:pPr>
            <w:r w:rsidRPr="00891471">
              <w:t>Refers to the process of a Regulator sending XML data to CERS XML Web Services. This type of transmission contains Inspections/Enforcements data for one or more Facilities.</w:t>
            </w:r>
          </w:p>
        </w:tc>
      </w:tr>
      <w:tr w:rsidR="007C213F" w:rsidTr="002C0B2D">
        <w:tc>
          <w:tcPr>
            <w:tcW w:w="2330" w:type="dxa"/>
          </w:tcPr>
          <w:p w:rsidR="007C213F" w:rsidRPr="00891471" w:rsidRDefault="007C213F" w:rsidP="0086340F">
            <w:pPr>
              <w:pStyle w:val="Body"/>
              <w:ind w:left="0"/>
            </w:pPr>
            <w:r w:rsidRPr="00891471">
              <w:t>PA</w:t>
            </w:r>
          </w:p>
        </w:tc>
        <w:tc>
          <w:tcPr>
            <w:tcW w:w="6328" w:type="dxa"/>
          </w:tcPr>
          <w:p w:rsidR="007C213F" w:rsidRDefault="007C213F" w:rsidP="0086340F">
            <w:pPr>
              <w:pStyle w:val="Body"/>
              <w:ind w:left="0"/>
            </w:pPr>
            <w:r w:rsidRPr="00891471">
              <w:t>Participating Agency - An entity which, by formal agreement with the CUPA, agrees to implement one or more of the CUPA</w:t>
            </w:r>
            <w:r w:rsidR="002C0B2D">
              <w:t xml:space="preserve"> </w:t>
            </w:r>
            <w:r w:rsidRPr="00891471">
              <w:t>Program Elements.</w:t>
            </w:r>
          </w:p>
          <w:p w:rsidR="002C0B2D" w:rsidRPr="00891471" w:rsidRDefault="002C0B2D" w:rsidP="0086340F">
            <w:pPr>
              <w:pStyle w:val="Body"/>
              <w:ind w:left="0"/>
            </w:pPr>
          </w:p>
        </w:tc>
      </w:tr>
      <w:tr w:rsidR="007C213F" w:rsidTr="002C0B2D">
        <w:tc>
          <w:tcPr>
            <w:tcW w:w="2330" w:type="dxa"/>
          </w:tcPr>
          <w:p w:rsidR="007C213F" w:rsidRPr="00891471" w:rsidRDefault="007C213F" w:rsidP="0086340F">
            <w:pPr>
              <w:pStyle w:val="Body"/>
              <w:ind w:left="0"/>
            </w:pPr>
            <w:r w:rsidRPr="00891471">
              <w:lastRenderedPageBreak/>
              <w:t>Project Originator/Requestor</w:t>
            </w:r>
          </w:p>
        </w:tc>
        <w:tc>
          <w:tcPr>
            <w:tcW w:w="6328" w:type="dxa"/>
          </w:tcPr>
          <w:p w:rsidR="007C213F" w:rsidRPr="00891471" w:rsidRDefault="007C213F" w:rsidP="0086340F">
            <w:pPr>
              <w:pStyle w:val="Body"/>
              <w:ind w:left="0"/>
            </w:pPr>
            <w:r w:rsidRPr="00891471">
              <w:t xml:space="preserve">Jim </w:t>
            </w:r>
            <w:proofErr w:type="spellStart"/>
            <w:r w:rsidRPr="00891471">
              <w:t>Bohon</w:t>
            </w:r>
            <w:proofErr w:type="spellEnd"/>
          </w:p>
        </w:tc>
      </w:tr>
      <w:tr w:rsidR="007C213F" w:rsidTr="002C0B2D">
        <w:tc>
          <w:tcPr>
            <w:tcW w:w="2330" w:type="dxa"/>
          </w:tcPr>
          <w:p w:rsidR="007C213F" w:rsidRPr="00891471" w:rsidRDefault="007C213F" w:rsidP="0086340F">
            <w:pPr>
              <w:pStyle w:val="Body"/>
              <w:ind w:left="0"/>
            </w:pPr>
            <w:r w:rsidRPr="00891471">
              <w:t>Regulator</w:t>
            </w:r>
          </w:p>
        </w:tc>
        <w:tc>
          <w:tcPr>
            <w:tcW w:w="6328" w:type="dxa"/>
          </w:tcPr>
          <w:p w:rsidR="007C213F" w:rsidRPr="00891471" w:rsidRDefault="007C213F" w:rsidP="0086340F">
            <w:pPr>
              <w:pStyle w:val="Body"/>
              <w:ind w:left="0"/>
            </w:pPr>
            <w:r w:rsidRPr="00891471">
              <w:t xml:space="preserve">Local or state regulating agency that has authority for one or more </w:t>
            </w:r>
            <w:r w:rsidRPr="00891471">
              <w:rPr>
                <w:i/>
              </w:rPr>
              <w:t>submittal elements</w:t>
            </w:r>
            <w:r w:rsidRPr="00891471">
              <w:t xml:space="preserve"> for a specific geographic region.</w:t>
            </w:r>
          </w:p>
        </w:tc>
      </w:tr>
      <w:tr w:rsidR="007C213F" w:rsidTr="002C0B2D">
        <w:tc>
          <w:tcPr>
            <w:tcW w:w="2330" w:type="dxa"/>
          </w:tcPr>
          <w:p w:rsidR="007C213F" w:rsidRPr="00891471" w:rsidRDefault="007C213F" w:rsidP="0086340F">
            <w:pPr>
              <w:pStyle w:val="Body"/>
              <w:ind w:left="0"/>
            </w:pPr>
            <w:r w:rsidRPr="00891471">
              <w:t>Software</w:t>
            </w:r>
          </w:p>
        </w:tc>
        <w:tc>
          <w:tcPr>
            <w:tcW w:w="6328" w:type="dxa"/>
          </w:tcPr>
          <w:p w:rsidR="007C213F" w:rsidRPr="00891471" w:rsidRDefault="007C213F" w:rsidP="0086340F">
            <w:pPr>
              <w:pStyle w:val="Body"/>
              <w:ind w:left="0"/>
            </w:pPr>
            <w:r w:rsidRPr="00891471">
              <w:t>Software includes computer programs, in object form, and all related documentation, materials, and all modifications made hereafter, in whole or in part.</w:t>
            </w:r>
          </w:p>
        </w:tc>
      </w:tr>
      <w:tr w:rsidR="007C213F" w:rsidTr="002C0B2D">
        <w:tc>
          <w:tcPr>
            <w:tcW w:w="2330" w:type="dxa"/>
          </w:tcPr>
          <w:p w:rsidR="007C213F" w:rsidRPr="00891471" w:rsidRDefault="007C213F" w:rsidP="0086340F">
            <w:pPr>
              <w:pStyle w:val="Body"/>
              <w:ind w:left="0"/>
            </w:pPr>
            <w:r w:rsidRPr="00891471">
              <w:t>Submittal</w:t>
            </w:r>
          </w:p>
        </w:tc>
        <w:tc>
          <w:tcPr>
            <w:tcW w:w="6328" w:type="dxa"/>
          </w:tcPr>
          <w:p w:rsidR="007C213F" w:rsidRPr="00891471" w:rsidRDefault="007C213F" w:rsidP="0086340F">
            <w:pPr>
              <w:pStyle w:val="Body"/>
              <w:ind w:left="0"/>
            </w:pPr>
            <w:r w:rsidRPr="00891471">
              <w:t xml:space="preserve">One or more submittal action elements containing </w:t>
            </w:r>
            <w:r w:rsidRPr="00891471">
              <w:rPr>
                <w:i/>
              </w:rPr>
              <w:t>one</w:t>
            </w:r>
            <w:r w:rsidRPr="00891471">
              <w:t xml:space="preserve"> or more </w:t>
            </w:r>
            <w:r w:rsidRPr="00891471">
              <w:rPr>
                <w:i/>
              </w:rPr>
              <w:t>submittal elements</w:t>
            </w:r>
            <w:r w:rsidRPr="00891471">
              <w:t>.</w:t>
            </w:r>
          </w:p>
        </w:tc>
      </w:tr>
      <w:tr w:rsidR="007C213F" w:rsidTr="002C0B2D">
        <w:tc>
          <w:tcPr>
            <w:tcW w:w="2330" w:type="dxa"/>
          </w:tcPr>
          <w:p w:rsidR="007C213F" w:rsidRPr="00891471" w:rsidRDefault="007C213F" w:rsidP="0086340F">
            <w:pPr>
              <w:pStyle w:val="Body"/>
              <w:ind w:left="0"/>
            </w:pPr>
            <w:r w:rsidRPr="00891471">
              <w:t>Submittal Action</w:t>
            </w:r>
          </w:p>
        </w:tc>
        <w:tc>
          <w:tcPr>
            <w:tcW w:w="6328" w:type="dxa"/>
          </w:tcPr>
          <w:p w:rsidR="007C213F" w:rsidRPr="00891471" w:rsidRDefault="007C213F" w:rsidP="0086340F">
            <w:pPr>
              <w:pStyle w:val="Body"/>
              <w:ind w:left="0"/>
            </w:pPr>
            <w:r w:rsidRPr="00891471">
              <w:t xml:space="preserve">A set of system fields needed that describe who is submitting the </w:t>
            </w:r>
            <w:r w:rsidRPr="00891471">
              <w:rPr>
                <w:i/>
              </w:rPr>
              <w:t>submittal</w:t>
            </w:r>
            <w:r w:rsidRPr="00891471">
              <w:t xml:space="preserve">, the status of the </w:t>
            </w:r>
            <w:r w:rsidRPr="00891471">
              <w:rPr>
                <w:i/>
              </w:rPr>
              <w:t>submittal</w:t>
            </w:r>
            <w:r w:rsidRPr="00891471">
              <w:t xml:space="preserve">, business and/or </w:t>
            </w:r>
            <w:r w:rsidRPr="00891471">
              <w:rPr>
                <w:i/>
              </w:rPr>
              <w:t>regulator</w:t>
            </w:r>
            <w:r w:rsidRPr="00891471">
              <w:t xml:space="preserve"> contacts acting/submitting the </w:t>
            </w:r>
            <w:r w:rsidRPr="00891471">
              <w:rPr>
                <w:i/>
              </w:rPr>
              <w:t>submittal,</w:t>
            </w:r>
            <w:r w:rsidRPr="00891471">
              <w:t xml:space="preserve"> and other meta-data that drives the process of approving/rejecting submittals.</w:t>
            </w:r>
          </w:p>
        </w:tc>
      </w:tr>
      <w:tr w:rsidR="007C213F" w:rsidTr="002C0B2D">
        <w:tc>
          <w:tcPr>
            <w:tcW w:w="2330" w:type="dxa"/>
          </w:tcPr>
          <w:p w:rsidR="007C213F" w:rsidRPr="00891471" w:rsidRDefault="007C213F" w:rsidP="0086340F">
            <w:pPr>
              <w:pStyle w:val="Body"/>
              <w:ind w:left="0"/>
            </w:pPr>
            <w:r w:rsidRPr="00891471">
              <w:t>Submittal Element</w:t>
            </w:r>
          </w:p>
        </w:tc>
        <w:tc>
          <w:tcPr>
            <w:tcW w:w="6328" w:type="dxa"/>
          </w:tcPr>
          <w:p w:rsidR="007C213F" w:rsidRPr="00891471" w:rsidRDefault="007C213F" w:rsidP="0086340F">
            <w:pPr>
              <w:pStyle w:val="Body"/>
              <w:ind w:left="0"/>
            </w:pPr>
            <w:r w:rsidRPr="00891471">
              <w:t xml:space="preserve">A collection of fields defined in </w:t>
            </w:r>
            <w:r>
              <w:t>Unified Program Data Dictionary</w:t>
            </w:r>
            <w:r w:rsidRPr="00891471">
              <w:t xml:space="preserve"> that </w:t>
            </w:r>
            <w:proofErr w:type="gramStart"/>
            <w:r w:rsidRPr="00891471">
              <w:t>represent</w:t>
            </w:r>
            <w:proofErr w:type="gramEnd"/>
            <w:r w:rsidRPr="00891471">
              <w:t xml:space="preserve"> a single form and/or group of UPCF Forms for a specific program (</w:t>
            </w:r>
            <w:smartTag w:uri="urn:schemas-microsoft-com:office:smarttags" w:element="stockticker">
              <w:r w:rsidRPr="00891471">
                <w:t>UST</w:t>
              </w:r>
            </w:smartTag>
            <w:r w:rsidRPr="00891471">
              <w:t xml:space="preserve"> for example) at a specific facility. </w:t>
            </w:r>
            <w:r w:rsidRPr="00891471">
              <w:rPr>
                <w:i/>
              </w:rPr>
              <w:t>Submittal elements</w:t>
            </w:r>
            <w:r w:rsidRPr="00891471">
              <w:t xml:space="preserve"> can be approved by separate Regulators, but only one </w:t>
            </w:r>
            <w:r w:rsidRPr="00891471">
              <w:rPr>
                <w:i/>
              </w:rPr>
              <w:t>regulator</w:t>
            </w:r>
            <w:r w:rsidRPr="00891471">
              <w:t xml:space="preserve"> per element per facility. A submittal element is also the data transfer unit of rejection in </w:t>
            </w:r>
            <w:smartTag w:uri="urn:schemas-microsoft-com:office:smarttags" w:element="stockticker">
              <w:r w:rsidRPr="00891471">
                <w:t>CERS</w:t>
              </w:r>
            </w:smartTag>
            <w:r w:rsidRPr="00891471">
              <w:t>. This means that if a batch of three submittal elements were to be sent and two pass validation and one doesn’t, instead of the entire batch being rejected; only the one submittal element would be rejected.</w:t>
            </w:r>
          </w:p>
        </w:tc>
      </w:tr>
      <w:tr w:rsidR="007C213F" w:rsidTr="002C0B2D">
        <w:tc>
          <w:tcPr>
            <w:tcW w:w="2330" w:type="dxa"/>
          </w:tcPr>
          <w:p w:rsidR="007C213F" w:rsidRPr="00891471" w:rsidRDefault="007C213F" w:rsidP="0086340F">
            <w:pPr>
              <w:pStyle w:val="Body"/>
              <w:ind w:left="0"/>
            </w:pPr>
            <w:r w:rsidRPr="00891471">
              <w:t>Transaction</w:t>
            </w:r>
          </w:p>
        </w:tc>
        <w:tc>
          <w:tcPr>
            <w:tcW w:w="6328" w:type="dxa"/>
          </w:tcPr>
          <w:p w:rsidR="007C213F" w:rsidRPr="00891471" w:rsidRDefault="007C213F" w:rsidP="0086340F">
            <w:pPr>
              <w:pStyle w:val="Body"/>
              <w:ind w:left="0"/>
            </w:pPr>
            <w:r w:rsidRPr="00891471">
              <w:t xml:space="preserve">A single facility </w:t>
            </w:r>
            <w:r w:rsidRPr="00891471">
              <w:rPr>
                <w:i/>
              </w:rPr>
              <w:t>submittal element</w:t>
            </w:r>
            <w:r w:rsidRPr="00891471">
              <w:t xml:space="preserve">. If any data does not pass validation, the entire facility </w:t>
            </w:r>
            <w:r w:rsidRPr="00891471">
              <w:rPr>
                <w:i/>
              </w:rPr>
              <w:t>submittal element</w:t>
            </w:r>
            <w:r w:rsidRPr="00891471">
              <w:t xml:space="preserve"> is rejected.</w:t>
            </w:r>
          </w:p>
        </w:tc>
      </w:tr>
      <w:tr w:rsidR="007C213F" w:rsidTr="002C0B2D">
        <w:tc>
          <w:tcPr>
            <w:tcW w:w="2330" w:type="dxa"/>
          </w:tcPr>
          <w:p w:rsidR="007C213F" w:rsidRPr="00891471" w:rsidRDefault="007C213F" w:rsidP="0086340F">
            <w:pPr>
              <w:pStyle w:val="Body"/>
              <w:ind w:left="0"/>
            </w:pPr>
            <w:r w:rsidRPr="00891471">
              <w:t>Unified Program Data Dictionary</w:t>
            </w:r>
          </w:p>
        </w:tc>
        <w:tc>
          <w:tcPr>
            <w:tcW w:w="6328" w:type="dxa"/>
          </w:tcPr>
          <w:p w:rsidR="007C213F" w:rsidRPr="00891471" w:rsidRDefault="007C213F" w:rsidP="0086340F">
            <w:pPr>
              <w:pStyle w:val="Body"/>
              <w:ind w:left="0"/>
            </w:pPr>
            <w:r w:rsidRPr="00891471">
              <w:t xml:space="preserve">A detailed description of the data fields that are required to implement the electronic reporting mandates of AB 2286 (2008). </w:t>
            </w:r>
          </w:p>
        </w:tc>
      </w:tr>
      <w:tr w:rsidR="007C213F" w:rsidTr="002C0B2D">
        <w:tc>
          <w:tcPr>
            <w:tcW w:w="2330" w:type="dxa"/>
          </w:tcPr>
          <w:p w:rsidR="007C213F" w:rsidRPr="00891471" w:rsidRDefault="007C213F" w:rsidP="0086340F">
            <w:pPr>
              <w:pStyle w:val="Body"/>
              <w:ind w:left="0"/>
            </w:pPr>
            <w:r w:rsidRPr="00891471">
              <w:t>Validation</w:t>
            </w:r>
          </w:p>
        </w:tc>
        <w:tc>
          <w:tcPr>
            <w:tcW w:w="6328" w:type="dxa"/>
          </w:tcPr>
          <w:p w:rsidR="007C213F" w:rsidRPr="00891471" w:rsidRDefault="007C213F" w:rsidP="0086340F">
            <w:pPr>
              <w:pStyle w:val="Body"/>
              <w:ind w:left="0"/>
            </w:pPr>
            <w:r w:rsidRPr="00891471">
              <w:rPr>
                <w:rStyle w:val="apple-style-span"/>
                <w:rFonts w:ascii="Arial" w:hAnsi="Arial" w:cs="Arial"/>
                <w:color w:val="000000"/>
                <w:sz w:val="20"/>
              </w:rPr>
              <w:t>Ensuring that data inserted into an application satisfies defined formats and other input criteria.</w:t>
            </w:r>
          </w:p>
        </w:tc>
      </w:tr>
      <w:tr w:rsidR="007C213F" w:rsidTr="002C0B2D">
        <w:tc>
          <w:tcPr>
            <w:tcW w:w="2330" w:type="dxa"/>
          </w:tcPr>
          <w:p w:rsidR="007C213F" w:rsidRPr="00891471" w:rsidRDefault="007C213F" w:rsidP="0086340F">
            <w:pPr>
              <w:pStyle w:val="Body"/>
              <w:ind w:left="0"/>
            </w:pPr>
            <w:r w:rsidRPr="00891471">
              <w:t>Web Service, Web Services</w:t>
            </w:r>
          </w:p>
        </w:tc>
        <w:tc>
          <w:tcPr>
            <w:tcW w:w="6328" w:type="dxa"/>
          </w:tcPr>
          <w:p w:rsidR="007C213F" w:rsidRPr="00891471" w:rsidRDefault="007C213F" w:rsidP="0086340F">
            <w:pPr>
              <w:pStyle w:val="Body"/>
              <w:ind w:left="0"/>
            </w:pPr>
            <w:r w:rsidRPr="00891471">
              <w:t>A method of communication between two electronic devices over a network.</w:t>
            </w:r>
          </w:p>
        </w:tc>
      </w:tr>
      <w:tr w:rsidR="007C213F" w:rsidTr="002C0B2D">
        <w:tc>
          <w:tcPr>
            <w:tcW w:w="2330" w:type="dxa"/>
          </w:tcPr>
          <w:p w:rsidR="007C213F" w:rsidRPr="00891471" w:rsidRDefault="007C213F" w:rsidP="0086340F">
            <w:pPr>
              <w:pStyle w:val="Body"/>
              <w:ind w:left="0"/>
            </w:pPr>
            <w:r w:rsidRPr="00891471">
              <w:t>XML</w:t>
            </w:r>
          </w:p>
        </w:tc>
        <w:tc>
          <w:tcPr>
            <w:tcW w:w="6328" w:type="dxa"/>
          </w:tcPr>
          <w:p w:rsidR="007C213F" w:rsidRPr="00891471" w:rsidRDefault="007C213F" w:rsidP="0086340F">
            <w:pPr>
              <w:pStyle w:val="Body"/>
              <w:ind w:left="0"/>
            </w:pPr>
            <w:r w:rsidRPr="00891471">
              <w:t>A set of rules for encoding documents in machine-readable form.</w:t>
            </w:r>
          </w:p>
        </w:tc>
      </w:tr>
      <w:tr w:rsidR="002C0B2D" w:rsidTr="002C0B2D">
        <w:tc>
          <w:tcPr>
            <w:tcW w:w="2330" w:type="dxa"/>
          </w:tcPr>
          <w:p w:rsidR="002C0B2D" w:rsidRPr="00891471" w:rsidRDefault="002C0B2D" w:rsidP="0086340F">
            <w:pPr>
              <w:pStyle w:val="Body"/>
              <w:ind w:left="0"/>
            </w:pPr>
          </w:p>
        </w:tc>
        <w:tc>
          <w:tcPr>
            <w:tcW w:w="6328" w:type="dxa"/>
          </w:tcPr>
          <w:p w:rsidR="002C0B2D" w:rsidRPr="00891471" w:rsidRDefault="002C0B2D" w:rsidP="0086340F">
            <w:pPr>
              <w:pStyle w:val="Body"/>
              <w:ind w:left="0"/>
            </w:pPr>
          </w:p>
        </w:tc>
      </w:tr>
      <w:tr w:rsidR="002C0B2D" w:rsidTr="002C0B2D">
        <w:tc>
          <w:tcPr>
            <w:tcW w:w="2330" w:type="dxa"/>
          </w:tcPr>
          <w:p w:rsidR="002C0B2D" w:rsidRPr="00891471" w:rsidRDefault="002C0B2D" w:rsidP="0086340F">
            <w:pPr>
              <w:pStyle w:val="Body"/>
              <w:ind w:left="0"/>
            </w:pPr>
          </w:p>
        </w:tc>
        <w:tc>
          <w:tcPr>
            <w:tcW w:w="6328" w:type="dxa"/>
          </w:tcPr>
          <w:p w:rsidR="002C0B2D" w:rsidRPr="00891471" w:rsidRDefault="002C0B2D" w:rsidP="0086340F">
            <w:pPr>
              <w:pStyle w:val="Body"/>
              <w:ind w:left="0"/>
            </w:pPr>
          </w:p>
        </w:tc>
      </w:tr>
      <w:tr w:rsidR="002C0B2D" w:rsidTr="002C0B2D">
        <w:tc>
          <w:tcPr>
            <w:tcW w:w="2330" w:type="dxa"/>
          </w:tcPr>
          <w:p w:rsidR="002C0B2D" w:rsidRPr="00891471" w:rsidRDefault="002C0B2D" w:rsidP="0086340F">
            <w:pPr>
              <w:pStyle w:val="Body"/>
              <w:ind w:left="0"/>
            </w:pPr>
          </w:p>
        </w:tc>
        <w:tc>
          <w:tcPr>
            <w:tcW w:w="6328" w:type="dxa"/>
          </w:tcPr>
          <w:p w:rsidR="002C0B2D" w:rsidRPr="00891471" w:rsidRDefault="002C0B2D" w:rsidP="0086340F">
            <w:pPr>
              <w:pStyle w:val="Body"/>
              <w:ind w:left="0"/>
            </w:pPr>
          </w:p>
        </w:tc>
      </w:tr>
      <w:tr w:rsidR="002C0B2D" w:rsidTr="002C0B2D">
        <w:tc>
          <w:tcPr>
            <w:tcW w:w="2330" w:type="dxa"/>
          </w:tcPr>
          <w:p w:rsidR="002C0B2D" w:rsidRPr="00891471" w:rsidRDefault="002C0B2D" w:rsidP="0086340F">
            <w:pPr>
              <w:pStyle w:val="Body"/>
              <w:ind w:left="0"/>
            </w:pPr>
          </w:p>
        </w:tc>
        <w:tc>
          <w:tcPr>
            <w:tcW w:w="6328" w:type="dxa"/>
          </w:tcPr>
          <w:p w:rsidR="002C0B2D" w:rsidRPr="00891471" w:rsidRDefault="002C0B2D" w:rsidP="0086340F">
            <w:pPr>
              <w:pStyle w:val="Body"/>
              <w:ind w:left="0"/>
            </w:pPr>
          </w:p>
        </w:tc>
      </w:tr>
      <w:tr w:rsidR="002C0B2D" w:rsidTr="002C0B2D">
        <w:tc>
          <w:tcPr>
            <w:tcW w:w="2330" w:type="dxa"/>
          </w:tcPr>
          <w:p w:rsidR="002C0B2D" w:rsidRPr="00891471" w:rsidRDefault="002C0B2D" w:rsidP="0086340F">
            <w:pPr>
              <w:pStyle w:val="Body"/>
              <w:ind w:left="0"/>
            </w:pPr>
          </w:p>
        </w:tc>
        <w:tc>
          <w:tcPr>
            <w:tcW w:w="6328" w:type="dxa"/>
          </w:tcPr>
          <w:p w:rsidR="002C0B2D" w:rsidRPr="00891471" w:rsidRDefault="002C0B2D" w:rsidP="0086340F">
            <w:pPr>
              <w:pStyle w:val="Body"/>
              <w:ind w:left="0"/>
            </w:pPr>
          </w:p>
        </w:tc>
      </w:tr>
    </w:tbl>
    <w:p w:rsidR="007C213F" w:rsidRDefault="007C213F" w:rsidP="007C213F">
      <w:pPr>
        <w:pStyle w:val="Body"/>
      </w:pPr>
    </w:p>
    <w:p w:rsidR="007C213F" w:rsidRDefault="007C213F" w:rsidP="007C213F"/>
    <w:p w:rsidR="007C213F" w:rsidRDefault="007C213F" w:rsidP="007C213F">
      <w:pPr>
        <w:pStyle w:val="Heading2"/>
      </w:pPr>
      <w:bookmarkStart w:id="3" w:name="_Toc292704907"/>
      <w:r>
        <w:lastRenderedPageBreak/>
        <w:t>Service Description</w:t>
      </w:r>
      <w:bookmarkEnd w:id="3"/>
    </w:p>
    <w:p w:rsidR="007C213F" w:rsidRDefault="007C213F" w:rsidP="002C0B2D">
      <w:pPr>
        <w:pStyle w:val="Body"/>
        <w:ind w:left="720"/>
      </w:pPr>
      <w:r>
        <w:t xml:space="preserve">The </w:t>
      </w:r>
      <w:r w:rsidR="00A42B98">
        <w:fldChar w:fldCharType="begin"/>
      </w:r>
      <w:r w:rsidR="00A42B98">
        <w:instrText xml:space="preserve"> DOCPROPERTY "Company" \* MERGEFORMAT </w:instrText>
      </w:r>
      <w:r w:rsidR="00A42B98">
        <w:fldChar w:fldCharType="separate"/>
      </w:r>
      <w:r>
        <w:t>Cal/EPA</w:t>
      </w:r>
      <w:r w:rsidR="00A42B98">
        <w:fldChar w:fldCharType="end"/>
      </w:r>
      <w:r>
        <w:t xml:space="preserve"> requires that </w:t>
      </w:r>
      <w:proofErr w:type="spellStart"/>
      <w:r>
        <w:t>Natoma</w:t>
      </w:r>
      <w:proofErr w:type="spellEnd"/>
      <w:r>
        <w:t xml:space="preserve"> Technologies enhance Accela CUPA software by adding features, data elements, configuration, and processes such that California CUPAs may use Accela CUPA software to exchange certain data electronically with CERS.</w:t>
      </w:r>
    </w:p>
    <w:p w:rsidR="007C213F" w:rsidRDefault="007C213F" w:rsidP="002C0B2D">
      <w:pPr>
        <w:pStyle w:val="Body"/>
        <w:ind w:left="720"/>
      </w:pPr>
      <w:r>
        <w:t>At a high level, the project includes the following components:</w:t>
      </w:r>
    </w:p>
    <w:p w:rsidR="007C213F" w:rsidRDefault="007C213F" w:rsidP="002C0B2D">
      <w:pPr>
        <w:pStyle w:val="Body"/>
        <w:numPr>
          <w:ilvl w:val="0"/>
          <w:numId w:val="2"/>
        </w:numPr>
        <w:ind w:left="1440"/>
      </w:pPr>
      <w:r>
        <w:t xml:space="preserve">Modify Accela CUPA software database fields to match the current </w:t>
      </w:r>
      <w:r w:rsidRPr="00E379BE">
        <w:t>Unified Program Data Dictionary</w:t>
      </w:r>
      <w:r>
        <w:t xml:space="preserve">. </w:t>
      </w:r>
    </w:p>
    <w:p w:rsidR="007C213F" w:rsidRDefault="007C213F" w:rsidP="002C0B2D">
      <w:pPr>
        <w:pStyle w:val="Body"/>
        <w:numPr>
          <w:ilvl w:val="0"/>
          <w:numId w:val="2"/>
        </w:numPr>
        <w:ind w:left="1440"/>
      </w:pPr>
      <w:r>
        <w:t xml:space="preserve">Modify Accela CUPA software support code values to establish and enforce valid values described by the </w:t>
      </w:r>
      <w:r w:rsidRPr="00E379BE">
        <w:t>Unified Program Data Dictionary</w:t>
      </w:r>
      <w:r>
        <w:t xml:space="preserve"> v3.10.</w:t>
      </w:r>
    </w:p>
    <w:p w:rsidR="007C213F" w:rsidRDefault="007C213F" w:rsidP="002C0B2D">
      <w:pPr>
        <w:pStyle w:val="Body"/>
        <w:numPr>
          <w:ilvl w:val="0"/>
          <w:numId w:val="2"/>
        </w:numPr>
        <w:ind w:left="1440"/>
      </w:pPr>
      <w:r>
        <w:t>Modify Accela CUPA software to capture configuration and account information required to securely consume web services published by CERS.</w:t>
      </w:r>
    </w:p>
    <w:p w:rsidR="007C213F" w:rsidRDefault="007C213F" w:rsidP="002C0B2D">
      <w:pPr>
        <w:pStyle w:val="Body"/>
        <w:numPr>
          <w:ilvl w:val="0"/>
          <w:numId w:val="2"/>
        </w:numPr>
        <w:ind w:left="1440"/>
      </w:pPr>
      <w:r>
        <w:t>Modify Accela CUPA software to make a secure connection using public networks, authenticate using stored credentials, and consume web services published by CERS.</w:t>
      </w:r>
    </w:p>
    <w:p w:rsidR="007C213F" w:rsidRDefault="007C213F" w:rsidP="002C0B2D">
      <w:pPr>
        <w:pStyle w:val="Body"/>
        <w:numPr>
          <w:ilvl w:val="0"/>
          <w:numId w:val="2"/>
        </w:numPr>
        <w:ind w:left="1440"/>
      </w:pPr>
      <w:bookmarkStart w:id="4" w:name="_GoBack"/>
      <w:r>
        <w:t>Modify Accela CUPA software to log CERS transactions (successful and failed).</w:t>
      </w:r>
    </w:p>
    <w:bookmarkEnd w:id="4"/>
    <w:p w:rsidR="007C213F" w:rsidRDefault="007C213F" w:rsidP="002C0B2D">
      <w:pPr>
        <w:pStyle w:val="Body"/>
        <w:numPr>
          <w:ilvl w:val="0"/>
          <w:numId w:val="2"/>
        </w:numPr>
        <w:ind w:left="1440"/>
      </w:pPr>
      <w:r>
        <w:t>Modify Accela CUPA software to track pending (e.g., dirty) records to be exchanged with CERS.</w:t>
      </w:r>
    </w:p>
    <w:p w:rsidR="007C213F" w:rsidRDefault="007C213F" w:rsidP="002C0B2D">
      <w:pPr>
        <w:pStyle w:val="Body"/>
        <w:numPr>
          <w:ilvl w:val="0"/>
          <w:numId w:val="2"/>
        </w:numPr>
        <w:ind w:left="1440"/>
      </w:pPr>
      <w:r>
        <w:t>Consume CERS web services in order to:</w:t>
      </w:r>
    </w:p>
    <w:p w:rsidR="007C213F" w:rsidRDefault="007C213F" w:rsidP="002C0B2D">
      <w:pPr>
        <w:pStyle w:val="Body"/>
        <w:numPr>
          <w:ilvl w:val="1"/>
          <w:numId w:val="2"/>
        </w:numPr>
        <w:ind w:left="2160"/>
      </w:pPr>
      <w:r>
        <w:t>Receive pending CERS submission(s).</w:t>
      </w:r>
    </w:p>
    <w:p w:rsidR="007C213F" w:rsidRDefault="007C213F" w:rsidP="002C0B2D">
      <w:pPr>
        <w:pStyle w:val="Body"/>
        <w:numPr>
          <w:ilvl w:val="1"/>
          <w:numId w:val="2"/>
        </w:numPr>
        <w:ind w:left="2160"/>
      </w:pPr>
      <w:r>
        <w:t>Receive approved CERS submission(s).</w:t>
      </w:r>
    </w:p>
    <w:p w:rsidR="007C213F" w:rsidRDefault="007C213F" w:rsidP="002C0B2D">
      <w:pPr>
        <w:pStyle w:val="Body"/>
        <w:numPr>
          <w:ilvl w:val="1"/>
          <w:numId w:val="2"/>
        </w:numPr>
        <w:ind w:left="2160"/>
      </w:pPr>
      <w:r>
        <w:t>Receive specific CERS submission(s).</w:t>
      </w:r>
    </w:p>
    <w:p w:rsidR="007C213F" w:rsidRDefault="007C213F" w:rsidP="002C0B2D">
      <w:pPr>
        <w:pStyle w:val="Body"/>
        <w:numPr>
          <w:ilvl w:val="1"/>
          <w:numId w:val="2"/>
        </w:numPr>
        <w:ind w:left="2160"/>
      </w:pPr>
      <w:r>
        <w:t>Approve/reject CERS submission(s).</w:t>
      </w:r>
    </w:p>
    <w:p w:rsidR="007C213F" w:rsidRDefault="007C213F" w:rsidP="002C0B2D">
      <w:pPr>
        <w:pStyle w:val="Body"/>
        <w:numPr>
          <w:ilvl w:val="1"/>
          <w:numId w:val="2"/>
        </w:numPr>
        <w:ind w:left="2160"/>
      </w:pPr>
      <w:r>
        <w:t>Submit approved submissions.</w:t>
      </w:r>
    </w:p>
    <w:p w:rsidR="007C213F" w:rsidRDefault="007C213F" w:rsidP="002C0B2D">
      <w:pPr>
        <w:pStyle w:val="Body"/>
        <w:numPr>
          <w:ilvl w:val="1"/>
          <w:numId w:val="2"/>
        </w:numPr>
        <w:ind w:left="2160"/>
      </w:pPr>
      <w:r>
        <w:t>Submit inspection details, violation details, and enforcement events.</w:t>
      </w:r>
    </w:p>
    <w:p w:rsidR="007C213F" w:rsidRDefault="007C213F" w:rsidP="002C0B2D">
      <w:pPr>
        <w:pStyle w:val="Body"/>
        <w:numPr>
          <w:ilvl w:val="1"/>
          <w:numId w:val="2"/>
        </w:numPr>
        <w:ind w:left="2160"/>
      </w:pPr>
      <w:r>
        <w:t>Update inspection details, violation details, and enforcement events.</w:t>
      </w:r>
    </w:p>
    <w:p w:rsidR="007C213F" w:rsidRDefault="007C213F" w:rsidP="002C0B2D">
      <w:pPr>
        <w:pStyle w:val="Body"/>
        <w:numPr>
          <w:ilvl w:val="1"/>
          <w:numId w:val="2"/>
        </w:numPr>
        <w:ind w:left="2160"/>
      </w:pPr>
      <w:r>
        <w:t>Receive inspection details, violation details, and enforcement events.</w:t>
      </w:r>
    </w:p>
    <w:p w:rsidR="007C213F" w:rsidRDefault="007C213F" w:rsidP="002C0B2D">
      <w:pPr>
        <w:pStyle w:val="Body"/>
        <w:numPr>
          <w:ilvl w:val="1"/>
          <w:numId w:val="2"/>
        </w:numPr>
        <w:ind w:left="2160"/>
      </w:pPr>
      <w:r>
        <w:t>Approve/reject CERS access requests.</w:t>
      </w:r>
    </w:p>
    <w:p w:rsidR="007C213F" w:rsidRDefault="007C213F" w:rsidP="002C0B2D">
      <w:pPr>
        <w:pStyle w:val="Body"/>
        <w:numPr>
          <w:ilvl w:val="1"/>
          <w:numId w:val="2"/>
        </w:numPr>
        <w:ind w:left="2160"/>
      </w:pPr>
      <w:r>
        <w:t xml:space="preserve">Request/receive a particular document (uploaded document) </w:t>
      </w:r>
    </w:p>
    <w:p w:rsidR="007C213F" w:rsidRDefault="007C213F" w:rsidP="002C0B2D">
      <w:pPr>
        <w:pStyle w:val="Body"/>
        <w:numPr>
          <w:ilvl w:val="0"/>
          <w:numId w:val="2"/>
        </w:numPr>
        <w:ind w:left="1440"/>
      </w:pPr>
      <w:r>
        <w:t>Create XML document containing Inspection/Enforcement events</w:t>
      </w:r>
    </w:p>
    <w:p w:rsidR="007C213F" w:rsidRDefault="007C213F" w:rsidP="002C0B2D">
      <w:pPr>
        <w:pStyle w:val="Body"/>
        <w:numPr>
          <w:ilvl w:val="0"/>
          <w:numId w:val="2"/>
        </w:numPr>
        <w:ind w:left="1440"/>
      </w:pPr>
      <w:r>
        <w:t>Load, validate, and import XML document or flat file containing Inspection/Enforcement Events (from PAs)</w:t>
      </w:r>
    </w:p>
    <w:p w:rsidR="007C213F" w:rsidRDefault="007C213F" w:rsidP="002C0B2D">
      <w:pPr>
        <w:pStyle w:val="Body"/>
        <w:numPr>
          <w:ilvl w:val="0"/>
          <w:numId w:val="2"/>
        </w:numPr>
        <w:ind w:left="1440"/>
      </w:pPr>
      <w:r>
        <w:t>Create and validate file (format to be defined) to seed CERS.</w:t>
      </w:r>
    </w:p>
    <w:p w:rsidR="007C213F" w:rsidRDefault="007C213F" w:rsidP="002C0B2D">
      <w:pPr>
        <w:pStyle w:val="Body"/>
        <w:numPr>
          <w:ilvl w:val="0"/>
          <w:numId w:val="2"/>
        </w:numPr>
        <w:ind w:left="1440"/>
      </w:pPr>
      <w:r>
        <w:t>Establish and cross-link violations according to prescribed numbering system.</w:t>
      </w:r>
    </w:p>
    <w:p w:rsidR="007C213F" w:rsidRDefault="007C213F" w:rsidP="002C0B2D">
      <w:pPr>
        <w:pStyle w:val="Body"/>
        <w:numPr>
          <w:ilvl w:val="0"/>
          <w:numId w:val="2"/>
        </w:numPr>
        <w:ind w:left="1440"/>
      </w:pPr>
      <w:r>
        <w:t>Modify Accela CUPA software to adhere to published XSD, enforcing published data standards, required fields, etc.</w:t>
      </w:r>
      <w:bookmarkStart w:id="5" w:name="_Toc292704911"/>
    </w:p>
    <w:p w:rsidR="002C0B2D" w:rsidRDefault="002C0B2D" w:rsidP="002C0B2D">
      <w:pPr>
        <w:pStyle w:val="Body"/>
        <w:ind w:left="0"/>
      </w:pPr>
    </w:p>
    <w:p w:rsidR="007C213F" w:rsidRDefault="007C213F" w:rsidP="007C213F">
      <w:pPr>
        <w:pStyle w:val="Heading2"/>
      </w:pPr>
      <w:r>
        <w:lastRenderedPageBreak/>
        <w:t>Involved Parties</w:t>
      </w:r>
      <w:bookmarkEnd w:id="5"/>
    </w:p>
    <w:p w:rsidR="007C213F" w:rsidRDefault="007C213F" w:rsidP="007C213F">
      <w:pPr>
        <w:pStyle w:val="Body"/>
      </w:pPr>
      <w:r>
        <w:t xml:space="preserve">The following involved parties will serve as contacts between the Client and </w:t>
      </w:r>
      <w:proofErr w:type="spellStart"/>
      <w:r>
        <w:t>Natoma</w:t>
      </w:r>
      <w:proofErr w:type="spellEnd"/>
      <w:r>
        <w:t xml:space="preserve"> Technologies.</w:t>
      </w:r>
    </w:p>
    <w:p w:rsidR="007C213F" w:rsidRDefault="00A42B98" w:rsidP="007C213F">
      <w:pPr>
        <w:pStyle w:val="Heading3"/>
      </w:pPr>
      <w:r>
        <w:fldChar w:fldCharType="begin"/>
      </w:r>
      <w:r>
        <w:instrText xml:space="preserve"> DOCPROPERTY "Company" \* MERGEFORMAT </w:instrText>
      </w:r>
      <w:r>
        <w:fldChar w:fldCharType="separate"/>
      </w:r>
      <w:bookmarkStart w:id="6" w:name="_Toc292704912"/>
      <w:r w:rsidR="007C213F">
        <w:t>Cal/EPA</w:t>
      </w:r>
      <w:bookmarkEnd w:id="6"/>
      <w:r>
        <w:fldChar w:fldCharType="end"/>
      </w:r>
    </w:p>
    <w:tbl>
      <w:tblPr>
        <w:tblW w:w="0" w:type="auto"/>
        <w:tblInd w:w="1440" w:type="dxa"/>
        <w:tblLayout w:type="fixed"/>
        <w:tblLook w:val="0000" w:firstRow="0" w:lastRow="0" w:firstColumn="0" w:lastColumn="0" w:noHBand="0" w:noVBand="0"/>
      </w:tblPr>
      <w:tblGrid>
        <w:gridCol w:w="918"/>
        <w:gridCol w:w="7200"/>
      </w:tblGrid>
      <w:tr w:rsidR="007C213F" w:rsidTr="0086340F">
        <w:trPr>
          <w:cantSplit/>
          <w:trHeight w:val="1260"/>
        </w:trPr>
        <w:tc>
          <w:tcPr>
            <w:tcW w:w="8118" w:type="dxa"/>
            <w:gridSpan w:val="2"/>
            <w:tcBorders>
              <w:bottom w:val="nil"/>
            </w:tcBorders>
          </w:tcPr>
          <w:p w:rsidR="007C213F" w:rsidRDefault="007C213F" w:rsidP="0086340F">
            <w:r>
              <w:t xml:space="preserve">Jim </w:t>
            </w:r>
            <w:proofErr w:type="spellStart"/>
            <w:r>
              <w:t>Bohon</w:t>
            </w:r>
            <w:proofErr w:type="spellEnd"/>
            <w:r>
              <w:t>, Manager</w:t>
            </w:r>
          </w:p>
          <w:p w:rsidR="007C213F" w:rsidRDefault="007C213F" w:rsidP="0086340F">
            <w:r>
              <w:t xml:space="preserve">Cal/EPA </w:t>
            </w:r>
            <w:r w:rsidRPr="0096738E">
              <w:t xml:space="preserve">Unified Program </w:t>
            </w:r>
          </w:p>
          <w:p w:rsidR="007C213F" w:rsidRDefault="007C213F" w:rsidP="0086340F">
            <w:r w:rsidRPr="0096738E">
              <w:t>1001 "I" Street, P.O. Box 2815</w:t>
            </w:r>
          </w:p>
          <w:p w:rsidR="007C213F" w:rsidRDefault="007C213F" w:rsidP="0086340F">
            <w:r w:rsidRPr="0096738E">
              <w:t>Sacramento, CA 95812</w:t>
            </w:r>
          </w:p>
        </w:tc>
      </w:tr>
      <w:tr w:rsidR="007C213F" w:rsidTr="0086340F">
        <w:tc>
          <w:tcPr>
            <w:tcW w:w="918" w:type="dxa"/>
          </w:tcPr>
          <w:p w:rsidR="007C213F" w:rsidRDefault="007C213F" w:rsidP="0086340F"/>
        </w:tc>
        <w:tc>
          <w:tcPr>
            <w:tcW w:w="7200" w:type="dxa"/>
          </w:tcPr>
          <w:p w:rsidR="007C213F" w:rsidRDefault="007C213F" w:rsidP="0086340F"/>
        </w:tc>
      </w:tr>
      <w:tr w:rsidR="007C213F" w:rsidTr="0086340F">
        <w:tc>
          <w:tcPr>
            <w:tcW w:w="918" w:type="dxa"/>
          </w:tcPr>
          <w:p w:rsidR="007C213F" w:rsidRDefault="007C213F" w:rsidP="0086340F">
            <w:pPr>
              <w:pStyle w:val="FootnoteText"/>
            </w:pPr>
            <w:r>
              <w:t>Phone:</w:t>
            </w:r>
          </w:p>
        </w:tc>
        <w:tc>
          <w:tcPr>
            <w:tcW w:w="7200" w:type="dxa"/>
          </w:tcPr>
          <w:p w:rsidR="007C213F" w:rsidRDefault="007C213F" w:rsidP="0086340F">
            <w:r w:rsidRPr="0096738E">
              <w:t>(916) 327-5097</w:t>
            </w:r>
          </w:p>
        </w:tc>
      </w:tr>
      <w:tr w:rsidR="007C213F" w:rsidTr="0086340F">
        <w:tc>
          <w:tcPr>
            <w:tcW w:w="918" w:type="dxa"/>
          </w:tcPr>
          <w:p w:rsidR="007C213F" w:rsidRDefault="007C213F" w:rsidP="0086340F">
            <w:r>
              <w:t>E-mail:</w:t>
            </w:r>
          </w:p>
        </w:tc>
        <w:tc>
          <w:tcPr>
            <w:tcW w:w="7200" w:type="dxa"/>
          </w:tcPr>
          <w:p w:rsidR="007C213F" w:rsidRDefault="00A42B98" w:rsidP="0086340F">
            <w:hyperlink r:id="rId9" w:history="1">
              <w:r w:rsidR="007C213F" w:rsidRPr="005B44AE">
                <w:rPr>
                  <w:rStyle w:val="Hyperlink"/>
                </w:rPr>
                <w:t>jbohon@calepa.ca.gov</w:t>
              </w:r>
            </w:hyperlink>
          </w:p>
        </w:tc>
      </w:tr>
    </w:tbl>
    <w:p w:rsidR="007C213F" w:rsidRDefault="007C213F" w:rsidP="007C213F">
      <w:pPr>
        <w:pStyle w:val="Body"/>
      </w:pPr>
    </w:p>
    <w:p w:rsidR="007C213F" w:rsidRDefault="007C213F" w:rsidP="007C213F">
      <w:pPr>
        <w:pStyle w:val="Heading3"/>
      </w:pPr>
      <w:proofErr w:type="spellStart"/>
      <w:r>
        <w:t>Natoma</w:t>
      </w:r>
      <w:proofErr w:type="spellEnd"/>
      <w:r>
        <w:t xml:space="preserve"> Technologies</w:t>
      </w:r>
    </w:p>
    <w:tbl>
      <w:tblPr>
        <w:tblW w:w="0" w:type="auto"/>
        <w:tblInd w:w="1440" w:type="dxa"/>
        <w:tblLayout w:type="fixed"/>
        <w:tblLook w:val="0000" w:firstRow="0" w:lastRow="0" w:firstColumn="0" w:lastColumn="0" w:noHBand="0" w:noVBand="0"/>
      </w:tblPr>
      <w:tblGrid>
        <w:gridCol w:w="918"/>
        <w:gridCol w:w="7200"/>
      </w:tblGrid>
      <w:tr w:rsidR="007C213F" w:rsidTr="0086340F">
        <w:trPr>
          <w:cantSplit/>
          <w:trHeight w:val="1260"/>
        </w:trPr>
        <w:tc>
          <w:tcPr>
            <w:tcW w:w="8118" w:type="dxa"/>
            <w:gridSpan w:val="2"/>
            <w:tcBorders>
              <w:bottom w:val="nil"/>
            </w:tcBorders>
          </w:tcPr>
          <w:p w:rsidR="007C213F" w:rsidRDefault="007C213F" w:rsidP="0086340F"/>
        </w:tc>
      </w:tr>
      <w:tr w:rsidR="007C213F" w:rsidTr="0086340F">
        <w:tc>
          <w:tcPr>
            <w:tcW w:w="918" w:type="dxa"/>
          </w:tcPr>
          <w:p w:rsidR="007C213F" w:rsidRDefault="007C213F" w:rsidP="0086340F"/>
        </w:tc>
        <w:tc>
          <w:tcPr>
            <w:tcW w:w="7200" w:type="dxa"/>
          </w:tcPr>
          <w:p w:rsidR="007C213F" w:rsidRDefault="007C213F" w:rsidP="0086340F"/>
        </w:tc>
      </w:tr>
      <w:tr w:rsidR="007C213F" w:rsidTr="0086340F">
        <w:tc>
          <w:tcPr>
            <w:tcW w:w="918" w:type="dxa"/>
          </w:tcPr>
          <w:p w:rsidR="007C213F" w:rsidRDefault="007C213F" w:rsidP="0086340F">
            <w:pPr>
              <w:pStyle w:val="FootnoteText"/>
            </w:pPr>
            <w:r>
              <w:t>Phone:</w:t>
            </w:r>
          </w:p>
        </w:tc>
        <w:tc>
          <w:tcPr>
            <w:tcW w:w="7200" w:type="dxa"/>
          </w:tcPr>
          <w:p w:rsidR="007C213F" w:rsidRDefault="007C213F" w:rsidP="0086340F"/>
        </w:tc>
      </w:tr>
      <w:tr w:rsidR="007C213F" w:rsidTr="0086340F">
        <w:tc>
          <w:tcPr>
            <w:tcW w:w="918" w:type="dxa"/>
          </w:tcPr>
          <w:p w:rsidR="007C213F" w:rsidRDefault="007C213F" w:rsidP="0086340F">
            <w:r>
              <w:t>Fax:</w:t>
            </w:r>
          </w:p>
        </w:tc>
        <w:tc>
          <w:tcPr>
            <w:tcW w:w="7200" w:type="dxa"/>
          </w:tcPr>
          <w:p w:rsidR="007C213F" w:rsidRDefault="007C213F" w:rsidP="0086340F"/>
        </w:tc>
      </w:tr>
      <w:tr w:rsidR="007C213F" w:rsidTr="0086340F">
        <w:tc>
          <w:tcPr>
            <w:tcW w:w="918" w:type="dxa"/>
          </w:tcPr>
          <w:p w:rsidR="007C213F" w:rsidRDefault="007C213F" w:rsidP="0086340F">
            <w:r>
              <w:t>E-mail:</w:t>
            </w:r>
          </w:p>
        </w:tc>
        <w:tc>
          <w:tcPr>
            <w:tcW w:w="7200" w:type="dxa"/>
          </w:tcPr>
          <w:p w:rsidR="007C213F" w:rsidRDefault="007C213F" w:rsidP="0086340F"/>
        </w:tc>
      </w:tr>
    </w:tbl>
    <w:p w:rsidR="007C213F" w:rsidRDefault="007C213F" w:rsidP="007C213F">
      <w:pPr>
        <w:pStyle w:val="Body"/>
      </w:pPr>
    </w:p>
    <w:p w:rsidR="007C213F" w:rsidRDefault="007C213F" w:rsidP="007C213F">
      <w:pPr>
        <w:pStyle w:val="InfoBlue"/>
      </w:pPr>
    </w:p>
    <w:p w:rsidR="007C213F" w:rsidRDefault="007C213F" w:rsidP="007C213F">
      <w:pPr>
        <w:pStyle w:val="Body"/>
      </w:pPr>
    </w:p>
    <w:p w:rsidR="007C213F" w:rsidRDefault="007C213F" w:rsidP="007C213F">
      <w:pPr>
        <w:pStyle w:val="Body"/>
      </w:pPr>
    </w:p>
    <w:p w:rsidR="007C213F" w:rsidRDefault="007C213F" w:rsidP="007C213F">
      <w:pPr>
        <w:pStyle w:val="Heading1"/>
      </w:pPr>
      <w:r>
        <w:br w:type="page"/>
      </w:r>
      <w:bookmarkStart w:id="7" w:name="_Ref39282539"/>
      <w:bookmarkStart w:id="8" w:name="_Ref39282565"/>
      <w:bookmarkStart w:id="9" w:name="_Toc292704914"/>
      <w:r>
        <w:lastRenderedPageBreak/>
        <w:t>Background Information</w:t>
      </w:r>
      <w:bookmarkEnd w:id="7"/>
      <w:bookmarkEnd w:id="8"/>
      <w:bookmarkEnd w:id="9"/>
    </w:p>
    <w:p w:rsidR="007C213F" w:rsidRDefault="007C213F" w:rsidP="007C213F">
      <w:pPr>
        <w:pStyle w:val="Heading2"/>
      </w:pPr>
      <w:bookmarkStart w:id="10" w:name="_Toc292704915"/>
      <w:r>
        <w:t>Business Needs Analysis</w:t>
      </w:r>
      <w:bookmarkEnd w:id="10"/>
    </w:p>
    <w:p w:rsidR="007C213F" w:rsidRDefault="007C213F" w:rsidP="007C213F">
      <w:pPr>
        <w:pStyle w:val="Body"/>
      </w:pPr>
    </w:p>
    <w:p w:rsidR="007C213F" w:rsidRDefault="007C213F" w:rsidP="007C213F">
      <w:pPr>
        <w:pStyle w:val="InfoBlue"/>
      </w:pPr>
      <w:r>
        <w:t xml:space="preserve">[Describe the customization request and how this customization will be used. Provide as much detail as possible so </w:t>
      </w:r>
      <w:proofErr w:type="spellStart"/>
      <w:r>
        <w:t>Natoma</w:t>
      </w:r>
      <w:proofErr w:type="spellEnd"/>
      <w:r>
        <w:t xml:space="preserve"> Technologies can have a better understanding of what is being requested, the scope analysis, and the impact on existing applications and workflows.]</w:t>
      </w:r>
    </w:p>
    <w:p w:rsidR="007C213F" w:rsidRDefault="007C213F" w:rsidP="007C213F">
      <w:pPr>
        <w:pStyle w:val="Heading2"/>
      </w:pPr>
      <w:bookmarkStart w:id="11" w:name="_Toc292704916"/>
      <w:r>
        <w:t>Date Required and Restrictions</w:t>
      </w:r>
      <w:bookmarkEnd w:id="11"/>
    </w:p>
    <w:p w:rsidR="007C213F" w:rsidRDefault="007C213F" w:rsidP="007C213F">
      <w:pPr>
        <w:pStyle w:val="Body"/>
      </w:pPr>
      <w:r>
        <w:t xml:space="preserve">Client requested completion date:  </w:t>
      </w:r>
      <w:bookmarkStart w:id="12" w:name="Date_Professional_Services_Required"/>
      <w:r>
        <w:rPr>
          <w:b/>
          <w:bCs/>
        </w:rPr>
        <w:t>[04/31/12]</w:t>
      </w:r>
      <w:bookmarkEnd w:id="12"/>
      <w:r>
        <w:rPr>
          <w:b/>
          <w:bCs/>
        </w:rPr>
        <w:t xml:space="preserve"> For Operational Testing</w:t>
      </w:r>
    </w:p>
    <w:p w:rsidR="007C213F" w:rsidRDefault="007C213F" w:rsidP="007C213F">
      <w:pPr>
        <w:pStyle w:val="Body"/>
      </w:pPr>
      <w:r>
        <w:t xml:space="preserve">This date is not the final date for the start or implementation of this project. This date represents the preliminary date that is currently available based on current obligations by </w:t>
      </w:r>
      <w:proofErr w:type="spellStart"/>
      <w:r>
        <w:t>Natoma</w:t>
      </w:r>
      <w:proofErr w:type="spellEnd"/>
      <w:r>
        <w:t xml:space="preserve"> Technologies resources; other contractual obligations may change this date. No date can be considered finalized until a contract is in place upon acceptance of a Pricing Proposal to be submitted to you for acceptance after receipt of the Scope Approval sign-off in this document.</w:t>
      </w:r>
    </w:p>
    <w:p w:rsidR="007C213F" w:rsidRDefault="007C213F" w:rsidP="007C213F">
      <w:pPr>
        <w:pStyle w:val="Body"/>
      </w:pPr>
      <w:r>
        <w:t>This customization has the following regulatory requirements or restrictions:</w:t>
      </w:r>
    </w:p>
    <w:p w:rsidR="007C213F" w:rsidRDefault="007C213F" w:rsidP="007C213F">
      <w:pPr>
        <w:pStyle w:val="Heading2"/>
      </w:pPr>
      <w:bookmarkStart w:id="13" w:name="_Toc292704917"/>
      <w:r>
        <w:t>Additional Supporting Information</w:t>
      </w:r>
      <w:bookmarkEnd w:id="13"/>
    </w:p>
    <w:p w:rsidR="007C213F" w:rsidRDefault="007C213F" w:rsidP="007C213F">
      <w:pPr>
        <w:pStyle w:val="Body"/>
      </w:pPr>
    </w:p>
    <w:p w:rsidR="007C213F" w:rsidRDefault="007C213F" w:rsidP="007C213F">
      <w:pPr>
        <w:pStyle w:val="InfoBlue"/>
      </w:pPr>
      <w:r>
        <w:t>[Enter additional information that will be helpful in further explaining the customization request.]</w:t>
      </w:r>
    </w:p>
    <w:p w:rsidR="00224630" w:rsidRDefault="007C213F" w:rsidP="007C213F">
      <w:r>
        <w:t>[Enter “None - No additional information.” if this is true.]</w:t>
      </w:r>
    </w:p>
    <w:sectPr w:rsidR="00224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8328F"/>
    <w:multiLevelType w:val="hybridMultilevel"/>
    <w:tmpl w:val="C2CCACA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69911FC2"/>
    <w:multiLevelType w:val="multilevel"/>
    <w:tmpl w:val="DB4A5302"/>
    <w:name w:val="number"/>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start w:val="1"/>
      <w:numFmt w:val="decimal"/>
      <w:pStyle w:val="Heading4"/>
      <w:lvlText w:val="%1.%2.%3.%4."/>
      <w:lvlJc w:val="left"/>
      <w:pPr>
        <w:tabs>
          <w:tab w:val="num" w:pos="1800"/>
        </w:tabs>
        <w:ind w:left="0" w:firstLine="0"/>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13F"/>
    <w:rsid w:val="00224630"/>
    <w:rsid w:val="002C0B2D"/>
    <w:rsid w:val="007C213F"/>
    <w:rsid w:val="007D2D5E"/>
    <w:rsid w:val="00A42B98"/>
    <w:rsid w:val="00B94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13F"/>
    <w:pPr>
      <w:spacing w:after="0" w:line="240" w:lineRule="auto"/>
    </w:pPr>
    <w:rPr>
      <w:rFonts w:ascii="Times New Roman" w:eastAsia="Times New Roman" w:hAnsi="Times New Roman" w:cs="Times New Roman"/>
      <w:szCs w:val="20"/>
    </w:rPr>
  </w:style>
  <w:style w:type="paragraph" w:styleId="Heading1">
    <w:name w:val="heading 1"/>
    <w:next w:val="Body"/>
    <w:link w:val="Heading1Char"/>
    <w:qFormat/>
    <w:rsid w:val="007C213F"/>
    <w:pPr>
      <w:keepNext/>
      <w:numPr>
        <w:numId w:val="1"/>
      </w:numPr>
      <w:suppressAutoHyphens/>
      <w:spacing w:before="180" w:after="180" w:line="240" w:lineRule="auto"/>
      <w:ind w:left="720" w:hanging="720"/>
      <w:outlineLvl w:val="0"/>
    </w:pPr>
    <w:rPr>
      <w:rFonts w:ascii="Arial" w:eastAsia="Times New Roman" w:hAnsi="Arial" w:cs="Arial"/>
      <w:b/>
      <w:kern w:val="28"/>
      <w:sz w:val="48"/>
      <w:szCs w:val="20"/>
    </w:rPr>
  </w:style>
  <w:style w:type="paragraph" w:styleId="Heading2">
    <w:name w:val="heading 2"/>
    <w:next w:val="Body"/>
    <w:link w:val="Heading2Char"/>
    <w:qFormat/>
    <w:rsid w:val="007C213F"/>
    <w:pPr>
      <w:keepNext/>
      <w:numPr>
        <w:ilvl w:val="1"/>
        <w:numId w:val="1"/>
      </w:numPr>
      <w:suppressAutoHyphens/>
      <w:spacing w:before="120" w:after="120" w:line="240" w:lineRule="auto"/>
      <w:outlineLvl w:val="1"/>
    </w:pPr>
    <w:rPr>
      <w:rFonts w:ascii="Arial" w:eastAsia="Times New Roman" w:hAnsi="Arial" w:cs="Arial"/>
      <w:b/>
      <w:sz w:val="36"/>
      <w:szCs w:val="20"/>
    </w:rPr>
  </w:style>
  <w:style w:type="paragraph" w:styleId="Heading3">
    <w:name w:val="heading 3"/>
    <w:next w:val="Body"/>
    <w:link w:val="Heading3Char"/>
    <w:qFormat/>
    <w:rsid w:val="007C213F"/>
    <w:pPr>
      <w:keepNext/>
      <w:numPr>
        <w:ilvl w:val="2"/>
        <w:numId w:val="1"/>
      </w:numPr>
      <w:suppressAutoHyphens/>
      <w:spacing w:before="100" w:after="100" w:line="240" w:lineRule="auto"/>
      <w:outlineLvl w:val="2"/>
    </w:pPr>
    <w:rPr>
      <w:rFonts w:ascii="Arial" w:eastAsia="Times New Roman" w:hAnsi="Arial" w:cs="Arial"/>
      <w:b/>
      <w:sz w:val="32"/>
      <w:szCs w:val="20"/>
    </w:rPr>
  </w:style>
  <w:style w:type="paragraph" w:styleId="Heading4">
    <w:name w:val="heading 4"/>
    <w:next w:val="Body"/>
    <w:link w:val="Heading4Char"/>
    <w:qFormat/>
    <w:rsid w:val="007C213F"/>
    <w:pPr>
      <w:keepNext/>
      <w:numPr>
        <w:ilvl w:val="3"/>
        <w:numId w:val="1"/>
      </w:numPr>
      <w:suppressAutoHyphens/>
      <w:spacing w:before="60" w:after="60" w:line="240" w:lineRule="auto"/>
      <w:outlineLvl w:val="3"/>
    </w:pPr>
    <w:rPr>
      <w:rFonts w:ascii="Arial" w:eastAsia="Times New Roman" w:hAnsi="Arial" w:cs="Arial"/>
      <w:b/>
      <w:noProo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213F"/>
    <w:rPr>
      <w:rFonts w:ascii="Arial" w:eastAsia="Times New Roman" w:hAnsi="Arial" w:cs="Arial"/>
      <w:b/>
      <w:kern w:val="28"/>
      <w:sz w:val="48"/>
      <w:szCs w:val="20"/>
    </w:rPr>
  </w:style>
  <w:style w:type="character" w:customStyle="1" w:styleId="Heading2Char">
    <w:name w:val="Heading 2 Char"/>
    <w:basedOn w:val="DefaultParagraphFont"/>
    <w:link w:val="Heading2"/>
    <w:rsid w:val="007C213F"/>
    <w:rPr>
      <w:rFonts w:ascii="Arial" w:eastAsia="Times New Roman" w:hAnsi="Arial" w:cs="Arial"/>
      <w:b/>
      <w:sz w:val="36"/>
      <w:szCs w:val="20"/>
    </w:rPr>
  </w:style>
  <w:style w:type="character" w:customStyle="1" w:styleId="Heading3Char">
    <w:name w:val="Heading 3 Char"/>
    <w:basedOn w:val="DefaultParagraphFont"/>
    <w:link w:val="Heading3"/>
    <w:rsid w:val="007C213F"/>
    <w:rPr>
      <w:rFonts w:ascii="Arial" w:eastAsia="Times New Roman" w:hAnsi="Arial" w:cs="Arial"/>
      <w:b/>
      <w:sz w:val="32"/>
      <w:szCs w:val="20"/>
    </w:rPr>
  </w:style>
  <w:style w:type="character" w:customStyle="1" w:styleId="Heading4Char">
    <w:name w:val="Heading 4 Char"/>
    <w:basedOn w:val="DefaultParagraphFont"/>
    <w:link w:val="Heading4"/>
    <w:rsid w:val="007C213F"/>
    <w:rPr>
      <w:rFonts w:ascii="Arial" w:eastAsia="Times New Roman" w:hAnsi="Arial" w:cs="Arial"/>
      <w:b/>
      <w:noProof/>
      <w:sz w:val="28"/>
      <w:szCs w:val="20"/>
    </w:rPr>
  </w:style>
  <w:style w:type="paragraph" w:customStyle="1" w:styleId="Body">
    <w:name w:val="Body"/>
    <w:rsid w:val="007C213F"/>
    <w:pPr>
      <w:spacing w:after="120" w:line="240" w:lineRule="auto"/>
      <w:ind w:left="1440"/>
    </w:pPr>
    <w:rPr>
      <w:rFonts w:ascii="Times New Roman" w:eastAsia="Times New Roman" w:hAnsi="Times New Roman" w:cs="Times New Roman"/>
      <w:szCs w:val="20"/>
    </w:rPr>
  </w:style>
  <w:style w:type="paragraph" w:styleId="FootnoteText">
    <w:name w:val="footnote text"/>
    <w:basedOn w:val="Normal"/>
    <w:link w:val="FootnoteTextChar"/>
    <w:semiHidden/>
    <w:rsid w:val="007C213F"/>
  </w:style>
  <w:style w:type="character" w:customStyle="1" w:styleId="FootnoteTextChar">
    <w:name w:val="Footnote Text Char"/>
    <w:basedOn w:val="DefaultParagraphFont"/>
    <w:link w:val="FootnoteText"/>
    <w:semiHidden/>
    <w:rsid w:val="007C213F"/>
    <w:rPr>
      <w:rFonts w:ascii="Times New Roman" w:eastAsia="Times New Roman" w:hAnsi="Times New Roman" w:cs="Times New Roman"/>
      <w:szCs w:val="20"/>
    </w:rPr>
  </w:style>
  <w:style w:type="character" w:styleId="Hyperlink">
    <w:name w:val="Hyperlink"/>
    <w:basedOn w:val="DefaultParagraphFont"/>
    <w:uiPriority w:val="99"/>
    <w:rsid w:val="007C213F"/>
    <w:rPr>
      <w:color w:val="0000FF"/>
      <w:u w:val="single"/>
    </w:rPr>
  </w:style>
  <w:style w:type="paragraph" w:customStyle="1" w:styleId="InfoBlue">
    <w:name w:val="InfoBlue"/>
    <w:basedOn w:val="Body"/>
    <w:next w:val="Body"/>
    <w:rsid w:val="007C213F"/>
    <w:rPr>
      <w:rFonts w:ascii="Arial" w:hAnsi="Arial"/>
      <w:i/>
      <w:color w:val="0000FF"/>
    </w:rPr>
  </w:style>
  <w:style w:type="character" w:customStyle="1" w:styleId="apple-style-span">
    <w:name w:val="apple-style-span"/>
    <w:basedOn w:val="DefaultParagraphFont"/>
    <w:rsid w:val="007C213F"/>
  </w:style>
  <w:style w:type="character" w:styleId="FollowedHyperlink">
    <w:name w:val="FollowedHyperlink"/>
    <w:basedOn w:val="DefaultParagraphFont"/>
    <w:uiPriority w:val="99"/>
    <w:semiHidden/>
    <w:unhideWhenUsed/>
    <w:rsid w:val="007D2D5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13F"/>
    <w:pPr>
      <w:spacing w:after="0" w:line="240" w:lineRule="auto"/>
    </w:pPr>
    <w:rPr>
      <w:rFonts w:ascii="Times New Roman" w:eastAsia="Times New Roman" w:hAnsi="Times New Roman" w:cs="Times New Roman"/>
      <w:szCs w:val="20"/>
    </w:rPr>
  </w:style>
  <w:style w:type="paragraph" w:styleId="Heading1">
    <w:name w:val="heading 1"/>
    <w:next w:val="Body"/>
    <w:link w:val="Heading1Char"/>
    <w:qFormat/>
    <w:rsid w:val="007C213F"/>
    <w:pPr>
      <w:keepNext/>
      <w:numPr>
        <w:numId w:val="1"/>
      </w:numPr>
      <w:suppressAutoHyphens/>
      <w:spacing w:before="180" w:after="180" w:line="240" w:lineRule="auto"/>
      <w:ind w:left="720" w:hanging="720"/>
      <w:outlineLvl w:val="0"/>
    </w:pPr>
    <w:rPr>
      <w:rFonts w:ascii="Arial" w:eastAsia="Times New Roman" w:hAnsi="Arial" w:cs="Arial"/>
      <w:b/>
      <w:kern w:val="28"/>
      <w:sz w:val="48"/>
      <w:szCs w:val="20"/>
    </w:rPr>
  </w:style>
  <w:style w:type="paragraph" w:styleId="Heading2">
    <w:name w:val="heading 2"/>
    <w:next w:val="Body"/>
    <w:link w:val="Heading2Char"/>
    <w:qFormat/>
    <w:rsid w:val="007C213F"/>
    <w:pPr>
      <w:keepNext/>
      <w:numPr>
        <w:ilvl w:val="1"/>
        <w:numId w:val="1"/>
      </w:numPr>
      <w:suppressAutoHyphens/>
      <w:spacing w:before="120" w:after="120" w:line="240" w:lineRule="auto"/>
      <w:outlineLvl w:val="1"/>
    </w:pPr>
    <w:rPr>
      <w:rFonts w:ascii="Arial" w:eastAsia="Times New Roman" w:hAnsi="Arial" w:cs="Arial"/>
      <w:b/>
      <w:sz w:val="36"/>
      <w:szCs w:val="20"/>
    </w:rPr>
  </w:style>
  <w:style w:type="paragraph" w:styleId="Heading3">
    <w:name w:val="heading 3"/>
    <w:next w:val="Body"/>
    <w:link w:val="Heading3Char"/>
    <w:qFormat/>
    <w:rsid w:val="007C213F"/>
    <w:pPr>
      <w:keepNext/>
      <w:numPr>
        <w:ilvl w:val="2"/>
        <w:numId w:val="1"/>
      </w:numPr>
      <w:suppressAutoHyphens/>
      <w:spacing w:before="100" w:after="100" w:line="240" w:lineRule="auto"/>
      <w:outlineLvl w:val="2"/>
    </w:pPr>
    <w:rPr>
      <w:rFonts w:ascii="Arial" w:eastAsia="Times New Roman" w:hAnsi="Arial" w:cs="Arial"/>
      <w:b/>
      <w:sz w:val="32"/>
      <w:szCs w:val="20"/>
    </w:rPr>
  </w:style>
  <w:style w:type="paragraph" w:styleId="Heading4">
    <w:name w:val="heading 4"/>
    <w:next w:val="Body"/>
    <w:link w:val="Heading4Char"/>
    <w:qFormat/>
    <w:rsid w:val="007C213F"/>
    <w:pPr>
      <w:keepNext/>
      <w:numPr>
        <w:ilvl w:val="3"/>
        <w:numId w:val="1"/>
      </w:numPr>
      <w:suppressAutoHyphens/>
      <w:spacing w:before="60" w:after="60" w:line="240" w:lineRule="auto"/>
      <w:outlineLvl w:val="3"/>
    </w:pPr>
    <w:rPr>
      <w:rFonts w:ascii="Arial" w:eastAsia="Times New Roman" w:hAnsi="Arial" w:cs="Arial"/>
      <w:b/>
      <w:noProo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213F"/>
    <w:rPr>
      <w:rFonts w:ascii="Arial" w:eastAsia="Times New Roman" w:hAnsi="Arial" w:cs="Arial"/>
      <w:b/>
      <w:kern w:val="28"/>
      <w:sz w:val="48"/>
      <w:szCs w:val="20"/>
    </w:rPr>
  </w:style>
  <w:style w:type="character" w:customStyle="1" w:styleId="Heading2Char">
    <w:name w:val="Heading 2 Char"/>
    <w:basedOn w:val="DefaultParagraphFont"/>
    <w:link w:val="Heading2"/>
    <w:rsid w:val="007C213F"/>
    <w:rPr>
      <w:rFonts w:ascii="Arial" w:eastAsia="Times New Roman" w:hAnsi="Arial" w:cs="Arial"/>
      <w:b/>
      <w:sz w:val="36"/>
      <w:szCs w:val="20"/>
    </w:rPr>
  </w:style>
  <w:style w:type="character" w:customStyle="1" w:styleId="Heading3Char">
    <w:name w:val="Heading 3 Char"/>
    <w:basedOn w:val="DefaultParagraphFont"/>
    <w:link w:val="Heading3"/>
    <w:rsid w:val="007C213F"/>
    <w:rPr>
      <w:rFonts w:ascii="Arial" w:eastAsia="Times New Roman" w:hAnsi="Arial" w:cs="Arial"/>
      <w:b/>
      <w:sz w:val="32"/>
      <w:szCs w:val="20"/>
    </w:rPr>
  </w:style>
  <w:style w:type="character" w:customStyle="1" w:styleId="Heading4Char">
    <w:name w:val="Heading 4 Char"/>
    <w:basedOn w:val="DefaultParagraphFont"/>
    <w:link w:val="Heading4"/>
    <w:rsid w:val="007C213F"/>
    <w:rPr>
      <w:rFonts w:ascii="Arial" w:eastAsia="Times New Roman" w:hAnsi="Arial" w:cs="Arial"/>
      <w:b/>
      <w:noProof/>
      <w:sz w:val="28"/>
      <w:szCs w:val="20"/>
    </w:rPr>
  </w:style>
  <w:style w:type="paragraph" w:customStyle="1" w:styleId="Body">
    <w:name w:val="Body"/>
    <w:rsid w:val="007C213F"/>
    <w:pPr>
      <w:spacing w:after="120" w:line="240" w:lineRule="auto"/>
      <w:ind w:left="1440"/>
    </w:pPr>
    <w:rPr>
      <w:rFonts w:ascii="Times New Roman" w:eastAsia="Times New Roman" w:hAnsi="Times New Roman" w:cs="Times New Roman"/>
      <w:szCs w:val="20"/>
    </w:rPr>
  </w:style>
  <w:style w:type="paragraph" w:styleId="FootnoteText">
    <w:name w:val="footnote text"/>
    <w:basedOn w:val="Normal"/>
    <w:link w:val="FootnoteTextChar"/>
    <w:semiHidden/>
    <w:rsid w:val="007C213F"/>
  </w:style>
  <w:style w:type="character" w:customStyle="1" w:styleId="FootnoteTextChar">
    <w:name w:val="Footnote Text Char"/>
    <w:basedOn w:val="DefaultParagraphFont"/>
    <w:link w:val="FootnoteText"/>
    <w:semiHidden/>
    <w:rsid w:val="007C213F"/>
    <w:rPr>
      <w:rFonts w:ascii="Times New Roman" w:eastAsia="Times New Roman" w:hAnsi="Times New Roman" w:cs="Times New Roman"/>
      <w:szCs w:val="20"/>
    </w:rPr>
  </w:style>
  <w:style w:type="character" w:styleId="Hyperlink">
    <w:name w:val="Hyperlink"/>
    <w:basedOn w:val="DefaultParagraphFont"/>
    <w:uiPriority w:val="99"/>
    <w:rsid w:val="007C213F"/>
    <w:rPr>
      <w:color w:val="0000FF"/>
      <w:u w:val="single"/>
    </w:rPr>
  </w:style>
  <w:style w:type="paragraph" w:customStyle="1" w:styleId="InfoBlue">
    <w:name w:val="InfoBlue"/>
    <w:basedOn w:val="Body"/>
    <w:next w:val="Body"/>
    <w:rsid w:val="007C213F"/>
    <w:rPr>
      <w:rFonts w:ascii="Arial" w:hAnsi="Arial"/>
      <w:i/>
      <w:color w:val="0000FF"/>
    </w:rPr>
  </w:style>
  <w:style w:type="character" w:customStyle="1" w:styleId="apple-style-span">
    <w:name w:val="apple-style-span"/>
    <w:basedOn w:val="DefaultParagraphFont"/>
    <w:rsid w:val="007C213F"/>
  </w:style>
  <w:style w:type="character" w:styleId="FollowedHyperlink">
    <w:name w:val="FollowedHyperlink"/>
    <w:basedOn w:val="DefaultParagraphFont"/>
    <w:uiPriority w:val="99"/>
    <w:semiHidden/>
    <w:unhideWhenUsed/>
    <w:rsid w:val="007D2D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pa.ca.gov/CUPA/" TargetMode="External"/><Relationship Id="rId3" Type="http://schemas.microsoft.com/office/2007/relationships/stylesWithEffects" Target="stylesWithEffects.xml"/><Relationship Id="rId7" Type="http://schemas.openxmlformats.org/officeDocument/2006/relationships/hyperlink" Target="https://cers.calepa.ca.gov/Data/Regi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lepa.ca.go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bohon@calepa.c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CalRecycle</Company>
  <LinksUpToDate>false</LinksUpToDate>
  <CharactersWithSpaces>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Bohon, James</dc:creator>
  <cp:lastModifiedBy>Jing Liu</cp:lastModifiedBy>
  <cp:revision>2</cp:revision>
  <dcterms:created xsi:type="dcterms:W3CDTF">2012-09-12T00:28:00Z</dcterms:created>
  <dcterms:modified xsi:type="dcterms:W3CDTF">2012-09-12T00:28:00Z</dcterms:modified>
</cp:coreProperties>
</file>