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ppjafqod1l8" w:id="0"/>
      <w:bookmarkEnd w:id="0"/>
      <w:r w:rsidDel="00000000" w:rsidR="00000000" w:rsidRPr="00000000">
        <w:rPr>
          <w:b w:val="1"/>
          <w:sz w:val="46"/>
          <w:szCs w:val="46"/>
          <w:rtl w:val="0"/>
        </w:rPr>
        <w:t xml:space="preserve">Technology Architecture Document (TOGAF Phase 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ivkxf295kjh"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Technology Architecture defines the foundational infrastructure and technical platforms that support the ASDF (AI Superintelligence Delivery Factory) business and information system architectures. ASDF's technology strategy emphasizes global availability, autonomy, sustainability, and seamless scalability through a mesh of robotic micro-datacenters interconnected via satellite networks.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tcu2vbntnzg" w:id="2"/>
      <w:bookmarkEnd w:id="2"/>
      <w:r w:rsidDel="00000000" w:rsidR="00000000" w:rsidRPr="00000000">
        <w:rPr>
          <w:b w:val="1"/>
          <w:sz w:val="34"/>
          <w:szCs w:val="34"/>
          <w:rtl w:val="0"/>
        </w:rPr>
        <w:t xml:space="preserve">2. Technology Principles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Decentralization</w:t>
      </w:r>
      <w:r w:rsidDel="00000000" w:rsidR="00000000" w:rsidRPr="00000000">
        <w:rPr>
          <w:rtl w:val="0"/>
        </w:rPr>
        <w:t xml:space="preserve">: Autonomous edge nodes running independently.</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Plug-and-play components for compute, power, cooling, and connectivity.</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Renewable energy-first design.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Security by Design</w:t>
      </w:r>
      <w:r w:rsidDel="00000000" w:rsidR="00000000" w:rsidRPr="00000000">
        <w:rPr>
          <w:rtl w:val="0"/>
        </w:rPr>
        <w:t xml:space="preserve">: Zero-trust architecture with full encryption.</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Standard APIs, protocols, and container-based deployment.</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rr07gvsa0tg" w:id="3"/>
      <w:bookmarkEnd w:id="3"/>
      <w:r w:rsidDel="00000000" w:rsidR="00000000" w:rsidRPr="00000000">
        <w:rPr>
          <w:b w:val="1"/>
          <w:sz w:val="34"/>
          <w:szCs w:val="34"/>
          <w:rtl w:val="0"/>
        </w:rPr>
        <w:t xml:space="preserve">3. Core Technology Components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25c5l71hca0" w:id="4"/>
      <w:bookmarkEnd w:id="4"/>
      <w:r w:rsidDel="00000000" w:rsidR="00000000" w:rsidRPr="00000000">
        <w:rPr>
          <w:b w:val="1"/>
          <w:color w:val="000000"/>
          <w:sz w:val="26"/>
          <w:szCs w:val="26"/>
          <w:rtl w:val="0"/>
        </w:rPr>
        <w:t xml:space="preserve">3.1 Compute Infrastructure</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AI-Optimized Edge Nodes</w:t>
      </w:r>
      <w:r w:rsidDel="00000000" w:rsidR="00000000" w:rsidRPr="00000000">
        <w:rPr>
          <w:rtl w:val="0"/>
        </w:rPr>
        <w:t xml:space="preserve">: Custom micro datacenters equipped with GPUs/TPUs.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Container Orchestration</w:t>
      </w:r>
      <w:r w:rsidDel="00000000" w:rsidR="00000000" w:rsidRPr="00000000">
        <w:rPr>
          <w:rtl w:val="0"/>
        </w:rPr>
        <w:t xml:space="preserve">: Kubernetes-based systems for workload distribution.</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b w:val="1"/>
          <w:rtl w:val="0"/>
        </w:rPr>
        <w:t xml:space="preserve">AI Workload Scheduler</w:t>
      </w:r>
      <w:r w:rsidDel="00000000" w:rsidR="00000000" w:rsidRPr="00000000">
        <w:rPr>
          <w:rtl w:val="0"/>
        </w:rPr>
        <w:t xml:space="preserve">: Predictive load balancer for real-time AI task dispatch.</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ej8jyf4vj8l" w:id="5"/>
      <w:bookmarkEnd w:id="5"/>
      <w:r w:rsidDel="00000000" w:rsidR="00000000" w:rsidRPr="00000000">
        <w:rPr>
          <w:b w:val="1"/>
          <w:color w:val="000000"/>
          <w:sz w:val="26"/>
          <w:szCs w:val="26"/>
          <w:rtl w:val="0"/>
        </w:rPr>
        <w:t xml:space="preserve">3.2 Networking</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Satellite Internet Connectivity</w:t>
      </w:r>
      <w:r w:rsidDel="00000000" w:rsidR="00000000" w:rsidRPr="00000000">
        <w:rPr>
          <w:rtl w:val="0"/>
        </w:rPr>
        <w:t xml:space="preserve">: Starlink or similar LEO-based broadband.</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SD-WAN Overlay Network</w:t>
      </w:r>
      <w:r w:rsidDel="00000000" w:rsidR="00000000" w:rsidRPr="00000000">
        <w:rPr>
          <w:rtl w:val="0"/>
        </w:rPr>
        <w:t xml:space="preserve">: For secure and resilient inter-node communications.</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b w:val="1"/>
          <w:rtl w:val="0"/>
        </w:rPr>
        <w:t xml:space="preserve">Mesh Routing Protocols</w:t>
      </w:r>
      <w:r w:rsidDel="00000000" w:rsidR="00000000" w:rsidRPr="00000000">
        <w:rPr>
          <w:rtl w:val="0"/>
        </w:rPr>
        <w:t xml:space="preserve">: Dynamic node discovery and packet routing.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jn39e5ptsn" w:id="6"/>
      <w:bookmarkEnd w:id="6"/>
      <w:r w:rsidDel="00000000" w:rsidR="00000000" w:rsidRPr="00000000">
        <w:rPr>
          <w:b w:val="1"/>
          <w:color w:val="000000"/>
          <w:sz w:val="26"/>
          <w:szCs w:val="26"/>
          <w:rtl w:val="0"/>
        </w:rPr>
        <w:t xml:space="preserve">3.3 Power and Cooling</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Onsite Solar Panels</w:t>
      </w:r>
      <w:r w:rsidDel="00000000" w:rsidR="00000000" w:rsidRPr="00000000">
        <w:rPr>
          <w:rtl w:val="0"/>
        </w:rPr>
        <w:t xml:space="preserve">: Primary power source with smart inverter systems.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Battery Storage Units</w:t>
      </w:r>
      <w:r w:rsidDel="00000000" w:rsidR="00000000" w:rsidRPr="00000000">
        <w:rPr>
          <w:rtl w:val="0"/>
        </w:rPr>
        <w:t xml:space="preserve">: Lithium-ion or solid-state batteries.</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Passive + Active Cooling</w:t>
      </w:r>
      <w:r w:rsidDel="00000000" w:rsidR="00000000" w:rsidRPr="00000000">
        <w:rPr>
          <w:rtl w:val="0"/>
        </w:rPr>
        <w:t xml:space="preserve">: Heat exchangers with AI-controlled fans.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ls8ufkjbh3m" w:id="7"/>
      <w:bookmarkEnd w:id="7"/>
      <w:r w:rsidDel="00000000" w:rsidR="00000000" w:rsidRPr="00000000">
        <w:rPr>
          <w:b w:val="1"/>
          <w:color w:val="000000"/>
          <w:sz w:val="26"/>
          <w:szCs w:val="26"/>
          <w:rtl w:val="0"/>
        </w:rPr>
        <w:t xml:space="preserve">3.4 Software Stack</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AI Model Runtime</w:t>
      </w:r>
      <w:r w:rsidDel="00000000" w:rsidR="00000000" w:rsidRPr="00000000">
        <w:rPr>
          <w:rtl w:val="0"/>
        </w:rPr>
        <w:t xml:space="preserve">: Optimized environments for running large language and vision models.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Orchestration Platform</w:t>
      </w:r>
      <w:r w:rsidDel="00000000" w:rsidR="00000000" w:rsidRPr="00000000">
        <w:rPr>
          <w:rtl w:val="0"/>
        </w:rPr>
        <w:t xml:space="preserve">: Manages software lifecycle across all nodes.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Telemetry and Monitoring</w:t>
      </w:r>
      <w:r w:rsidDel="00000000" w:rsidR="00000000" w:rsidRPr="00000000">
        <w:rPr>
          <w:rtl w:val="0"/>
        </w:rPr>
        <w:t xml:space="preserve">: Edge-to-cloud observability via Prometheus and Grafana.</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Security Stack</w:t>
      </w:r>
      <w:r w:rsidDel="00000000" w:rsidR="00000000" w:rsidRPr="00000000">
        <w:rPr>
          <w:rtl w:val="0"/>
        </w:rPr>
        <w:t xml:space="preserve">: Blockchain-backed identity management, encrypted communications, IDS/IPS systems.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vfffemvavafl" w:id="8"/>
      <w:bookmarkEnd w:id="8"/>
      <w:r w:rsidDel="00000000" w:rsidR="00000000" w:rsidRPr="00000000">
        <w:rPr>
          <w:b w:val="1"/>
          <w:color w:val="000000"/>
          <w:sz w:val="26"/>
          <w:szCs w:val="26"/>
          <w:rtl w:val="0"/>
        </w:rPr>
        <w:t xml:space="preserve">3.5 Robotics and Automation</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Robotic Management Layer</w:t>
      </w:r>
      <w:r w:rsidDel="00000000" w:rsidR="00000000" w:rsidRPr="00000000">
        <w:rPr>
          <w:rtl w:val="0"/>
        </w:rPr>
        <w:t xml:space="preserve">: Handles physical maintenance via autonomous robots.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Self-Healing Infrastructure</w:t>
      </w:r>
      <w:r w:rsidDel="00000000" w:rsidR="00000000" w:rsidRPr="00000000">
        <w:rPr>
          <w:rtl w:val="0"/>
        </w:rPr>
        <w:t xml:space="preserve">: Automated hardware replacement and recalibration.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b1gu7ut1qye" w:id="9"/>
      <w:bookmarkEnd w:id="9"/>
      <w:r w:rsidDel="00000000" w:rsidR="00000000" w:rsidRPr="00000000">
        <w:rPr>
          <w:b w:val="1"/>
          <w:color w:val="000000"/>
          <w:sz w:val="26"/>
          <w:szCs w:val="26"/>
          <w:rtl w:val="0"/>
        </w:rPr>
        <w:t xml:space="preserve">3.6 DevOps and CI/CD</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Immutable Infrastructure Deployments</w:t>
      </w:r>
      <w:r w:rsidDel="00000000" w:rsidR="00000000" w:rsidRPr="00000000">
        <w:rPr>
          <w:rtl w:val="0"/>
        </w:rPr>
        <w:t xml:space="preserve">: GitOps-based configuration management.</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Edge-Aware CI Pipelines</w:t>
      </w:r>
      <w:r w:rsidDel="00000000" w:rsidR="00000000" w:rsidRPr="00000000">
        <w:rPr>
          <w:rtl w:val="0"/>
        </w:rPr>
        <w:t xml:space="preserve">: Model and code rollout customized per datacenter topology.</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s47599523ean" w:id="10"/>
      <w:bookmarkEnd w:id="10"/>
      <w:r w:rsidDel="00000000" w:rsidR="00000000" w:rsidRPr="00000000">
        <w:rPr>
          <w:b w:val="1"/>
          <w:sz w:val="34"/>
          <w:szCs w:val="34"/>
          <w:rtl w:val="0"/>
        </w:rPr>
        <w:t xml:space="preserve">4. Platform Services</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0"/>
        <w:gridCol w:w="6140"/>
        <w:tblGridChange w:id="0">
          <w:tblGrid>
            <w:gridCol w:w="3080"/>
            <w:gridCol w:w="61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AI Compute 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Optimized containers for inference and training.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Data Synchronization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Delta-based sync across satellite-linked nodes.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Enterprise Integration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APIs, SDKs, and connectors to integrate with enterprise apps.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Authentication &amp; Identity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Decentralized ID with OAuth2 and DID support.</w:t>
            </w:r>
          </w:p>
        </w:tc>
      </w:tr>
    </w:tbl>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ays4qj8cvjv3" w:id="11"/>
      <w:bookmarkEnd w:id="11"/>
      <w:r w:rsidDel="00000000" w:rsidR="00000000" w:rsidRPr="00000000">
        <w:rPr>
          <w:b w:val="1"/>
          <w:sz w:val="34"/>
          <w:szCs w:val="34"/>
          <w:rtl w:val="0"/>
        </w:rPr>
        <w:t xml:space="preserve">5. Standards and Compliance</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AES-256, TLS 1.3, Zero Trust Architecture, NIST 800-207.</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GDPR, CCPA, ISO/IEC 27001, edge-local data residency controls.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Infrastructure</w:t>
      </w:r>
      <w:r w:rsidDel="00000000" w:rsidR="00000000" w:rsidRPr="00000000">
        <w:rPr>
          <w:rtl w:val="0"/>
        </w:rPr>
        <w:t xml:space="preserve">: Uptime Institute Tier 3 equivalent for micro nodes.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dcog739swt6a" w:id="12"/>
      <w:bookmarkEnd w:id="12"/>
      <w:r w:rsidDel="00000000" w:rsidR="00000000" w:rsidRPr="00000000">
        <w:rPr>
          <w:b w:val="1"/>
          <w:sz w:val="34"/>
          <w:szCs w:val="34"/>
          <w:rtl w:val="0"/>
        </w:rPr>
        <w:t xml:space="preserve">6. Technology Roadmap (Summary)</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Launch of 10 pilot nodes in remote low-infra regions.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Integration with enterprise clients; mobile app ecosystem.</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Autonomic orchestration and energy optimization via ML.</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Phase 4</w:t>
      </w:r>
      <w:r w:rsidDel="00000000" w:rsidR="00000000" w:rsidRPr="00000000">
        <w:rPr>
          <w:rtl w:val="0"/>
        </w:rPr>
        <w:t xml:space="preserve">: Scale to 500+ global nodes with advanced self-maintenance.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ebw66h2716uq" w:id="13"/>
      <w:bookmarkEnd w:id="13"/>
      <w:r w:rsidDel="00000000" w:rsidR="00000000" w:rsidRPr="00000000">
        <w:rPr>
          <w:b w:val="1"/>
          <w:sz w:val="34"/>
          <w:szCs w:val="34"/>
          <w:rtl w:val="0"/>
        </w:rPr>
        <w:t xml:space="preserve">7. Risks and Mitigations</w:t>
      </w:r>
    </w:p>
    <w:tbl>
      <w:tblPr>
        <w:tblStyle w:val="Table2"/>
        <w:tblW w:w="9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0"/>
        <w:gridCol w:w="5225"/>
        <w:tblGridChange w:id="0">
          <w:tblGrid>
            <w:gridCol w:w="3830"/>
            <w:gridCol w:w="52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Mitigation Strategy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Satellite outage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Multi-vendor redundancy (e.g., Starlink + OneWeb)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Hardware wear and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Predictive maintenance and robotic repair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Regulatory compliance in edge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Dynamic policy enforcement engine</w:t>
            </w:r>
          </w:p>
        </w:tc>
      </w:tr>
    </w:tbl>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yrlkw232pv1" w:id="14"/>
      <w:bookmarkEnd w:id="14"/>
      <w:r w:rsidDel="00000000" w:rsidR="00000000" w:rsidRPr="00000000">
        <w:rPr>
          <w:b w:val="1"/>
          <w:sz w:val="34"/>
          <w:szCs w:val="34"/>
          <w:rtl w:val="0"/>
        </w:rPr>
        <w:t xml:space="preserve">8. 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ASDF Technology Architecture empowers a new class of decentralized intelligent enterprise infrastructure. With autonomous, secure, and sustainable micro datacenters, it delivers resilient AI capabilities to the edge of the world, aligned with the future of enterprise operations.</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