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ariew2wuaz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Implementation Governance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duvpaj83e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AI Superintelligence Delivery Factory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12,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vao6zkwucu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document is to define governance roles, responsibilities, processes, and controls to effectively oversee the implementation of the AI Superintelligence Delivery Factory.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nl0o97yge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Governance Objectives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alignment between business objectives and implementation activities.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transparency and accountability in project execution.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Mitigate implementation risks proactively.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compliance with global regulatory and security standards.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Measure and report implementation progress using clear KPIs.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r0p433nive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Governance Structure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r5nh3pkc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Governance Entities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Steering Committee:</w:t>
      </w:r>
      <w:r w:rsidDel="00000000" w:rsidR="00000000" w:rsidRPr="00000000">
        <w:rPr>
          <w:rtl w:val="0"/>
        </w:rPr>
        <w:t xml:space="preserve"> Strategic oversight, resource allocation, and high-level decision-making.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Governance Board:</w:t>
      </w:r>
      <w:r w:rsidDel="00000000" w:rsidR="00000000" w:rsidRPr="00000000">
        <w:rPr>
          <w:rtl w:val="0"/>
        </w:rPr>
        <w:t xml:space="preserve"> Operational oversight, tracking progress, and alignment verification.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Review Board (ARB):</w:t>
      </w:r>
      <w:r w:rsidDel="00000000" w:rsidR="00000000" w:rsidRPr="00000000">
        <w:rPr>
          <w:rtl w:val="0"/>
        </w:rPr>
        <w:t xml:space="preserve"> Ensuring adherence to the architecture principles and TOGAF standards.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&amp; Compliance Committee:</w:t>
      </w:r>
      <w:r w:rsidDel="00000000" w:rsidR="00000000" w:rsidRPr="00000000">
        <w:rPr>
          <w:rtl w:val="0"/>
        </w:rPr>
        <w:t xml:space="preserve"> Managing risk, compliance, and security throughout implementation.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Project Teams:</w:t>
      </w:r>
      <w:r w:rsidDel="00000000" w:rsidR="00000000" w:rsidRPr="00000000">
        <w:rPr>
          <w:rtl w:val="0"/>
        </w:rPr>
        <w:t xml:space="preserve"> Day-to-day execution, monitoring, and issue escalation.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i4rdyux2q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Roles and Responsibilities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5"/>
        <w:gridCol w:w="5585"/>
        <w:tblGridChange w:id="0">
          <w:tblGrid>
            <w:gridCol w:w="3635"/>
            <w:gridCol w:w="5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Executive Steering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Strategic decisions, resolving escalations, budget oversight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 Governance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Regular monitoring, progress reviews, KPI tracking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 Review Board (ARB)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Architecture compliance reviews, technical oversight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&amp; Compliance Committee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Risk identification, mitigation planning, compliance auditing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Implementation Project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Task execution, issue management, project reporting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h07btrzaa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Governance Processes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lnvlln11c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Decision-Making Process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Decisions are escalated progressively: Project Teams → ARB/Risk &amp; Compliance → Governance Board → Executive Steering Committee.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a2okqka6t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Escalation Procedure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Timely escalation (within 24-48 hours) of unresolved issues to appropriate governance bodies.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c8cecaocb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Change Management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changes documented, assessed by ARB and Compliance Committee, approved by Governance Board.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r9xfgt4yh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Monitoring &amp; Reporting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s73hmx20s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Reporting Framework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6.5690376569037"/>
        <w:gridCol w:w="1223.8493723849372"/>
        <w:gridCol w:w="2971.506276150628"/>
        <w:gridCol w:w="2898.075313807531"/>
        <w:tblGridChange w:id="0">
          <w:tblGrid>
            <w:gridCol w:w="2266.5690376569037"/>
            <w:gridCol w:w="1223.8493723849372"/>
            <w:gridCol w:w="2971.506276150628"/>
            <w:gridCol w:w="2898.07531380753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Audience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Project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Governance Board, ARB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Risk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Risk &amp; Compliance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Governance Board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Executive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Quarterly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Governance 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Executive Steering Committee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xhs4m9b27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Performance Metrics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Deployment timelines and milestones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uptime (satellite, compute nodes, robotics)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 adherence and financial tracking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compliance/security incidents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Stakeholder feedback and satisfaction scores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vtasy7pvho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Risk &amp; Compliance Management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ioq6af9li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Risk Management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Continuous risk identification and assessment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Defined mitigation strategies documented and reported monthly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4wtb61a1w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Compliance Controls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compliance audits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Immediate response to incidents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of compliance adherence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eoterqik0z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Stakeholder Communication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Clear, structured internal and external communications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stakeholder engagement and feedback loops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 updates via structured meetings and reporting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vee347w252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8. Tools &amp; Documentation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of project management (e.g., Jira, Confluence) and EA tools (e.g., Sparx Enterprise Architect)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record-keeping: minutes, risk logs, change documentation, compliance audits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2x339c6dog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9. Training &amp; Development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governance training for all implementation team members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skill assessment and targeted training for gaps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dckrgtz7uw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10. Continuous Improvement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Quarterly governance effectiveness reviews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Feedback-driven improvements to governance processes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teieskhltq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11. Conclusion &amp; Recommendations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Implementing the governance framework outlined ensures effective alignment, risk management, compliance, and successful project execution.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executive-level commitment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governance reviews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adjustments based on stakeholder and operational feedback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