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atjviw52d07" w:id="0"/>
      <w:bookmarkEnd w:id="0"/>
      <w:r w:rsidDel="00000000" w:rsidR="00000000" w:rsidRPr="00000000">
        <w:rPr>
          <w:b w:val="1"/>
          <w:sz w:val="46"/>
          <w:szCs w:val="46"/>
          <w:rtl w:val="0"/>
        </w:rPr>
        <w:t xml:space="preserve">Architecture Change Management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yls96ntawn1" w:id="1"/>
      <w:bookmarkEnd w:id="1"/>
      <w:r w:rsidDel="00000000" w:rsidR="00000000" w:rsidRPr="00000000">
        <w:rPr>
          <w:b w:val="1"/>
          <w:sz w:val="34"/>
          <w:szCs w:val="34"/>
          <w:rtl w:val="0"/>
        </w:rPr>
        <w:t xml:space="preserve">AI Superintelligence Delivery Factory</w:t>
      </w:r>
    </w:p>
    <w:p w:rsidR="00000000" w:rsidDel="00000000" w:rsidP="00000000" w:rsidRDefault="00000000" w:rsidRPr="00000000" w14:paraId="00000003">
      <w:pPr>
        <w:spacing w:after="240" w:before="240" w:lineRule="auto"/>
        <w:rPr/>
      </w:pPr>
      <w:r w:rsidDel="00000000" w:rsidR="00000000" w:rsidRPr="00000000">
        <w:rPr>
          <w:b w:val="1"/>
          <w:rtl w:val="0"/>
        </w:rPr>
        <w:t xml:space="preserve">Date:</w:t>
      </w:r>
      <w:r w:rsidDel="00000000" w:rsidR="00000000" w:rsidRPr="00000000">
        <w:rPr>
          <w:rtl w:val="0"/>
        </w:rPr>
        <w:t xml:space="preserve"> April 12, 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vg1hd7mj4t7" w:id="2"/>
      <w:bookmarkEnd w:id="2"/>
      <w:r w:rsidDel="00000000" w:rsidR="00000000" w:rsidRPr="00000000">
        <w:rPr>
          <w:b w:val="1"/>
          <w:sz w:val="34"/>
          <w:szCs w:val="34"/>
          <w:rtl w:val="0"/>
        </w:rPr>
        <w:t xml:space="preserve">1. Purpose</w:t>
      </w:r>
    </w:p>
    <w:p w:rsidR="00000000" w:rsidDel="00000000" w:rsidP="00000000" w:rsidRDefault="00000000" w:rsidRPr="00000000" w14:paraId="00000006">
      <w:pPr>
        <w:spacing w:after="240" w:before="240" w:lineRule="auto"/>
        <w:rPr/>
      </w:pPr>
      <w:r w:rsidDel="00000000" w:rsidR="00000000" w:rsidRPr="00000000">
        <w:rPr>
          <w:rtl w:val="0"/>
        </w:rPr>
        <w:t xml:space="preserve">This document defines the Architecture Change Management processes and responsibilities within the AI Superintelligence Delivery Factory, ensuring structured management and controlled implementation of architectural modifications according to TOGAF guidelines.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z8z6aq6mjhow" w:id="3"/>
      <w:bookmarkEnd w:id="3"/>
      <w:r w:rsidDel="00000000" w:rsidR="00000000" w:rsidRPr="00000000">
        <w:rPr>
          <w:b w:val="1"/>
          <w:sz w:val="34"/>
          <w:szCs w:val="34"/>
          <w:rtl w:val="0"/>
        </w:rPr>
        <w:t xml:space="preserve">2. Objectives</w:t>
      </w:r>
    </w:p>
    <w:p w:rsidR="00000000" w:rsidDel="00000000" w:rsidP="00000000" w:rsidRDefault="00000000" w:rsidRPr="00000000" w14:paraId="00000008">
      <w:pPr>
        <w:numPr>
          <w:ilvl w:val="0"/>
          <w:numId w:val="14"/>
        </w:numPr>
        <w:spacing w:after="0" w:afterAutospacing="0" w:before="240" w:lineRule="auto"/>
        <w:ind w:left="720" w:hanging="360"/>
      </w:pPr>
      <w:r w:rsidDel="00000000" w:rsidR="00000000" w:rsidRPr="00000000">
        <w:rPr>
          <w:rtl w:val="0"/>
        </w:rPr>
        <w:t xml:space="preserve">Maintain architectural integrity and alignment with business objectives.</w:t>
      </w:r>
    </w:p>
    <w:p w:rsidR="00000000" w:rsidDel="00000000" w:rsidP="00000000" w:rsidRDefault="00000000" w:rsidRPr="00000000" w14:paraId="00000009">
      <w:pPr>
        <w:numPr>
          <w:ilvl w:val="0"/>
          <w:numId w:val="14"/>
        </w:numPr>
        <w:spacing w:after="0" w:afterAutospacing="0" w:before="0" w:beforeAutospacing="0" w:lineRule="auto"/>
        <w:ind w:left="720" w:hanging="360"/>
      </w:pPr>
      <w:r w:rsidDel="00000000" w:rsidR="00000000" w:rsidRPr="00000000">
        <w:rPr>
          <w:rtl w:val="0"/>
        </w:rPr>
        <w:t xml:space="preserve">Minimize risk and disruption caused by architectural changes.</w:t>
      </w:r>
    </w:p>
    <w:p w:rsidR="00000000" w:rsidDel="00000000" w:rsidP="00000000" w:rsidRDefault="00000000" w:rsidRPr="00000000" w14:paraId="0000000A">
      <w:pPr>
        <w:numPr>
          <w:ilvl w:val="0"/>
          <w:numId w:val="14"/>
        </w:numPr>
        <w:spacing w:after="0" w:afterAutospacing="0" w:before="0" w:beforeAutospacing="0" w:lineRule="auto"/>
        <w:ind w:left="720" w:hanging="360"/>
      </w:pPr>
      <w:r w:rsidDel="00000000" w:rsidR="00000000" w:rsidRPr="00000000">
        <w:rPr>
          <w:rtl w:val="0"/>
        </w:rPr>
        <w:t xml:space="preserve">Provide a structured process for proposing, reviewing, approving, and implementing architectural changes.</w:t>
      </w:r>
    </w:p>
    <w:p w:rsidR="00000000" w:rsidDel="00000000" w:rsidP="00000000" w:rsidRDefault="00000000" w:rsidRPr="00000000" w14:paraId="0000000B">
      <w:pPr>
        <w:numPr>
          <w:ilvl w:val="0"/>
          <w:numId w:val="14"/>
        </w:numPr>
        <w:spacing w:after="240" w:before="0" w:beforeAutospacing="0" w:lineRule="auto"/>
        <w:ind w:left="720" w:hanging="360"/>
      </w:pPr>
      <w:r w:rsidDel="00000000" w:rsidR="00000000" w:rsidRPr="00000000">
        <w:rPr>
          <w:rtl w:val="0"/>
        </w:rPr>
        <w:t xml:space="preserve">Ensure transparency and traceability of changes.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wy3vsms3ik7d" w:id="4"/>
      <w:bookmarkEnd w:id="4"/>
      <w:r w:rsidDel="00000000" w:rsidR="00000000" w:rsidRPr="00000000">
        <w:rPr>
          <w:b w:val="1"/>
          <w:sz w:val="34"/>
          <w:szCs w:val="34"/>
          <w:rtl w:val="0"/>
        </w:rPr>
        <w:t xml:space="preserve">3. Scope</w:t>
      </w:r>
    </w:p>
    <w:p w:rsidR="00000000" w:rsidDel="00000000" w:rsidP="00000000" w:rsidRDefault="00000000" w:rsidRPr="00000000" w14:paraId="0000000D">
      <w:pPr>
        <w:spacing w:after="240" w:before="240" w:lineRule="auto"/>
        <w:rPr/>
      </w:pPr>
      <w:r w:rsidDel="00000000" w:rsidR="00000000" w:rsidRPr="00000000">
        <w:rPr>
          <w:rtl w:val="0"/>
        </w:rPr>
        <w:t xml:space="preserve">This document applies to all architectural changes, including:</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Business Architecture</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Data Architecture</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Application Architecture</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Technology Architecture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2opx8rgnd9gc" w:id="5"/>
      <w:bookmarkEnd w:id="5"/>
      <w:r w:rsidDel="00000000" w:rsidR="00000000" w:rsidRPr="00000000">
        <w:rPr>
          <w:b w:val="1"/>
          <w:sz w:val="34"/>
          <w:szCs w:val="34"/>
          <w:rtl w:val="0"/>
        </w:rPr>
        <w:t xml:space="preserve">4. Change Management Roles and Responsibilities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eox6k72xy64" w:id="6"/>
      <w:bookmarkEnd w:id="6"/>
      <w:r w:rsidDel="00000000" w:rsidR="00000000" w:rsidRPr="00000000">
        <w:rPr>
          <w:b w:val="1"/>
          <w:color w:val="000000"/>
          <w:sz w:val="26"/>
          <w:szCs w:val="26"/>
          <w:rtl w:val="0"/>
        </w:rPr>
        <w:t xml:space="preserve">4.1 Architecture Review Board (ARB)</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Evaluates and approves or rejects architectural change requests.</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Ensures compliance with established architectural principles and TOGAF standards.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5rhp5j5ynwz" w:id="7"/>
      <w:bookmarkEnd w:id="7"/>
      <w:r w:rsidDel="00000000" w:rsidR="00000000" w:rsidRPr="00000000">
        <w:rPr>
          <w:b w:val="1"/>
          <w:color w:val="000000"/>
          <w:sz w:val="26"/>
          <w:szCs w:val="26"/>
          <w:rtl w:val="0"/>
        </w:rPr>
        <w:t xml:space="preserve">4.2 Implementation Governance Board</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rtl w:val="0"/>
        </w:rPr>
        <w:t xml:space="preserve">Reviews major architectural changes escalated from ARB.</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rtl w:val="0"/>
        </w:rPr>
        <w:t xml:space="preserve">Provides final approval or rejection based on strategic alignment and organizational impact.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i6nec89lioy" w:id="8"/>
      <w:bookmarkEnd w:id="8"/>
      <w:r w:rsidDel="00000000" w:rsidR="00000000" w:rsidRPr="00000000">
        <w:rPr>
          <w:b w:val="1"/>
          <w:color w:val="000000"/>
          <w:sz w:val="26"/>
          <w:szCs w:val="26"/>
          <w:rtl w:val="0"/>
        </w:rPr>
        <w:t xml:space="preserve">4.3 Implementation Project Teams</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rtl w:val="0"/>
        </w:rPr>
        <w:t xml:space="preserve">Conducts preliminary assessments of proposed changes.</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rtl w:val="0"/>
        </w:rPr>
        <w:t xml:space="preserve">Documents and submits architectural change requests for ARB review.</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rtl w:val="0"/>
        </w:rPr>
        <w:t xml:space="preserve">Implements approved changes and monitors adherence to architecture guidelines.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uaer5ht5s7" w:id="9"/>
      <w:bookmarkEnd w:id="9"/>
      <w:r w:rsidDel="00000000" w:rsidR="00000000" w:rsidRPr="00000000">
        <w:rPr>
          <w:b w:val="1"/>
          <w:sz w:val="34"/>
          <w:szCs w:val="34"/>
          <w:rtl w:val="0"/>
        </w:rPr>
        <w:t xml:space="preserve">5. Architecture Change Management Process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acirsmx8iekd" w:id="10"/>
      <w:bookmarkEnd w:id="10"/>
      <w:r w:rsidDel="00000000" w:rsidR="00000000" w:rsidRPr="00000000">
        <w:rPr>
          <w:b w:val="1"/>
          <w:color w:val="000000"/>
          <w:sz w:val="26"/>
          <w:szCs w:val="26"/>
          <w:rtl w:val="0"/>
        </w:rPr>
        <w:t xml:space="preserve">5.1 Submission of Change Requests</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rtl w:val="0"/>
        </w:rPr>
        <w:t xml:space="preserve">Change requests are formally documented using standard change request forms.</w:t>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rtl w:val="0"/>
        </w:rPr>
        <w:t xml:space="preserve">Submissions include detailed rationale, impact assessments, and proposed implementation plans.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qsxdetq4g3r" w:id="11"/>
      <w:bookmarkEnd w:id="11"/>
      <w:r w:rsidDel="00000000" w:rsidR="00000000" w:rsidRPr="00000000">
        <w:rPr>
          <w:b w:val="1"/>
          <w:color w:val="000000"/>
          <w:sz w:val="26"/>
          <w:szCs w:val="26"/>
          <w:rtl w:val="0"/>
        </w:rPr>
        <w:t xml:space="preserve">5.2 Preliminary Assessment</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Conducted by Implementation Project Teams to evaluate feasibility and initial impact.</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Ensures adequate documentation and justification before ARB review.</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oy2vrhg0zjkk" w:id="12"/>
      <w:bookmarkEnd w:id="12"/>
      <w:r w:rsidDel="00000000" w:rsidR="00000000" w:rsidRPr="00000000">
        <w:rPr>
          <w:b w:val="1"/>
          <w:color w:val="000000"/>
          <w:sz w:val="26"/>
          <w:szCs w:val="26"/>
          <w:rtl w:val="0"/>
        </w:rPr>
        <w:t xml:space="preserve">5.3 Detailed Analysis and Review</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ARB conducts a detailed assessment to evaluate compliance, risk, benefits, and alignment.</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Technical, operational, and compliance implications are thoroughly reviewed.</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z38iscn2pig5" w:id="13"/>
      <w:bookmarkEnd w:id="13"/>
      <w:r w:rsidDel="00000000" w:rsidR="00000000" w:rsidRPr="00000000">
        <w:rPr>
          <w:b w:val="1"/>
          <w:color w:val="000000"/>
          <w:sz w:val="26"/>
          <w:szCs w:val="26"/>
          <w:rtl w:val="0"/>
        </w:rPr>
        <w:t xml:space="preserve">5.4 Approval Process</w:t>
      </w:r>
    </w:p>
    <w:p w:rsidR="00000000" w:rsidDel="00000000" w:rsidP="00000000" w:rsidRDefault="00000000" w:rsidRPr="00000000" w14:paraId="00000028">
      <w:pPr>
        <w:numPr>
          <w:ilvl w:val="0"/>
          <w:numId w:val="13"/>
        </w:numPr>
        <w:spacing w:after="0" w:afterAutospacing="0" w:before="240" w:lineRule="auto"/>
        <w:ind w:left="720" w:hanging="360"/>
      </w:pPr>
      <w:r w:rsidDel="00000000" w:rsidR="00000000" w:rsidRPr="00000000">
        <w:rPr>
          <w:rtl w:val="0"/>
        </w:rPr>
        <w:t xml:space="preserve">ARB provides initial approval for minor and moderate changes.</w:t>
      </w:r>
    </w:p>
    <w:p w:rsidR="00000000" w:rsidDel="00000000" w:rsidP="00000000" w:rsidRDefault="00000000" w:rsidRPr="00000000" w14:paraId="00000029">
      <w:pPr>
        <w:numPr>
          <w:ilvl w:val="0"/>
          <w:numId w:val="13"/>
        </w:numPr>
        <w:spacing w:after="240" w:before="0" w:beforeAutospacing="0" w:lineRule="auto"/>
        <w:ind w:left="720" w:hanging="360"/>
      </w:pPr>
      <w:r w:rsidDel="00000000" w:rsidR="00000000" w:rsidRPr="00000000">
        <w:rPr>
          <w:rtl w:val="0"/>
        </w:rPr>
        <w:t xml:space="preserve">Major changes, identified by significant impact or strategic implication, are escalated to the Implementation Governance Board for final approval.</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pvmieo8mu5p2" w:id="14"/>
      <w:bookmarkEnd w:id="14"/>
      <w:r w:rsidDel="00000000" w:rsidR="00000000" w:rsidRPr="00000000">
        <w:rPr>
          <w:b w:val="1"/>
          <w:color w:val="000000"/>
          <w:sz w:val="26"/>
          <w:szCs w:val="26"/>
          <w:rtl w:val="0"/>
        </w:rPr>
        <w:t xml:space="preserve">5.5 Implementation and Monitoring</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rtl w:val="0"/>
        </w:rPr>
        <w:t xml:space="preserve">Implementation Project Teams execute approved changes following structured implementation plans.</w:t>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rtl w:val="0"/>
        </w:rPr>
        <w:t xml:space="preserve">Continuous monitoring ensures adherence to architectural standards and identifies issues promptly.</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yydzuqy5sag" w:id="15"/>
      <w:bookmarkEnd w:id="15"/>
      <w:r w:rsidDel="00000000" w:rsidR="00000000" w:rsidRPr="00000000">
        <w:rPr>
          <w:b w:val="1"/>
          <w:color w:val="000000"/>
          <w:sz w:val="26"/>
          <w:szCs w:val="26"/>
          <w:rtl w:val="0"/>
        </w:rPr>
        <w:t xml:space="preserve">5.6 Documentation and Reporting</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All architectural changes are documented thoroughly, maintaining clear records for audit and reference.</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rtl w:val="0"/>
        </w:rPr>
        <w:t xml:space="preserve">Reports are generated regularly summarizing changes implemented, issues encountered, and their resolutions.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46o01ka68whk" w:id="16"/>
      <w:bookmarkEnd w:id="16"/>
      <w:r w:rsidDel="00000000" w:rsidR="00000000" w:rsidRPr="00000000">
        <w:rPr>
          <w:b w:val="1"/>
          <w:sz w:val="34"/>
          <w:szCs w:val="34"/>
          <w:rtl w:val="0"/>
        </w:rPr>
        <w:t xml:space="preserve">6. Tools and Techniques</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rtl w:val="0"/>
        </w:rPr>
        <w:t xml:space="preserve">Enterprise Architecture tools (e.g., Sparx Enterprise Architect) for modeling, documenting, and tracking architectural changes.</w:t>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tl w:val="0"/>
        </w:rPr>
        <w:t xml:space="preserve">Project Management software (e.g., Jira, Confluence) to support change tracking, documentation, and collaboration.</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rr5qphx8qc2b" w:id="17"/>
      <w:bookmarkEnd w:id="17"/>
      <w:r w:rsidDel="00000000" w:rsidR="00000000" w:rsidRPr="00000000">
        <w:rPr>
          <w:b w:val="1"/>
          <w:sz w:val="34"/>
          <w:szCs w:val="34"/>
          <w:rtl w:val="0"/>
        </w:rPr>
        <w:t xml:space="preserve">7. Performance Metrics</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rtl w:val="0"/>
        </w:rPr>
        <w:t xml:space="preserve">Number of change requests processed monthly.</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rtl w:val="0"/>
        </w:rPr>
        <w:t xml:space="preserve">Time taken from request submission to approval and implementation.</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rtl w:val="0"/>
        </w:rPr>
        <w:t xml:space="preserve">Percentage of changes implemented without deviations from architectural standards.</w:t>
      </w:r>
    </w:p>
    <w:p w:rsidR="00000000" w:rsidDel="00000000" w:rsidP="00000000" w:rsidRDefault="00000000" w:rsidRPr="00000000" w14:paraId="00000037">
      <w:pPr>
        <w:numPr>
          <w:ilvl w:val="0"/>
          <w:numId w:val="11"/>
        </w:numPr>
        <w:spacing w:after="240" w:before="0" w:beforeAutospacing="0" w:lineRule="auto"/>
        <w:ind w:left="720" w:hanging="360"/>
      </w:pPr>
      <w:r w:rsidDel="00000000" w:rsidR="00000000" w:rsidRPr="00000000">
        <w:rPr>
          <w:rtl w:val="0"/>
        </w:rPr>
        <w:t xml:space="preserve">Stakeholder satisfaction regarding change implementation.</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ojhhikbgwdf1" w:id="18"/>
      <w:bookmarkEnd w:id="18"/>
      <w:r w:rsidDel="00000000" w:rsidR="00000000" w:rsidRPr="00000000">
        <w:rPr>
          <w:b w:val="1"/>
          <w:sz w:val="34"/>
          <w:szCs w:val="34"/>
          <w:rtl w:val="0"/>
        </w:rPr>
        <w:t xml:space="preserve">8. Continuous Improvement</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 xml:space="preserve">Regular reviews of the Architecture Change Management process to identify and implement improvements.</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rtl w:val="0"/>
        </w:rPr>
        <w:t xml:space="preserve">Incorporate stakeholder feedback to refine and enhance the effectiveness of the change management procedures.</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2bun7tar9vc6" w:id="19"/>
      <w:bookmarkEnd w:id="19"/>
      <w:r w:rsidDel="00000000" w:rsidR="00000000" w:rsidRPr="00000000">
        <w:rPr>
          <w:b w:val="1"/>
          <w:sz w:val="34"/>
          <w:szCs w:val="34"/>
          <w:rtl w:val="0"/>
        </w:rPr>
        <w:t xml:space="preserve">9. Conclusion</w:t>
      </w:r>
    </w:p>
    <w:p w:rsidR="00000000" w:rsidDel="00000000" w:rsidP="00000000" w:rsidRDefault="00000000" w:rsidRPr="00000000" w14:paraId="0000003C">
      <w:pPr>
        <w:spacing w:after="240" w:before="240" w:lineRule="auto"/>
        <w:rPr/>
      </w:pPr>
      <w:r w:rsidDel="00000000" w:rsidR="00000000" w:rsidRPr="00000000">
        <w:rPr>
          <w:rtl w:val="0"/>
        </w:rPr>
        <w:t xml:space="preserve">Effective Architecture Change Management is critical to maintaining the strategic and operational integrity of the AI Superintelligence Delivery Factory. Following the outlined processes ensures structured, compliant, and efficient management of architectural changes, minimizing risks and maximizing alignment with organizational objectives.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