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6D67" w14:textId="572D9D31" w:rsidR="00A121E1" w:rsidRPr="00A121E1" w:rsidRDefault="00A121E1" w:rsidP="00A121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AccelCQ </w:t>
      </w:r>
      <w:r w:rsidRPr="00A121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Business Use Case Document </w:t>
      </w:r>
    </w:p>
    <w:p w14:paraId="3EA90014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Title: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AI-Driven Demo Platform for Rapid Development in Confidential and Quantum Computing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Strategy &amp; Delivery – </w:t>
      </w: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November 2025</w:t>
      </w:r>
    </w:p>
    <w:p w14:paraId="7474DC2D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4EE52B9D">
          <v:rect id="_x0000_i1340" style="width:0;height:1.5pt" o:hralign="center" o:hrstd="t" o:hr="t" fillcolor="#a0a0a0" stroked="f"/>
        </w:pict>
      </w:r>
    </w:p>
    <w:p w14:paraId="422F8D2E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Business Use Case Name</w:t>
      </w:r>
    </w:p>
    <w:p w14:paraId="3547E7AB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AI-Driven Demo Platform for Confidential and Quantum Computing</w:t>
      </w:r>
    </w:p>
    <w:p w14:paraId="228F4950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48C70A97">
          <v:rect id="_x0000_i1341" style="width:0;height:1.5pt" o:hralign="center" o:hrstd="t" o:hr="t" fillcolor="#a0a0a0" stroked="f"/>
        </w:pict>
      </w:r>
    </w:p>
    <w:p w14:paraId="6DFC52C2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Brief Description</w:t>
      </w:r>
    </w:p>
    <w:p w14:paraId="03FFCE5F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is developing a demo-driven web platform to showcase its expertise in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computing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computing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platform demonstrates how enterprises can rapidly develop, integrate, and deploy AI-enabled applications across multiple cloud infrastructures using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automation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integration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agents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CC996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The demo serves as a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implementation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to accelerate client adoption of secure, scalable, and future-ready technologies.</w:t>
      </w:r>
    </w:p>
    <w:p w14:paraId="24EE4660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16EE138E">
          <v:rect id="_x0000_i1342" style="width:0;height:1.5pt" o:hralign="center" o:hrstd="t" o:hr="t" fillcolor="#a0a0a0" stroked="f"/>
        </w:pict>
      </w:r>
    </w:p>
    <w:p w14:paraId="640EA445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Flow of Events</w:t>
      </w:r>
    </w:p>
    <w:p w14:paraId="20C0CB47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Basic Flow (Main Success Scenario)</w:t>
      </w:r>
    </w:p>
    <w:p w14:paraId="1F431EF6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Access: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corporate client accesses the </w:t>
      </w: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demo portal via secure login.</w:t>
      </w:r>
    </w:p>
    <w:p w14:paraId="6D0797BC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Selection: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The client selects a demo from available options (e.g., AI-driven app development, confidential computing, or quantum computing).</w:t>
      </w:r>
    </w:p>
    <w:p w14:paraId="5754F55E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Initialization: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The system provisions an isolated demo environment automatically using pre-configured CI/CD pipelines.</w:t>
      </w:r>
    </w:p>
    <w:p w14:paraId="7155EA8A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Execution: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The AI Agent executes workflows such as:</w:t>
      </w:r>
    </w:p>
    <w:p w14:paraId="0813B6B5" w14:textId="77777777" w:rsidR="00A121E1" w:rsidRPr="00A121E1" w:rsidRDefault="00A121E1" w:rsidP="00A12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Running inference workloads in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confidential computing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4F9EB" w14:textId="77777777" w:rsidR="00A121E1" w:rsidRPr="00A121E1" w:rsidRDefault="00A121E1" w:rsidP="00A12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Executing quantum workloads on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IBM Quantum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infrastructure.</w:t>
      </w:r>
    </w:p>
    <w:p w14:paraId="1204A71B" w14:textId="77777777" w:rsidR="00A121E1" w:rsidRPr="00A121E1" w:rsidRDefault="00A121E1" w:rsidP="00A121E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Displaying API interactions and integration points.</w:t>
      </w:r>
    </w:p>
    <w:p w14:paraId="578B7EAA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Visualization: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The web UI visualizes performance metrics, deployment timelines, and workflow outputs.</w:t>
      </w:r>
    </w:p>
    <w:p w14:paraId="1D872104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Interaction: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The client interacts with the demo to modify configurations, APIs, or workloads to see results dynamically.</w:t>
      </w:r>
    </w:p>
    <w:p w14:paraId="640A6773" w14:textId="77777777" w:rsidR="00A121E1" w:rsidRPr="00A121E1" w:rsidRDefault="00A121E1" w:rsidP="00A121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Summary: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The demo concludes with analytics, recommendations, and a reference code package for client download.</w:t>
      </w:r>
    </w:p>
    <w:p w14:paraId="7E2F8E2D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4670FA1D">
          <v:rect id="_x0000_i1343" style="width:0;height:1.5pt" o:hralign="center" o:hrstd="t" o:hr="t" fillcolor="#a0a0a0" stroked="f"/>
        </w:pict>
      </w:r>
    </w:p>
    <w:p w14:paraId="016E47AB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Alternative Flows</w:t>
      </w:r>
    </w:p>
    <w:p w14:paraId="7EC00D36" w14:textId="77777777" w:rsidR="00A121E1" w:rsidRPr="00A121E1" w:rsidRDefault="00A121E1" w:rsidP="00A1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 API Connection: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 API integration fails, the system triggers an error log and </w:t>
      </w:r>
      <w:proofErr w:type="gram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retries</w:t>
      </w:r>
      <w:proofErr w:type="gram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with a fallback endpoint.</w:t>
      </w:r>
    </w:p>
    <w:p w14:paraId="28C7C343" w14:textId="77777777" w:rsidR="00A121E1" w:rsidRPr="00A121E1" w:rsidRDefault="00A121E1" w:rsidP="00A1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Resource Unavailable: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If a selected cloud service (Azure/IBM) is unavailable, the system switches to a pre-recorded simulation demo.</w:t>
      </w:r>
    </w:p>
    <w:p w14:paraId="129A9CE9" w14:textId="77777777" w:rsidR="00A121E1" w:rsidRPr="00A121E1" w:rsidRDefault="00A121E1" w:rsidP="00A121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 Timeout: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>After 30 minutes of inactivity, the demo session terminates and generates an automated session summary.</w:t>
      </w:r>
    </w:p>
    <w:p w14:paraId="508259A1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773807F8">
          <v:rect id="_x0000_i1344" style="width:0;height:1.5pt" o:hralign="center" o:hrstd="t" o:hr="t" fillcolor="#a0a0a0" stroked="f"/>
        </w:pict>
      </w:r>
    </w:p>
    <w:p w14:paraId="33B55E2A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Preconditions</w:t>
      </w:r>
    </w:p>
    <w:p w14:paraId="4FEA4195" w14:textId="77777777" w:rsidR="00A121E1" w:rsidRPr="00A121E1" w:rsidRDefault="00A121E1" w:rsidP="00A1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Client has access credentials to the </w:t>
      </w: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demo portal.</w:t>
      </w:r>
    </w:p>
    <w:p w14:paraId="68E2C02D" w14:textId="77777777" w:rsidR="00A121E1" w:rsidRPr="00A121E1" w:rsidRDefault="00A121E1" w:rsidP="00A1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Required cloud infrastructures (Azure, IBM Quantum) are active and integrated via secure API keys.</w:t>
      </w:r>
    </w:p>
    <w:p w14:paraId="5DF37063" w14:textId="77777777" w:rsidR="00A121E1" w:rsidRPr="00A121E1" w:rsidRDefault="00A121E1" w:rsidP="00A121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CI/CD pipelines are pre-configured and tested.</w:t>
      </w:r>
    </w:p>
    <w:p w14:paraId="5F2B7156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3B96A257">
          <v:rect id="_x0000_i1345" style="width:0;height:1.5pt" o:hralign="center" o:hrstd="t" o:hr="t" fillcolor="#a0a0a0" stroked="f"/>
        </w:pict>
      </w:r>
    </w:p>
    <w:p w14:paraId="20A7D53F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Postconditions</w:t>
      </w:r>
    </w:p>
    <w:p w14:paraId="61ACA608" w14:textId="77777777" w:rsidR="00A121E1" w:rsidRPr="00A121E1" w:rsidRDefault="00A121E1" w:rsidP="00A12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 fully functional demo environment is provisioned and executed successfully.</w:t>
      </w:r>
    </w:p>
    <w:p w14:paraId="376A5A12" w14:textId="77777777" w:rsidR="00A121E1" w:rsidRPr="00A121E1" w:rsidRDefault="00A121E1" w:rsidP="00A12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The client receives demo results, code samples, and documentation.</w:t>
      </w:r>
    </w:p>
    <w:p w14:paraId="060E443A" w14:textId="77777777" w:rsidR="00A121E1" w:rsidRPr="00A121E1" w:rsidRDefault="00A121E1" w:rsidP="00A121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Feedback and engagement data are logged for sales and R&amp;D follow-up.</w:t>
      </w:r>
    </w:p>
    <w:p w14:paraId="6C5C16D2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1CDEB727">
          <v:rect id="_x0000_i1346" style="width:0;height:1.5pt" o:hralign="center" o:hrstd="t" o:hr="t" fillcolor="#a0a0a0" stroked="f"/>
        </w:pict>
      </w:r>
    </w:p>
    <w:p w14:paraId="23E46782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Business Rules</w:t>
      </w:r>
    </w:p>
    <w:p w14:paraId="0C63AB64" w14:textId="77777777" w:rsidR="00A121E1" w:rsidRPr="00A121E1" w:rsidRDefault="00A121E1" w:rsidP="00A1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Demos must </w:t>
      </w:r>
      <w:proofErr w:type="gram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execute</w:t>
      </w:r>
      <w:proofErr w:type="gram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in secure, isolated environments.</w:t>
      </w:r>
    </w:p>
    <w:p w14:paraId="66B2C18A" w14:textId="77777777" w:rsidR="00A121E1" w:rsidRPr="00A121E1" w:rsidRDefault="00A121E1" w:rsidP="00A1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Only authorized users can initiate new demo sessions.</w:t>
      </w:r>
    </w:p>
    <w:p w14:paraId="72B7BD65" w14:textId="77777777" w:rsidR="00A121E1" w:rsidRPr="00A121E1" w:rsidRDefault="00A121E1" w:rsidP="00A1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Resource utilization must comply with allocated cloud credits and security policies.</w:t>
      </w:r>
    </w:p>
    <w:p w14:paraId="0DE9CBF9" w14:textId="77777777" w:rsidR="00A121E1" w:rsidRPr="00A121E1" w:rsidRDefault="00A121E1" w:rsidP="00A121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All demo environments reset after completion to ensure data confidentiality.</w:t>
      </w:r>
    </w:p>
    <w:p w14:paraId="5D42C1BC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27251AF3">
          <v:rect id="_x0000_i1347" style="width:0;height:1.5pt" o:hralign="center" o:hrstd="t" o:hr="t" fillcolor="#a0a0a0" stroked="f"/>
        </w:pict>
      </w:r>
    </w:p>
    <w:p w14:paraId="650F1E90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Special Requirements</w:t>
      </w:r>
    </w:p>
    <w:p w14:paraId="10146F47" w14:textId="77777777" w:rsidR="00A121E1" w:rsidRPr="00A121E1" w:rsidRDefault="00A121E1" w:rsidP="00A1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Demo provisioning must </w:t>
      </w:r>
      <w:proofErr w:type="gram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complete</w:t>
      </w:r>
      <w:proofErr w:type="gram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within 5 minutes.</w:t>
      </w:r>
    </w:p>
    <w:p w14:paraId="7AFDBF05" w14:textId="77777777" w:rsidR="00A121E1" w:rsidRPr="00A121E1" w:rsidRDefault="00A121E1" w:rsidP="00A1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must support 10+ simultaneous demos across different clouds.</w:t>
      </w:r>
    </w:p>
    <w:p w14:paraId="739626EA" w14:textId="77777777" w:rsidR="00A121E1" w:rsidRPr="00A121E1" w:rsidRDefault="00A121E1" w:rsidP="00A1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All data in transit and at rest must be encrypted (AES-256 / TLS 1.3).</w:t>
      </w:r>
    </w:p>
    <w:p w14:paraId="625FC1D6" w14:textId="77777777" w:rsidR="00A121E1" w:rsidRPr="00A121E1" w:rsidRDefault="00A121E1" w:rsidP="00A121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Extensibility: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New demos (e.g., new AI workloads) should be added using CI/CD automation with minimal manual intervention.</w:t>
      </w:r>
    </w:p>
    <w:p w14:paraId="0E9C1F10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5587B691">
          <v:rect id="_x0000_i1348" style="width:0;height:1.5pt" o:hralign="center" o:hrstd="t" o:hr="t" fillcolor="#a0a0a0" stroked="f"/>
        </w:pict>
      </w:r>
    </w:p>
    <w:p w14:paraId="16606701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Stakeholders and Interests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6287"/>
      </w:tblGrid>
      <w:tr w:rsidR="00A121E1" w:rsidRPr="00A121E1" w14:paraId="6EC7A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C6211" w14:textId="77777777" w:rsidR="00A121E1" w:rsidRPr="00A121E1" w:rsidRDefault="00A121E1" w:rsidP="00A1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22ACB56" w14:textId="77777777" w:rsidR="00A121E1" w:rsidRPr="00A121E1" w:rsidRDefault="00A121E1" w:rsidP="00A1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Interest / Objective</w:t>
            </w:r>
          </w:p>
        </w:tc>
      </w:tr>
      <w:tr w:rsidR="00A121E1" w:rsidRPr="00A121E1" w14:paraId="3F8A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BAF3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AccelQ</w:t>
            </w:r>
            <w:proofErr w:type="spellEnd"/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Executive Team</w:t>
            </w:r>
          </w:p>
        </w:tc>
        <w:tc>
          <w:tcPr>
            <w:tcW w:w="0" w:type="auto"/>
            <w:vAlign w:val="center"/>
            <w:hideMark/>
          </w:tcPr>
          <w:p w14:paraId="4DC5FD14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market leadership in emerging computing technologies</w:t>
            </w:r>
          </w:p>
        </w:tc>
      </w:tr>
      <w:tr w:rsidR="00A121E1" w:rsidRPr="00A121E1" w14:paraId="54BF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C772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 Clients</w:t>
            </w:r>
          </w:p>
        </w:tc>
        <w:tc>
          <w:tcPr>
            <w:tcW w:w="0" w:type="auto"/>
            <w:vAlign w:val="center"/>
            <w:hideMark/>
          </w:tcPr>
          <w:p w14:paraId="6E552D83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rapid development feasibility and potential ROI</w:t>
            </w:r>
          </w:p>
        </w:tc>
      </w:tr>
      <w:tr w:rsidR="00A121E1" w:rsidRPr="00A121E1" w14:paraId="182A0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F57F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 Architects</w:t>
            </w:r>
          </w:p>
        </w:tc>
        <w:tc>
          <w:tcPr>
            <w:tcW w:w="0" w:type="auto"/>
            <w:vAlign w:val="center"/>
            <w:hideMark/>
          </w:tcPr>
          <w:p w14:paraId="723FE466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architecture, integration, and scalability</w:t>
            </w:r>
          </w:p>
        </w:tc>
      </w:tr>
      <w:tr w:rsidR="00A121E1" w:rsidRPr="00A121E1" w14:paraId="53459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312A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057ACE36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demos as pre-sales engagement tools</w:t>
            </w:r>
          </w:p>
        </w:tc>
      </w:tr>
      <w:tr w:rsidR="00A121E1" w:rsidRPr="00A121E1" w14:paraId="51C90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F5E0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09886CF8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implementation for client projects</w:t>
            </w:r>
          </w:p>
        </w:tc>
      </w:tr>
      <w:tr w:rsidR="00A121E1" w:rsidRPr="00A121E1" w14:paraId="58E7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41F7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Providers (Azure, IBM)</w:t>
            </w:r>
          </w:p>
        </w:tc>
        <w:tc>
          <w:tcPr>
            <w:tcW w:w="0" w:type="auto"/>
            <w:vAlign w:val="center"/>
            <w:hideMark/>
          </w:tcPr>
          <w:p w14:paraId="00B272B5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Showcase workload performance and compatibility</w:t>
            </w:r>
          </w:p>
        </w:tc>
      </w:tr>
    </w:tbl>
    <w:p w14:paraId="388124FD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5273ADCB">
          <v:rect id="_x0000_i1349" style="width:0;height:1.5pt" o:hralign="center" o:hrstd="t" o:hr="t" fillcolor="#a0a0a0" stroked="f"/>
        </w:pict>
      </w:r>
    </w:p>
    <w:p w14:paraId="4D74D6A0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Business Use Case Diagram</w:t>
      </w:r>
    </w:p>
    <w:p w14:paraId="165A945D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Actors:</w:t>
      </w:r>
    </w:p>
    <w:p w14:paraId="2BFA7E44" w14:textId="77777777" w:rsidR="00A121E1" w:rsidRPr="00A121E1" w:rsidRDefault="00A121E1" w:rsidP="00A1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Client (Enterprise User)</w:t>
      </w:r>
    </w:p>
    <w:p w14:paraId="43CABF4F" w14:textId="77777777" w:rsidR="00A121E1" w:rsidRPr="00A121E1" w:rsidRDefault="00A121E1" w:rsidP="00A1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Demo Platform</w:t>
      </w:r>
    </w:p>
    <w:p w14:paraId="541A13E9" w14:textId="77777777" w:rsidR="00A121E1" w:rsidRPr="00A121E1" w:rsidRDefault="00A121E1" w:rsidP="00A1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Cloud Providers (Azure, IBM Quantum)</w:t>
      </w:r>
    </w:p>
    <w:p w14:paraId="077AC629" w14:textId="77777777" w:rsidR="00A121E1" w:rsidRPr="00A121E1" w:rsidRDefault="00A121E1" w:rsidP="00A1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CI/CD Pipeline</w:t>
      </w:r>
    </w:p>
    <w:p w14:paraId="0C10D7AF" w14:textId="77777777" w:rsidR="00A121E1" w:rsidRPr="00A121E1" w:rsidRDefault="00A121E1" w:rsidP="00A121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AI Agent</w:t>
      </w:r>
    </w:p>
    <w:p w14:paraId="7D2EFE4E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High-Level Flow: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Client → </w:t>
      </w: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Demo Portal → CI/CD Pipeline → Cloud Workload Execution (Confidential/Quantum) → Results Visualization</w:t>
      </w:r>
    </w:p>
    <w:p w14:paraId="0EDEFD36" w14:textId="77777777" w:rsidR="00A121E1" w:rsidRPr="00A121E1" w:rsidRDefault="00A121E1" w:rsidP="00A12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 UML-style diagram can be added for documentation purposes.)</w:t>
      </w:r>
    </w:p>
    <w:p w14:paraId="1BA4B24C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3ADF2BC6">
          <v:rect id="_x0000_i1350" style="width:0;height:1.5pt" o:hralign="center" o:hrstd="t" o:hr="t" fillcolor="#a0a0a0" stroked="f"/>
        </w:pict>
      </w:r>
    </w:p>
    <w:p w14:paraId="1858D17F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Assumptions and Dependencies</w:t>
      </w:r>
    </w:p>
    <w:p w14:paraId="2269BE58" w14:textId="77777777" w:rsidR="00A121E1" w:rsidRPr="00A121E1" w:rsidRDefault="00A121E1" w:rsidP="00A12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Integration with Azure Confidential Computing and IBM Quantum platforms remains stable.</w:t>
      </w:r>
    </w:p>
    <w:p w14:paraId="4DB7FB34" w14:textId="77777777" w:rsidR="00A121E1" w:rsidRPr="00A121E1" w:rsidRDefault="00A121E1" w:rsidP="00A12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Demo infrastructure </w:t>
      </w:r>
      <w:proofErr w:type="gram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maintained</w:t>
      </w:r>
      <w:proofErr w:type="gram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through automated CI/CD deployment scripts.</w:t>
      </w:r>
    </w:p>
    <w:p w14:paraId="262CCD70" w14:textId="77777777" w:rsidR="00A121E1" w:rsidRPr="00A121E1" w:rsidRDefault="00A121E1" w:rsidP="00A12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Availability of necessary cloud resource quotas and credentials.</w:t>
      </w:r>
    </w:p>
    <w:p w14:paraId="1FD20979" w14:textId="77777777" w:rsidR="00A121E1" w:rsidRPr="00A121E1" w:rsidRDefault="00A121E1" w:rsidP="00A121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Internet connectivity for API integrations.</w:t>
      </w:r>
    </w:p>
    <w:p w14:paraId="57C21AE2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1E9F1B68">
          <v:rect id="_x0000_i1351" style="width:0;height:1.5pt" o:hralign="center" o:hrstd="t" o:hr="t" fillcolor="#a0a0a0" stroked="f"/>
        </w:pict>
      </w:r>
    </w:p>
    <w:p w14:paraId="4C8E2538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Open Issues</w:t>
      </w:r>
    </w:p>
    <w:p w14:paraId="0436BC60" w14:textId="77777777" w:rsidR="00A121E1" w:rsidRPr="00A121E1" w:rsidRDefault="00A121E1" w:rsidP="00A1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Integration testing between AI agent orchestration and quantum workloads.</w:t>
      </w:r>
    </w:p>
    <w:p w14:paraId="42E558FC" w14:textId="77777777" w:rsidR="00A121E1" w:rsidRPr="00A121E1" w:rsidRDefault="00A121E1" w:rsidP="00A1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Scaling strategy for concurrent demo requests.</w:t>
      </w:r>
    </w:p>
    <w:p w14:paraId="73939888" w14:textId="77777777" w:rsidR="00A121E1" w:rsidRPr="00A121E1" w:rsidRDefault="00A121E1" w:rsidP="00A121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Post-demo client feedback mechanism integration.</w:t>
      </w:r>
    </w:p>
    <w:p w14:paraId="004F8336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58EB1B67">
          <v:rect id="_x0000_i1352" style="width:0;height:1.5pt" o:hralign="center" o:hrstd="t" o:hr="t" fillcolor="#a0a0a0" stroked="f"/>
        </w:pict>
      </w:r>
    </w:p>
    <w:p w14:paraId="05694E04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Business Benefits</w:t>
      </w:r>
    </w:p>
    <w:p w14:paraId="33E2A70D" w14:textId="77777777" w:rsidR="00A121E1" w:rsidRPr="00A121E1" w:rsidRDefault="00A121E1" w:rsidP="00A1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Showcases </w:t>
      </w: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AccelQ’s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ability to integrate cutting-edge technologies into practical enterprise solutions.</w:t>
      </w:r>
    </w:p>
    <w:p w14:paraId="192F7D65" w14:textId="77777777" w:rsidR="00A121E1" w:rsidRPr="00A121E1" w:rsidRDefault="00A121E1" w:rsidP="00A1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Reduces</w:t>
      </w:r>
      <w:proofErr w:type="gram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sales cycle time by giving clients tangible proof-of-concept experiences.</w:t>
      </w:r>
    </w:p>
    <w:p w14:paraId="4DEA4CEA" w14:textId="77777777" w:rsidR="00A121E1" w:rsidRPr="00A121E1" w:rsidRDefault="00A121E1" w:rsidP="00A1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Drives new revenue through consulting, turnkey solutions, and staff augmentation services.</w:t>
      </w:r>
    </w:p>
    <w:p w14:paraId="30959E90" w14:textId="77777777" w:rsidR="00A121E1" w:rsidRPr="00A121E1" w:rsidRDefault="00A121E1" w:rsidP="00A121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Strengthens </w:t>
      </w:r>
      <w:proofErr w:type="spell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AccelQ’s</w:t>
      </w:r>
      <w:proofErr w:type="spell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positioning as a </w:t>
      </w:r>
      <w:r w:rsidRPr="00A12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innovation partner</w:t>
      </w: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in confidential and quantum computing domains.</w:t>
      </w:r>
    </w:p>
    <w:p w14:paraId="76F0CB88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pict w14:anchorId="4E872837">
          <v:rect id="_x0000_i1353" style="width:0;height:1.5pt" o:hralign="center" o:hrstd="t" o:hr="t" fillcolor="#a0a0a0" stroked="f"/>
        </w:pict>
      </w:r>
    </w:p>
    <w:p w14:paraId="0EBD1CB7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Success Metrics</w:t>
      </w:r>
    </w:p>
    <w:p w14:paraId="08035926" w14:textId="77777777" w:rsidR="00A121E1" w:rsidRPr="00A121E1" w:rsidRDefault="00A121E1" w:rsidP="00A12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Number of demo sessions completed monthly.</w:t>
      </w:r>
    </w:p>
    <w:p w14:paraId="037FB0EB" w14:textId="77777777" w:rsidR="00A121E1" w:rsidRPr="00A121E1" w:rsidRDefault="00A121E1" w:rsidP="00A12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Conversion rate from demo participation to project engagement.</w:t>
      </w:r>
    </w:p>
    <w:p w14:paraId="54B2DDFE" w14:textId="77777777" w:rsidR="00A121E1" w:rsidRPr="00A121E1" w:rsidRDefault="00A121E1" w:rsidP="00A12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>Average time to deploy new demos using CI/CD.</w:t>
      </w:r>
    </w:p>
    <w:p w14:paraId="6CFB4312" w14:textId="77777777" w:rsidR="00A121E1" w:rsidRPr="00A121E1" w:rsidRDefault="00A121E1" w:rsidP="00A121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Client satisfaction </w:t>
      </w:r>
      <w:proofErr w:type="gramStart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>score</w:t>
      </w:r>
      <w:proofErr w:type="gramEnd"/>
      <w:r w:rsidRPr="00A121E1">
        <w:rPr>
          <w:rFonts w:ascii="Times New Roman" w:eastAsia="Times New Roman" w:hAnsi="Times New Roman" w:cs="Times New Roman"/>
          <w:kern w:val="0"/>
          <w14:ligatures w14:val="none"/>
        </w:rPr>
        <w:t xml:space="preserve"> post-demo.</w:t>
      </w:r>
    </w:p>
    <w:p w14:paraId="7E48F5A8" w14:textId="77777777" w:rsidR="00A121E1" w:rsidRPr="00A121E1" w:rsidRDefault="00A121E1" w:rsidP="00A121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21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1EB21A">
          <v:rect id="_x0000_i1354" style="width:0;height:1.5pt" o:hralign="center" o:hrstd="t" o:hr="t" fillcolor="#a0a0a0" stroked="f"/>
        </w:pict>
      </w:r>
    </w:p>
    <w:p w14:paraId="5005326E" w14:textId="77777777" w:rsidR="00A121E1" w:rsidRPr="00A121E1" w:rsidRDefault="00A121E1" w:rsidP="00A121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21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7236"/>
      </w:tblGrid>
      <w:tr w:rsidR="00A121E1" w:rsidRPr="00A121E1" w14:paraId="04D1F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C7E4C" w14:textId="77777777" w:rsidR="00A121E1" w:rsidRPr="00A121E1" w:rsidRDefault="00A121E1" w:rsidP="00A1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362FBB" w14:textId="77777777" w:rsidR="00A121E1" w:rsidRPr="00A121E1" w:rsidRDefault="00A121E1" w:rsidP="00A12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A121E1" w:rsidRPr="00A121E1" w14:paraId="429A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5E4B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Confidential Computing</w:t>
            </w:r>
          </w:p>
        </w:tc>
        <w:tc>
          <w:tcPr>
            <w:tcW w:w="0" w:type="auto"/>
            <w:vAlign w:val="center"/>
            <w:hideMark/>
          </w:tcPr>
          <w:p w14:paraId="22702077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computation technique where data remains encrypted even during processing.</w:t>
            </w:r>
          </w:p>
        </w:tc>
      </w:tr>
      <w:tr w:rsidR="00A121E1" w:rsidRPr="00A121E1" w14:paraId="4048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BEEA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Quantum Computing</w:t>
            </w:r>
          </w:p>
        </w:tc>
        <w:tc>
          <w:tcPr>
            <w:tcW w:w="0" w:type="auto"/>
            <w:vAlign w:val="center"/>
            <w:hideMark/>
          </w:tcPr>
          <w:p w14:paraId="2759EF93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Computational paradigm leveraging quantum-mechanical phenomena for high-performance problem-solving.</w:t>
            </w:r>
          </w:p>
        </w:tc>
      </w:tr>
      <w:tr w:rsidR="00A121E1" w:rsidRPr="00A121E1" w14:paraId="5F9AF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D41D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55E22464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Autonomous component performing workflow automation and decision-making.</w:t>
            </w:r>
          </w:p>
        </w:tc>
      </w:tr>
      <w:tr w:rsidR="00A121E1" w:rsidRPr="00A121E1" w14:paraId="07196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D87D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7A81ACF" w14:textId="77777777" w:rsidR="00A121E1" w:rsidRPr="00A121E1" w:rsidRDefault="00A121E1" w:rsidP="00A121E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1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Integration / Continuous Deployment pipeline enabling rapid iteration.</w:t>
            </w:r>
          </w:p>
        </w:tc>
      </w:tr>
    </w:tbl>
    <w:p w14:paraId="397FA1FA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208"/>
    <w:multiLevelType w:val="multilevel"/>
    <w:tmpl w:val="0F4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6FC0"/>
    <w:multiLevelType w:val="multilevel"/>
    <w:tmpl w:val="DFE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52241"/>
    <w:multiLevelType w:val="multilevel"/>
    <w:tmpl w:val="9BD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C4307"/>
    <w:multiLevelType w:val="multilevel"/>
    <w:tmpl w:val="71D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B3731"/>
    <w:multiLevelType w:val="multilevel"/>
    <w:tmpl w:val="052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67B0"/>
    <w:multiLevelType w:val="multilevel"/>
    <w:tmpl w:val="52A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1677D"/>
    <w:multiLevelType w:val="multilevel"/>
    <w:tmpl w:val="DC8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612B5"/>
    <w:multiLevelType w:val="multilevel"/>
    <w:tmpl w:val="E09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C2FF7"/>
    <w:multiLevelType w:val="multilevel"/>
    <w:tmpl w:val="B6F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C2FA8"/>
    <w:multiLevelType w:val="multilevel"/>
    <w:tmpl w:val="E8A6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60651"/>
    <w:multiLevelType w:val="multilevel"/>
    <w:tmpl w:val="FAA2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94ACA"/>
    <w:multiLevelType w:val="multilevel"/>
    <w:tmpl w:val="C3D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4565D"/>
    <w:multiLevelType w:val="multilevel"/>
    <w:tmpl w:val="F81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34A46"/>
    <w:multiLevelType w:val="multilevel"/>
    <w:tmpl w:val="545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23E38"/>
    <w:multiLevelType w:val="multilevel"/>
    <w:tmpl w:val="61B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873A1"/>
    <w:multiLevelType w:val="multilevel"/>
    <w:tmpl w:val="7A2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E7DB2"/>
    <w:multiLevelType w:val="multilevel"/>
    <w:tmpl w:val="B404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F726F8"/>
    <w:multiLevelType w:val="multilevel"/>
    <w:tmpl w:val="3DA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776D4"/>
    <w:multiLevelType w:val="multilevel"/>
    <w:tmpl w:val="DF2A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F5EFC"/>
    <w:multiLevelType w:val="multilevel"/>
    <w:tmpl w:val="7E2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F0BD9"/>
    <w:multiLevelType w:val="multilevel"/>
    <w:tmpl w:val="5388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092D61"/>
    <w:multiLevelType w:val="multilevel"/>
    <w:tmpl w:val="1A7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6283">
    <w:abstractNumId w:val="20"/>
  </w:num>
  <w:num w:numId="2" w16cid:durableId="1214461418">
    <w:abstractNumId w:val="4"/>
  </w:num>
  <w:num w:numId="3" w16cid:durableId="500507031">
    <w:abstractNumId w:val="2"/>
  </w:num>
  <w:num w:numId="4" w16cid:durableId="639118940">
    <w:abstractNumId w:val="17"/>
  </w:num>
  <w:num w:numId="5" w16cid:durableId="476649231">
    <w:abstractNumId w:val="8"/>
  </w:num>
  <w:num w:numId="6" w16cid:durableId="1209798847">
    <w:abstractNumId w:val="11"/>
  </w:num>
  <w:num w:numId="7" w16cid:durableId="220292538">
    <w:abstractNumId w:val="21"/>
  </w:num>
  <w:num w:numId="8" w16cid:durableId="829294651">
    <w:abstractNumId w:val="10"/>
  </w:num>
  <w:num w:numId="9" w16cid:durableId="45686724">
    <w:abstractNumId w:val="0"/>
  </w:num>
  <w:num w:numId="10" w16cid:durableId="639070700">
    <w:abstractNumId w:val="15"/>
  </w:num>
  <w:num w:numId="11" w16cid:durableId="534270732">
    <w:abstractNumId w:val="6"/>
  </w:num>
  <w:num w:numId="12" w16cid:durableId="1436905161">
    <w:abstractNumId w:val="16"/>
  </w:num>
  <w:num w:numId="13" w16cid:durableId="539325799">
    <w:abstractNumId w:val="18"/>
  </w:num>
  <w:num w:numId="14" w16cid:durableId="2103258927">
    <w:abstractNumId w:val="7"/>
  </w:num>
  <w:num w:numId="15" w16cid:durableId="1664160864">
    <w:abstractNumId w:val="14"/>
  </w:num>
  <w:num w:numId="16" w16cid:durableId="2092852938">
    <w:abstractNumId w:val="12"/>
  </w:num>
  <w:num w:numId="17" w16cid:durableId="1818909330">
    <w:abstractNumId w:val="5"/>
  </w:num>
  <w:num w:numId="18" w16cid:durableId="1785223594">
    <w:abstractNumId w:val="3"/>
  </w:num>
  <w:num w:numId="19" w16cid:durableId="1958875819">
    <w:abstractNumId w:val="1"/>
  </w:num>
  <w:num w:numId="20" w16cid:durableId="500774710">
    <w:abstractNumId w:val="13"/>
  </w:num>
  <w:num w:numId="21" w16cid:durableId="507715918">
    <w:abstractNumId w:val="9"/>
  </w:num>
  <w:num w:numId="22" w16cid:durableId="1346116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E1"/>
    <w:rsid w:val="001157BD"/>
    <w:rsid w:val="004A002F"/>
    <w:rsid w:val="006E19A6"/>
    <w:rsid w:val="00790EFA"/>
    <w:rsid w:val="00A121E1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7A27"/>
  <w15:chartTrackingRefBased/>
  <w15:docId w15:val="{3EECAE4E-90BA-4008-93BF-AF9F9A90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4953</Characters>
  <Application>Microsoft Office Word</Application>
  <DocSecurity>0</DocSecurity>
  <Lines>154</Lines>
  <Paragraphs>107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2025-11-03T21:50:00Z</dcterms:created>
  <dcterms:modified xsi:type="dcterms:W3CDTF">2025-11-03T21:51:00Z</dcterms:modified>
</cp:coreProperties>
</file>