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6772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0FA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🧭</w:t>
      </w:r>
      <w:r w:rsidRPr="00B30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TOGAF Phase A — Architecture Vision</w:t>
      </w:r>
    </w:p>
    <w:p w14:paraId="2DE84F77" w14:textId="77777777" w:rsidR="00B30FAF" w:rsidRPr="00B30FAF" w:rsidRDefault="00B30FAF" w:rsidP="00B3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(RUP-Aligned Business Architecture Document for </w:t>
      </w:r>
      <w:proofErr w:type="spellStart"/>
      <w:r w:rsidRPr="00B30FAF">
        <w:rPr>
          <w:rFonts w:ascii="Times New Roman" w:eastAsia="Times New Roman" w:hAnsi="Times New Roman" w:cs="Times New Roman"/>
          <w:i/>
          <w:iCs/>
          <w:sz w:val="24"/>
          <w:szCs w:val="24"/>
        </w:rPr>
        <w:t>AccelQ</w:t>
      </w:r>
      <w:proofErr w:type="spellEnd"/>
      <w:r w:rsidRPr="00B30FA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Demo-Driven Platform)</w:t>
      </w:r>
    </w:p>
    <w:p w14:paraId="443D53E8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126C4235">
          <v:rect id="_x0000_i1529" style="width:0;height:1.5pt" o:hralign="center" o:hrstd="t" o:hr="t" fillcolor="#a0a0a0" stroked="f"/>
        </w:pict>
      </w:r>
    </w:p>
    <w:p w14:paraId="7FC8D6A6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4714"/>
      </w:tblGrid>
      <w:tr w:rsidR="00B30FAF" w:rsidRPr="00B30FAF" w14:paraId="1F679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FA9AC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D7CFFA1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30FAF" w:rsidRPr="00B30FAF" w14:paraId="64AA1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925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22885ED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TOGAF Phase A – Core Architecture Vision</w:t>
            </w:r>
          </w:p>
        </w:tc>
      </w:tr>
      <w:tr w:rsidR="00B30FAF" w:rsidRPr="00B30FAF" w14:paraId="45AE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F9F4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F51F19D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AccelQ</w:t>
            </w:r>
            <w:proofErr w:type="spellEnd"/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Agent–Driven Demo Platform</w:t>
            </w:r>
          </w:p>
        </w:tc>
      </w:tr>
      <w:tr w:rsidR="00B30FAF" w:rsidRPr="00B30FAF" w14:paraId="3F4E2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CCDC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C29EBF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B30FAF" w:rsidRPr="00B30FAF" w14:paraId="3004A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449B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150B38B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November 2025</w:t>
            </w:r>
          </w:p>
        </w:tc>
      </w:tr>
      <w:tr w:rsidR="00B30FAF" w:rsidRPr="00B30FAF" w14:paraId="5CC7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00C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D76AC9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Strategy &amp; Delivery Team, </w:t>
            </w:r>
            <w:proofErr w:type="spellStart"/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AccelQ</w:t>
            </w:r>
            <w:proofErr w:type="spellEnd"/>
          </w:p>
        </w:tc>
      </w:tr>
      <w:tr w:rsidR="00B30FAF" w:rsidRPr="00B30FAF" w14:paraId="0A7D9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48E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1BC9097C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Architecture Group</w:t>
            </w:r>
          </w:p>
        </w:tc>
      </w:tr>
      <w:tr w:rsidR="00B30FAF" w:rsidRPr="00B30FAF" w14:paraId="1FC17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99AA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6CF8CC46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Leadership &amp; Communications Team</w:t>
            </w:r>
          </w:p>
        </w:tc>
      </w:tr>
    </w:tbl>
    <w:p w14:paraId="5C2AC755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5E34B8E1">
          <v:rect id="_x0000_i1530" style="width:0;height:1.5pt" o:hralign="center" o:hrstd="t" o:hr="t" fillcolor="#a0a0a0" stroked="f"/>
        </w:pict>
      </w:r>
    </w:p>
    <w:p w14:paraId="702DE1F1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2. Purpose and Objectives</w:t>
      </w:r>
    </w:p>
    <w:p w14:paraId="2B41C121" w14:textId="77777777" w:rsidR="00B30FAF" w:rsidRPr="00B30FAF" w:rsidRDefault="00B30FAF" w:rsidP="00B3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The purpose of this document is to define and communicate the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vision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 w:rsidRPr="00B30FAF">
        <w:rPr>
          <w:rFonts w:ascii="Times New Roman" w:eastAsia="Times New Roman" w:hAnsi="Times New Roman" w:cs="Times New Roman"/>
          <w:i/>
          <w:iCs/>
          <w:sz w:val="24"/>
          <w:szCs w:val="24"/>
        </w:rPr>
        <w:t>AccelQ</w:t>
      </w:r>
      <w:proofErr w:type="spellEnd"/>
      <w:r w:rsidRPr="00B30FA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Demo-Driven Platform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within TOGAF’s ADM Phase A.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br/>
        <w:t>This document:</w:t>
      </w:r>
    </w:p>
    <w:p w14:paraId="149ADC18" w14:textId="77777777" w:rsidR="00B30FAF" w:rsidRPr="00B30FAF" w:rsidRDefault="00B30FAF" w:rsidP="00B30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Establishes the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context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>, scope, and principles.</w:t>
      </w:r>
    </w:p>
    <w:p w14:paraId="13FA34AD" w14:textId="77777777" w:rsidR="00B30FAF" w:rsidRPr="00B30FAF" w:rsidRDefault="00B30FAF" w:rsidP="00B30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Articulates the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drivers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stakeholders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outcomes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38DEB" w14:textId="77777777" w:rsidR="00B30FAF" w:rsidRPr="00B30FAF" w:rsidRDefault="00B30FAF" w:rsidP="00B30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Defines the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vision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for a CI/CD-driven, multi-cloud demo environment.</w:t>
      </w:r>
    </w:p>
    <w:p w14:paraId="69282545" w14:textId="77777777" w:rsidR="00B30FAF" w:rsidRPr="00B30FAF" w:rsidRDefault="00B30FAF" w:rsidP="00B30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Serves as a baseline for subsequent phases (B through E).</w:t>
      </w:r>
    </w:p>
    <w:p w14:paraId="442AAB0C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27A57079">
          <v:rect id="_x0000_i1531" style="width:0;height:1.5pt" o:hralign="center" o:hrstd="t" o:hr="t" fillcolor="#a0a0a0" stroked="f"/>
        </w:pict>
      </w:r>
    </w:p>
    <w:p w14:paraId="33F0CEA4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3. Background and Motivation</w:t>
      </w:r>
    </w:p>
    <w:p w14:paraId="383436E8" w14:textId="77777777" w:rsidR="00B30FAF" w:rsidRPr="00B30FAF" w:rsidRDefault="00B30FAF" w:rsidP="00B3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0FAF">
        <w:rPr>
          <w:rFonts w:ascii="Times New Roman" w:eastAsia="Times New Roman" w:hAnsi="Times New Roman" w:cs="Times New Roman"/>
          <w:sz w:val="24"/>
          <w:szCs w:val="24"/>
        </w:rPr>
        <w:t>AccelQ</w:t>
      </w:r>
      <w:proofErr w:type="spellEnd"/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is expanding its professional services portfolio into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 computing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quantum computing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br/>
        <w:t xml:space="preserve">Enterprises often struggle to </w:t>
      </w:r>
      <w:r w:rsidRPr="00B30FAF">
        <w:rPr>
          <w:rFonts w:ascii="Times New Roman" w:eastAsia="Times New Roman" w:hAnsi="Times New Roman" w:cs="Times New Roman"/>
          <w:i/>
          <w:iCs/>
          <w:sz w:val="24"/>
          <w:szCs w:val="24"/>
        </w:rPr>
        <w:t>see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30FAF">
        <w:rPr>
          <w:rFonts w:ascii="Times New Roman" w:eastAsia="Times New Roman" w:hAnsi="Times New Roman" w:cs="Times New Roman"/>
          <w:i/>
          <w:iCs/>
          <w:sz w:val="24"/>
          <w:szCs w:val="24"/>
        </w:rPr>
        <w:t>experiment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with these emerging technologies quickly.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br/>
        <w:t xml:space="preserve">The vision: a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platform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powered by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AI Agents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that dynamically provisions 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lastRenderedPageBreak/>
        <w:t>demo environments across Azure Confidential Computing and IBM Quantum Clouds, demonstrating rapid development through CI/CD automation.</w:t>
      </w:r>
    </w:p>
    <w:p w14:paraId="462B2724" w14:textId="77777777" w:rsidR="00B30FAF" w:rsidRPr="00B30FAF" w:rsidRDefault="00B30FAF" w:rsidP="00B3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Goals</w:t>
      </w:r>
    </w:p>
    <w:p w14:paraId="00896726" w14:textId="77777777" w:rsidR="00B30FAF" w:rsidRPr="00B30FAF" w:rsidRDefault="00B30FAF" w:rsidP="00B30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Showcase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innovation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leadership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46D2D4" w14:textId="77777777" w:rsidR="00B30FAF" w:rsidRPr="00B30FAF" w:rsidRDefault="00B30FAF" w:rsidP="00B30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Reduce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time-to-market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for client prototypes.</w:t>
      </w:r>
    </w:p>
    <w:p w14:paraId="6212E76E" w14:textId="77777777" w:rsidR="00B30FAF" w:rsidRPr="00B30FAF" w:rsidRDefault="00B30FAF" w:rsidP="00B30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demos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that convert to consulting engagements.</w:t>
      </w:r>
    </w:p>
    <w:p w14:paraId="0A455931" w14:textId="77777777" w:rsidR="00B30FAF" w:rsidRPr="00B30FAF" w:rsidRDefault="00B30FAF" w:rsidP="00B30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7B7017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10D8988B">
          <v:rect id="_x0000_i1532" style="width:0;height:1.5pt" o:hralign="center" o:hrstd="t" o:hr="t" fillcolor="#a0a0a0" stroked="f"/>
        </w:pict>
      </w:r>
    </w:p>
    <w:p w14:paraId="1787DA2E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4. Business Drivers and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796"/>
        <w:gridCol w:w="2672"/>
      </w:tblGrid>
      <w:tr w:rsidR="00B30FAF" w:rsidRPr="00B30FAF" w14:paraId="1AD35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9D68D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738AFC5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Drivers</w:t>
            </w:r>
          </w:p>
        </w:tc>
        <w:tc>
          <w:tcPr>
            <w:tcW w:w="0" w:type="auto"/>
            <w:vAlign w:val="center"/>
            <w:hideMark/>
          </w:tcPr>
          <w:p w14:paraId="64BBFC85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Benefit</w:t>
            </w:r>
          </w:p>
        </w:tc>
      </w:tr>
      <w:tr w:rsidR="00B30FAF" w:rsidRPr="00B30FAF" w14:paraId="7DFD0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7FC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0C308302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Demand for tangible, working demos in cutting-edge tech</w:t>
            </w:r>
          </w:p>
        </w:tc>
        <w:tc>
          <w:tcPr>
            <w:tcW w:w="0" w:type="auto"/>
            <w:vAlign w:val="center"/>
            <w:hideMark/>
          </w:tcPr>
          <w:p w14:paraId="3C1EA06B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Increased conversion and trust</w:t>
            </w:r>
          </w:p>
        </w:tc>
      </w:tr>
      <w:tr w:rsidR="00B30FAF" w:rsidRPr="00B30FAF" w14:paraId="3F35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894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E6D588F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AI agents, confidential workloads, quantum computing</w:t>
            </w:r>
          </w:p>
        </w:tc>
        <w:tc>
          <w:tcPr>
            <w:tcW w:w="0" w:type="auto"/>
            <w:vAlign w:val="center"/>
            <w:hideMark/>
          </w:tcPr>
          <w:p w14:paraId="13EB269E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Early adoption &amp; IP creation</w:t>
            </w:r>
          </w:p>
        </w:tc>
      </w:tr>
      <w:tr w:rsidR="00B30FAF" w:rsidRPr="00B30FAF" w14:paraId="30128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C936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3AF0066B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Faster CI/CD delivery, automation, reusable assets</w:t>
            </w:r>
          </w:p>
        </w:tc>
        <w:tc>
          <w:tcPr>
            <w:tcW w:w="0" w:type="auto"/>
            <w:vAlign w:val="center"/>
            <w:hideMark/>
          </w:tcPr>
          <w:p w14:paraId="2532FCA2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Lower cost per engagement</w:t>
            </w:r>
          </w:p>
        </w:tc>
      </w:tr>
      <w:tr w:rsidR="00B30FAF" w:rsidRPr="00B30FAF" w14:paraId="148E0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2F13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F58C8D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Data-in-use encryption, policy compliance</w:t>
            </w:r>
          </w:p>
        </w:tc>
        <w:tc>
          <w:tcPr>
            <w:tcW w:w="0" w:type="auto"/>
            <w:vAlign w:val="center"/>
            <w:hideMark/>
          </w:tcPr>
          <w:p w14:paraId="1C1CB66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Enterprise-grade assurance</w:t>
            </w:r>
          </w:p>
        </w:tc>
      </w:tr>
      <w:tr w:rsidR="00B30FAF" w:rsidRPr="00B30FAF" w14:paraId="66317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60A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5DFAEF2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Hands-on demos and reference code</w:t>
            </w:r>
          </w:p>
        </w:tc>
        <w:tc>
          <w:tcPr>
            <w:tcW w:w="0" w:type="auto"/>
            <w:vAlign w:val="center"/>
            <w:hideMark/>
          </w:tcPr>
          <w:p w14:paraId="41474511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Accelerated onboarding</w:t>
            </w:r>
          </w:p>
        </w:tc>
      </w:tr>
    </w:tbl>
    <w:p w14:paraId="13C0B9D8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>Stakeholders and Concerns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614"/>
        <w:gridCol w:w="4274"/>
      </w:tblGrid>
      <w:tr w:rsidR="00B30FAF" w:rsidRPr="00B30FAF" w14:paraId="1338E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63EA0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BBD71F0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C90105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Concern / Interest</w:t>
            </w:r>
          </w:p>
        </w:tc>
      </w:tr>
      <w:tr w:rsidR="00B30FAF" w:rsidRPr="00B30FAF" w14:paraId="12EE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F60E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5D172C3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Vision &amp; ROI</w:t>
            </w:r>
          </w:p>
        </w:tc>
        <w:tc>
          <w:tcPr>
            <w:tcW w:w="0" w:type="auto"/>
            <w:vAlign w:val="center"/>
            <w:hideMark/>
          </w:tcPr>
          <w:p w14:paraId="5D07E523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Market positioning, strategic differentiation</w:t>
            </w:r>
          </w:p>
        </w:tc>
      </w:tr>
      <w:tr w:rsidR="00B30FAF" w:rsidRPr="00B30FAF" w14:paraId="0643B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74DF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1E308061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Design integrity</w:t>
            </w:r>
          </w:p>
        </w:tc>
        <w:tc>
          <w:tcPr>
            <w:tcW w:w="0" w:type="auto"/>
            <w:vAlign w:val="center"/>
            <w:hideMark/>
          </w:tcPr>
          <w:p w14:paraId="45B9DC42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Integration, scalability, compliance</w:t>
            </w:r>
          </w:p>
        </w:tc>
      </w:tr>
      <w:tr w:rsidR="00B30FAF" w:rsidRPr="00B30FAF" w14:paraId="1C76F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F786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Sales &amp; Marketing</w:t>
            </w:r>
          </w:p>
        </w:tc>
        <w:tc>
          <w:tcPr>
            <w:tcW w:w="0" w:type="auto"/>
            <w:vAlign w:val="center"/>
            <w:hideMark/>
          </w:tcPr>
          <w:p w14:paraId="5991C88A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Go-to-market</w:t>
            </w:r>
          </w:p>
        </w:tc>
        <w:tc>
          <w:tcPr>
            <w:tcW w:w="0" w:type="auto"/>
            <w:vAlign w:val="center"/>
            <w:hideMark/>
          </w:tcPr>
          <w:p w14:paraId="48C72F86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Speed, ease of demonstration</w:t>
            </w:r>
          </w:p>
        </w:tc>
      </w:tr>
      <w:tr w:rsidR="00B30FAF" w:rsidRPr="00B30FAF" w14:paraId="26D6A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910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Team</w:t>
            </w:r>
          </w:p>
        </w:tc>
        <w:tc>
          <w:tcPr>
            <w:tcW w:w="0" w:type="auto"/>
            <w:vAlign w:val="center"/>
            <w:hideMark/>
          </w:tcPr>
          <w:p w14:paraId="01FCD24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B1A9BC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CI/CD, repeatability, testability</w:t>
            </w:r>
          </w:p>
        </w:tc>
      </w:tr>
      <w:tr w:rsidR="00B30FAF" w:rsidRPr="00B30FAF" w14:paraId="14ACF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9DA4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14:paraId="68A95E96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49EA1AB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Confidentiality, risk mitigation</w:t>
            </w:r>
          </w:p>
        </w:tc>
      </w:tr>
      <w:tr w:rsidR="00B30FAF" w:rsidRPr="00B30FAF" w14:paraId="7A66D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8336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Client</w:t>
            </w:r>
          </w:p>
        </w:tc>
        <w:tc>
          <w:tcPr>
            <w:tcW w:w="0" w:type="auto"/>
            <w:vAlign w:val="center"/>
            <w:hideMark/>
          </w:tcPr>
          <w:p w14:paraId="106781B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6DE80DD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Value, usability, trust</w:t>
            </w:r>
          </w:p>
        </w:tc>
      </w:tr>
    </w:tbl>
    <w:p w14:paraId="56691BB6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6060C404">
          <v:rect id="_x0000_i1533" style="width:0;height:1.5pt" o:hralign="center" o:hrstd="t" o:hr="t" fillcolor="#a0a0a0" stroked="f"/>
        </w:pict>
      </w:r>
    </w:p>
    <w:p w14:paraId="1958F1F5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0FAF">
        <w:rPr>
          <w:rFonts w:ascii="Segoe UI Emoji" w:eastAsia="Times New Roman" w:hAnsi="Segoe UI Emoji" w:cs="Segoe UI Emoji"/>
          <w:b/>
          <w:bCs/>
          <w:sz w:val="27"/>
          <w:szCs w:val="27"/>
        </w:rPr>
        <w:t>🌐</w:t>
      </w:r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>PlantUML</w:t>
      </w:r>
      <w:proofErr w:type="spellEnd"/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Stakeholder Context Diagram</w:t>
      </w:r>
    </w:p>
    <w:p w14:paraId="0446F982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31DE97DD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title Stakeholder Context - Phase A Vision</w:t>
      </w:r>
    </w:p>
    <w:p w14:paraId="4374D67F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559E79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"Executive Sponsor" as Exec</w:t>
      </w:r>
    </w:p>
    <w:p w14:paraId="13AD8E15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"Solution Architect" as Arch</w:t>
      </w:r>
    </w:p>
    <w:p w14:paraId="04307481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"Delivery Engineer" as Dev</w:t>
      </w:r>
    </w:p>
    <w:p w14:paraId="51F2272B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"Security Officer" as Sec</w:t>
      </w:r>
    </w:p>
    <w:p w14:paraId="51D58033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lastRenderedPageBreak/>
        <w:t>actor "Sales &amp; Marketing" as Sales</w:t>
      </w:r>
    </w:p>
    <w:p w14:paraId="06A40DBB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"Enterprise Client" as Client</w:t>
      </w:r>
    </w:p>
    <w:p w14:paraId="5EAF734F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E77645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rectangle "</w:t>
      </w:r>
      <w:proofErr w:type="spellStart"/>
      <w:r w:rsidRPr="00B30FAF">
        <w:rPr>
          <w:rFonts w:ascii="Courier New" w:eastAsia="Times New Roman" w:hAnsi="Courier New" w:cs="Courier New"/>
          <w:sz w:val="20"/>
          <w:szCs w:val="20"/>
        </w:rPr>
        <w:t>AccelQ</w:t>
      </w:r>
      <w:proofErr w:type="spell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Demo-Driven Platform" as Platform {</w:t>
      </w:r>
    </w:p>
    <w:p w14:paraId="49B0DD01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component "Web Portal\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n(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>Client UI)" as Portal</w:t>
      </w:r>
    </w:p>
    <w:p w14:paraId="211B4216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component "Orchestration Service\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n(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>CI/CD Workflows)" as Orchestrator</w:t>
      </w:r>
    </w:p>
    <w:p w14:paraId="2DC30DDA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component "AI Agent Engine\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n(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>Automation &amp; Reasoning)" as Agent</w:t>
      </w:r>
    </w:p>
    <w:p w14:paraId="2EF71F17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component "Integration Layer\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n(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>API + Cloud SDK)" as Integration</w:t>
      </w:r>
    </w:p>
    <w:p w14:paraId="5970865A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}</w:t>
      </w:r>
    </w:p>
    <w:p w14:paraId="4CDF1219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61609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Exec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Platform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Approve funding, monitor ROI</w:t>
      </w:r>
    </w:p>
    <w:p w14:paraId="5E481FA6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Sales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Portal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Trigger Demo Requests</w:t>
      </w:r>
    </w:p>
    <w:p w14:paraId="0FF30EFB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Client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Portal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Interact with Demos</w:t>
      </w:r>
    </w:p>
    <w:p w14:paraId="7A926755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Arch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Platform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Define architecture &amp; standards</w:t>
      </w:r>
    </w:p>
    <w:p w14:paraId="5D9311E7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Dev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Orchestrator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Build/Deploy Pipelines</w:t>
      </w:r>
    </w:p>
    <w:p w14:paraId="6E22A5A7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Sec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Platform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Enforce Security Policies</w:t>
      </w:r>
    </w:p>
    <w:p w14:paraId="4239F699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Agent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Integration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Execute Workloads (Azure/IBM)</w:t>
      </w:r>
    </w:p>
    <w:p w14:paraId="44B61A08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19118591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7B4CBE24">
          <v:rect id="_x0000_i1534" style="width:0;height:1.5pt" o:hralign="center" o:hrstd="t" o:hr="t" fillcolor="#a0a0a0" stroked="f"/>
        </w:pict>
      </w:r>
    </w:p>
    <w:p w14:paraId="503DCB4A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5. Business Goals, Objectives, and Constraints</w:t>
      </w:r>
    </w:p>
    <w:p w14:paraId="6DACB7E3" w14:textId="77777777" w:rsidR="00B30FAF" w:rsidRPr="00B30FAF" w:rsidRDefault="00B30FAF" w:rsidP="00B3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Goals</w:t>
      </w:r>
    </w:p>
    <w:p w14:paraId="16176FC9" w14:textId="77777777" w:rsidR="00B30FAF" w:rsidRPr="00B30FAF" w:rsidRDefault="00B30FAF" w:rsidP="00B30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Provide clients with a </w:t>
      </w:r>
      <w:r w:rsidRPr="00B30FAF">
        <w:rPr>
          <w:rFonts w:ascii="Times New Roman" w:eastAsia="Times New Roman" w:hAnsi="Times New Roman" w:cs="Times New Roman"/>
          <w:i/>
          <w:iCs/>
          <w:sz w:val="24"/>
          <w:szCs w:val="24"/>
        </w:rPr>
        <w:t>real-time, interactive demo experience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within 5 minutes of request.</w:t>
      </w:r>
    </w:p>
    <w:p w14:paraId="1C28304A" w14:textId="77777777" w:rsidR="00B30FAF" w:rsidRPr="00B30FAF" w:rsidRDefault="00B30FAF" w:rsidP="00B30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Demonstrate confidential and quantum workloads securely.</w:t>
      </w:r>
    </w:p>
    <w:p w14:paraId="4CD1382F" w14:textId="77777777" w:rsidR="00B30FAF" w:rsidRPr="00B30FAF" w:rsidRDefault="00B30FAF" w:rsidP="00B30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Enable CI/CD automation to onboard new demos within 2 days.</w:t>
      </w:r>
    </w:p>
    <w:p w14:paraId="116550D9" w14:textId="77777777" w:rsidR="00B30FAF" w:rsidRPr="00B30FAF" w:rsidRDefault="00B30FAF" w:rsidP="00B30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Deliver measurable engagement metrics and code artifacts.</w:t>
      </w:r>
    </w:p>
    <w:p w14:paraId="76DB4C47" w14:textId="77777777" w:rsidR="00B30FAF" w:rsidRPr="00B30FAF" w:rsidRDefault="00B30FAF" w:rsidP="00B3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</w:p>
    <w:p w14:paraId="560A2984" w14:textId="77777777" w:rsidR="00B30FAF" w:rsidRPr="00B30FAF" w:rsidRDefault="00B30FAF" w:rsidP="00B30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Must comply with client data-handling and export regulations.</w:t>
      </w:r>
    </w:p>
    <w:p w14:paraId="5EE7922E" w14:textId="77777777" w:rsidR="00B30FAF" w:rsidRPr="00B30FAF" w:rsidRDefault="00B30FAF" w:rsidP="00B30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Must operate within existing </w:t>
      </w:r>
      <w:proofErr w:type="spellStart"/>
      <w:r w:rsidRPr="00B30FAF">
        <w:rPr>
          <w:rFonts w:ascii="Times New Roman" w:eastAsia="Times New Roman" w:hAnsi="Times New Roman" w:cs="Times New Roman"/>
          <w:sz w:val="24"/>
          <w:szCs w:val="24"/>
        </w:rPr>
        <w:t>AccelQ</w:t>
      </w:r>
      <w:proofErr w:type="spellEnd"/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cloud governance boundaries.</w:t>
      </w:r>
    </w:p>
    <w:p w14:paraId="74DFD7C2" w14:textId="77777777" w:rsidR="00B30FAF" w:rsidRPr="00B30FAF" w:rsidRDefault="00B30FAF" w:rsidP="00B30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Limited human intervention—automation first.</w:t>
      </w:r>
    </w:p>
    <w:p w14:paraId="4A6520A4" w14:textId="77777777" w:rsidR="00B30FAF" w:rsidRPr="00B30FAF" w:rsidRDefault="00B30FAF" w:rsidP="00B30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Cost ceilings for demo compute usage.</w:t>
      </w:r>
    </w:p>
    <w:p w14:paraId="24A21476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4A277279">
          <v:rect id="_x0000_i1535" style="width:0;height:1.5pt" o:hralign="center" o:hrstd="t" o:hr="t" fillcolor="#a0a0a0" stroked="f"/>
        </w:pict>
      </w:r>
    </w:p>
    <w:p w14:paraId="78F7C762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6. Architecture Vision Statement</w:t>
      </w:r>
    </w:p>
    <w:p w14:paraId="54A8F69B" w14:textId="77777777" w:rsidR="00B30FAF" w:rsidRPr="00B30FAF" w:rsidRDefault="00B30FAF" w:rsidP="00B3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B30FAF">
        <w:rPr>
          <w:rFonts w:ascii="Times New Roman" w:eastAsia="Times New Roman" w:hAnsi="Times New Roman" w:cs="Times New Roman"/>
          <w:sz w:val="24"/>
          <w:szCs w:val="24"/>
        </w:rPr>
        <w:t>AccelQ</w:t>
      </w:r>
      <w:proofErr w:type="spellEnd"/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empowers enterprises to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next-generation computing—AI, confidential, and quantum—through a </w:t>
      </w: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secure, automated demo platform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that turns exploration into execution.”</w:t>
      </w:r>
    </w:p>
    <w:p w14:paraId="710989D3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665F6E7C">
          <v:rect id="_x0000_i1536" style="width:0;height:1.5pt" o:hralign="center" o:hrstd="t" o:hr="t" fillcolor="#a0a0a0" stroked="f"/>
        </w:pict>
      </w:r>
    </w:p>
    <w:p w14:paraId="15F9449D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7. Scope and Boundaries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4413"/>
        <w:gridCol w:w="2695"/>
      </w:tblGrid>
      <w:tr w:rsidR="00B30FAF" w:rsidRPr="00B30FAF" w14:paraId="1395C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9F050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5C14E628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28CE761B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 of Scope</w:t>
            </w:r>
          </w:p>
        </w:tc>
      </w:tr>
      <w:tr w:rsidR="00B30FAF" w:rsidRPr="00B30FAF" w14:paraId="4F192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ED8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B163E0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Demo management, CI/CD automation, multi-cloud integration</w:t>
            </w:r>
          </w:p>
        </w:tc>
        <w:tc>
          <w:tcPr>
            <w:tcW w:w="0" w:type="auto"/>
            <w:vAlign w:val="center"/>
            <w:hideMark/>
          </w:tcPr>
          <w:p w14:paraId="4F56C6E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client data ingestion</w:t>
            </w:r>
          </w:p>
        </w:tc>
      </w:tr>
      <w:tr w:rsidR="00B30FAF" w:rsidRPr="00B30FAF" w14:paraId="7DBED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8B9D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52B0C85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Azure TEE, IBM Quantum, AI Agents, API integration</w:t>
            </w:r>
          </w:p>
        </w:tc>
        <w:tc>
          <w:tcPr>
            <w:tcW w:w="0" w:type="auto"/>
            <w:vAlign w:val="center"/>
            <w:hideMark/>
          </w:tcPr>
          <w:p w14:paraId="6302CEA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On-prem deployments</w:t>
            </w:r>
          </w:p>
        </w:tc>
      </w:tr>
      <w:tr w:rsidR="00B30FAF" w:rsidRPr="00B30FAF" w14:paraId="29780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3B4F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Organizational</w:t>
            </w:r>
          </w:p>
        </w:tc>
        <w:tc>
          <w:tcPr>
            <w:tcW w:w="0" w:type="auto"/>
            <w:vAlign w:val="center"/>
            <w:hideMark/>
          </w:tcPr>
          <w:p w14:paraId="17860ADC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Sales enablement, client onboarding</w:t>
            </w:r>
          </w:p>
        </w:tc>
        <w:tc>
          <w:tcPr>
            <w:tcW w:w="0" w:type="auto"/>
            <w:vAlign w:val="center"/>
            <w:hideMark/>
          </w:tcPr>
          <w:p w14:paraId="0C5B6681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billing</w:t>
            </w:r>
          </w:p>
        </w:tc>
      </w:tr>
      <w:tr w:rsidR="00B30FAF" w:rsidRPr="00B30FAF" w14:paraId="19E1F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3154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C5C628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Identity, access control, data isolation</w:t>
            </w:r>
          </w:p>
        </w:tc>
        <w:tc>
          <w:tcPr>
            <w:tcW w:w="0" w:type="auto"/>
            <w:vAlign w:val="center"/>
            <w:hideMark/>
          </w:tcPr>
          <w:p w14:paraId="0F3C5DAA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Third-party SOC attestations (later)</w:t>
            </w:r>
          </w:p>
        </w:tc>
      </w:tr>
    </w:tbl>
    <w:p w14:paraId="0C0C54D8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761E85C7">
          <v:rect id="_x0000_i1537" style="width:0;height:1.5pt" o:hralign="center" o:hrstd="t" o:hr="t" fillcolor="#a0a0a0" stroked="f"/>
        </w:pict>
      </w:r>
    </w:p>
    <w:p w14:paraId="501F9A37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0FAF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>PlantUML</w:t>
      </w:r>
      <w:proofErr w:type="spellEnd"/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High-Level Context Boundary</w:t>
      </w:r>
    </w:p>
    <w:p w14:paraId="676C0F36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379085A6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title High-Level Scope Boundary</w:t>
      </w:r>
    </w:p>
    <w:p w14:paraId="3E6414E3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820B4E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"Enterprise Client" as Client</w:t>
      </w:r>
    </w:p>
    <w:p w14:paraId="37F863B6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</w:t>
      </w:r>
      <w:proofErr w:type="spellStart"/>
      <w:r w:rsidRPr="00B30FAF">
        <w:rPr>
          <w:rFonts w:ascii="Courier New" w:eastAsia="Times New Roman" w:hAnsi="Courier New" w:cs="Courier New"/>
          <w:sz w:val="20"/>
          <w:szCs w:val="20"/>
        </w:rPr>
        <w:t>AccelQ</w:t>
      </w:r>
      <w:proofErr w:type="spell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Engineer" as Engineer</w:t>
      </w:r>
    </w:p>
    <w:p w14:paraId="4F1615AF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"Cloud Provider (Azure)" as Azure</w:t>
      </w:r>
    </w:p>
    <w:p w14:paraId="1D4AA8E0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"Cloud Provider (IBM Quantum)" as IBM</w:t>
      </w:r>
    </w:p>
    <w:p w14:paraId="543D6C18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68C2F0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rectangle "</w:t>
      </w:r>
      <w:proofErr w:type="spellStart"/>
      <w:r w:rsidRPr="00B30FAF">
        <w:rPr>
          <w:rFonts w:ascii="Courier New" w:eastAsia="Times New Roman" w:hAnsi="Courier New" w:cs="Courier New"/>
          <w:sz w:val="20"/>
          <w:szCs w:val="20"/>
        </w:rPr>
        <w:t>AccelQ</w:t>
      </w:r>
      <w:proofErr w:type="spell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Demo Platform" as Platform {</w:t>
      </w:r>
    </w:p>
    <w:p w14:paraId="750B5271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[Portal UI]</w:t>
      </w:r>
    </w:p>
    <w:p w14:paraId="4E66B069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[Demo Orchestrator]</w:t>
      </w:r>
    </w:p>
    <w:p w14:paraId="548A939F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[AI Agent Engine]</w:t>
      </w:r>
    </w:p>
    <w:p w14:paraId="634E0EAE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[API Gateway]</w:t>
      </w:r>
    </w:p>
    <w:p w14:paraId="449613D5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[Monitoring &amp; Audit]</w:t>
      </w:r>
    </w:p>
    <w:p w14:paraId="4C83BE6D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}</w:t>
      </w:r>
    </w:p>
    <w:p w14:paraId="752D3296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FAA046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Client --&gt; [Portal UI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]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Access &amp; Request Demo</w:t>
      </w:r>
    </w:p>
    <w:p w14:paraId="66E379F7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Engineer --&gt; [Demo Orchestrator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]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Maintain Pipelines</w:t>
      </w:r>
    </w:p>
    <w:p w14:paraId="3FCADF15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[Demo Orchestrator] --&gt; [AI Agent Engine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]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Trigger Workflows</w:t>
      </w:r>
    </w:p>
    <w:p w14:paraId="64DD071D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[AI Agent Engine] --&gt; [API Gateway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]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Call Cloud APIs</w:t>
      </w:r>
    </w:p>
    <w:p w14:paraId="0E66BF40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[API Gateway]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Azure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Confidential Workload</w:t>
      </w:r>
    </w:p>
    <w:p w14:paraId="16C3BA51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[API Gateway]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IBM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Quantum Workload</w:t>
      </w:r>
    </w:p>
    <w:p w14:paraId="6DCF7483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[Monitoring &amp;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Audit] ..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Engineer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Metrics &amp; Logs</w:t>
      </w:r>
    </w:p>
    <w:p w14:paraId="4AB5C38B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3A1B9260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0BFF115E">
          <v:rect id="_x0000_i1538" style="width:0;height:1.5pt" o:hralign="center" o:hrstd="t" o:hr="t" fillcolor="#a0a0a0" stroked="f"/>
        </w:pict>
      </w:r>
    </w:p>
    <w:p w14:paraId="4ECB2F69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8. Architecture Principles (Phase A)</w:t>
      </w:r>
    </w:p>
    <w:p w14:paraId="63E6B45F" w14:textId="77777777" w:rsidR="00B30FAF" w:rsidRPr="00B30FAF" w:rsidRDefault="00B30FAF" w:rsidP="00B30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First: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Manual intervention is an exception.</w:t>
      </w:r>
    </w:p>
    <w:p w14:paraId="24A28990" w14:textId="77777777" w:rsidR="00B30FAF" w:rsidRPr="00B30FAF" w:rsidRDefault="00B30FAF" w:rsidP="00B30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by Design: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Confidentiality and compliance integrated at all levels.</w:t>
      </w:r>
    </w:p>
    <w:p w14:paraId="0A84261E" w14:textId="77777777" w:rsidR="00B30FAF" w:rsidRPr="00B30FAF" w:rsidRDefault="00B30FAF" w:rsidP="00B30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Cloud Neutrality: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Architecture remains extensible to multiple providers.</w:t>
      </w:r>
    </w:p>
    <w:p w14:paraId="0AB70759" w14:textId="77777777" w:rsidR="00B30FAF" w:rsidRPr="00B30FAF" w:rsidRDefault="00B30FAF" w:rsidP="00B30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API-First &amp; Modular: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All interactions occur via documented APIs.</w:t>
      </w:r>
    </w:p>
    <w:p w14:paraId="2AA18885" w14:textId="77777777" w:rsidR="00B30FAF" w:rsidRPr="00B30FAF" w:rsidRDefault="00B30FAF" w:rsidP="00B30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Demo templates, scripts, and code are reusable assets.</w:t>
      </w:r>
    </w:p>
    <w:p w14:paraId="11FF3015" w14:textId="77777777" w:rsidR="00B30FAF" w:rsidRPr="00B30FAF" w:rsidRDefault="00B30FAF" w:rsidP="00B30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Everything measurable, monitored, and traceable.</w:t>
      </w:r>
    </w:p>
    <w:p w14:paraId="05E46056" w14:textId="77777777" w:rsidR="00B30FAF" w:rsidRPr="00B30FAF" w:rsidRDefault="00B30FAF" w:rsidP="00B30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Time-to-Value: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Focus on rapid client outcomes.</w:t>
      </w:r>
    </w:p>
    <w:p w14:paraId="25507A64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5349F02E">
          <v:rect id="_x0000_i1539" style="width:0;height:1.5pt" o:hralign="center" o:hrstd="t" o:hr="t" fillcolor="#a0a0a0" stroked="f"/>
        </w:pict>
      </w:r>
    </w:p>
    <w:p w14:paraId="1B741C2E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Current Architecture Baseline</w:t>
      </w:r>
    </w:p>
    <w:p w14:paraId="5069DFFC" w14:textId="77777777" w:rsidR="00B30FAF" w:rsidRPr="00B30FAF" w:rsidRDefault="00B30FAF" w:rsidP="00B3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Today, </w:t>
      </w:r>
      <w:proofErr w:type="spellStart"/>
      <w:r w:rsidRPr="00B30FAF">
        <w:rPr>
          <w:rFonts w:ascii="Times New Roman" w:eastAsia="Times New Roman" w:hAnsi="Times New Roman" w:cs="Times New Roman"/>
          <w:sz w:val="24"/>
          <w:szCs w:val="24"/>
        </w:rPr>
        <w:t>AccelQ</w:t>
      </w:r>
      <w:proofErr w:type="spellEnd"/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maintains isolated demo environments for each client—manual provisioning, limited visibility, and no multi-cloud orchestration.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br/>
        <w:t>Pain points include:</w:t>
      </w:r>
    </w:p>
    <w:p w14:paraId="08C2A722" w14:textId="77777777" w:rsidR="00B30FAF" w:rsidRPr="00B30FAF" w:rsidRDefault="00B30FAF" w:rsidP="00B30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Long setup times (days vs. desired minutes).</w:t>
      </w:r>
    </w:p>
    <w:p w14:paraId="2E927C00" w14:textId="77777777" w:rsidR="00B30FAF" w:rsidRPr="00B30FAF" w:rsidRDefault="00B30FAF" w:rsidP="00B30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High cost and redundancy.</w:t>
      </w:r>
    </w:p>
    <w:p w14:paraId="44ABCBC4" w14:textId="77777777" w:rsidR="00B30FAF" w:rsidRPr="00B30FAF" w:rsidRDefault="00B30FAF" w:rsidP="00B30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No integrated telemetry.</w:t>
      </w:r>
    </w:p>
    <w:p w14:paraId="0DB4E7C9" w14:textId="77777777" w:rsidR="00B30FAF" w:rsidRPr="00B30FAF" w:rsidRDefault="00B30FAF" w:rsidP="00B30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Limited reuse of demo templates.</w:t>
      </w:r>
    </w:p>
    <w:p w14:paraId="702CCBBB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568FF4EB">
          <v:rect id="_x0000_i1540" style="width:0;height:1.5pt" o:hralign="center" o:hrstd="t" o:hr="t" fillcolor="#a0a0a0" stroked="f"/>
        </w:pict>
      </w:r>
    </w:p>
    <w:p w14:paraId="0190AA3E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10. Target Architecture Vision</w:t>
      </w:r>
    </w:p>
    <w:p w14:paraId="25DFAFD1" w14:textId="77777777" w:rsidR="00B30FAF" w:rsidRPr="00B30FAF" w:rsidRDefault="00B30FAF" w:rsidP="00B3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Key Capabilities</w:t>
      </w:r>
    </w:p>
    <w:p w14:paraId="1168AD9C" w14:textId="77777777" w:rsidR="00B30FAF" w:rsidRPr="00B30FAF" w:rsidRDefault="00B30FAF" w:rsidP="00B30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Unified Demo Catalog </w:t>
      </w:r>
      <w:proofErr w:type="gramStart"/>
      <w:r w:rsidRPr="00B30FAF">
        <w:rPr>
          <w:rFonts w:ascii="Times New Roman" w:eastAsia="Times New Roman" w:hAnsi="Times New Roman" w:cs="Times New Roman"/>
          <w:sz w:val="24"/>
          <w:szCs w:val="24"/>
        </w:rPr>
        <w:t>accessible</w:t>
      </w:r>
      <w:proofErr w:type="gramEnd"/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via web portal.</w:t>
      </w:r>
    </w:p>
    <w:p w14:paraId="77D8FFFD" w14:textId="77777777" w:rsidR="00B30FAF" w:rsidRPr="00B30FAF" w:rsidRDefault="00B30FAF" w:rsidP="00B30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Automated provisioning through CI/CD pipelines.</w:t>
      </w:r>
    </w:p>
    <w:p w14:paraId="5AE18BF3" w14:textId="77777777" w:rsidR="00B30FAF" w:rsidRPr="00B30FAF" w:rsidRDefault="00B30FAF" w:rsidP="00B30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AI Agents driving orchestration, workload selection, and report generation.</w:t>
      </w:r>
    </w:p>
    <w:p w14:paraId="19C2D540" w14:textId="77777777" w:rsidR="00B30FAF" w:rsidRPr="00B30FAF" w:rsidRDefault="00B30FAF" w:rsidP="00B30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Integration with Azure Confidential Computing &amp; IBM Quantum APIs.</w:t>
      </w:r>
    </w:p>
    <w:p w14:paraId="627BC846" w14:textId="77777777" w:rsidR="00B30FAF" w:rsidRPr="00B30FAF" w:rsidRDefault="00B30FAF" w:rsidP="00B30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Real-time telemetry dashboard.</w:t>
      </w:r>
    </w:p>
    <w:p w14:paraId="41BEFEF8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6BB3BDE6">
          <v:rect id="_x0000_i1541" style="width:0;height:1.5pt" o:hralign="center" o:hrstd="t" o:hr="t" fillcolor="#a0a0a0" stroked="f"/>
        </w:pict>
      </w:r>
    </w:p>
    <w:p w14:paraId="57484C41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0FAF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>PlantUML</w:t>
      </w:r>
      <w:proofErr w:type="spellEnd"/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Target Architecture Overview</w:t>
      </w:r>
    </w:p>
    <w:p w14:paraId="0BA2437E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6B03DF22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title Target Architecture Vision Overview</w:t>
      </w:r>
    </w:p>
    <w:p w14:paraId="0E941B8F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F1E855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"Client" as Client</w:t>
      </w:r>
    </w:p>
    <w:p w14:paraId="756AE53C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</w:t>
      </w:r>
      <w:proofErr w:type="spellStart"/>
      <w:r w:rsidRPr="00B30FAF">
        <w:rPr>
          <w:rFonts w:ascii="Courier New" w:eastAsia="Times New Roman" w:hAnsi="Courier New" w:cs="Courier New"/>
          <w:sz w:val="20"/>
          <w:szCs w:val="20"/>
        </w:rPr>
        <w:t>AccelQ</w:t>
      </w:r>
      <w:proofErr w:type="spell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Engineer" as Eng</w:t>
      </w:r>
    </w:p>
    <w:p w14:paraId="20E91F44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actor "Sales" as Sales</w:t>
      </w:r>
    </w:p>
    <w:p w14:paraId="2A613FE8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cloud "Azure Confidential\</w:t>
      </w:r>
      <w:proofErr w:type="spellStart"/>
      <w:r w:rsidRPr="00B30FAF">
        <w:rPr>
          <w:rFonts w:ascii="Courier New" w:eastAsia="Times New Roman" w:hAnsi="Courier New" w:cs="Courier New"/>
          <w:sz w:val="20"/>
          <w:szCs w:val="20"/>
        </w:rPr>
        <w:t>nComputing</w:t>
      </w:r>
      <w:proofErr w:type="spell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(TEE)" as Azure</w:t>
      </w:r>
    </w:p>
    <w:p w14:paraId="6FDD76B4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cloud "IBM Quantum\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n(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>Qiskit Runtime)" as IBM</w:t>
      </w:r>
    </w:p>
    <w:p w14:paraId="1E1FC5EA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database "Data Store" as DB</w:t>
      </w:r>
    </w:p>
    <w:p w14:paraId="43F8527D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14CE5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rectangle "</w:t>
      </w:r>
      <w:proofErr w:type="spellStart"/>
      <w:r w:rsidRPr="00B30FAF">
        <w:rPr>
          <w:rFonts w:ascii="Courier New" w:eastAsia="Times New Roman" w:hAnsi="Courier New" w:cs="Courier New"/>
          <w:sz w:val="20"/>
          <w:szCs w:val="20"/>
        </w:rPr>
        <w:t>AccelQ</w:t>
      </w:r>
      <w:proofErr w:type="spell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Demo Platform" as Platform {</w:t>
      </w:r>
    </w:p>
    <w:p w14:paraId="036FAB9C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component "Portal UI"</w:t>
      </w:r>
    </w:p>
    <w:p w14:paraId="6E173EE9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component "CI/CD Pipeline Engine"</w:t>
      </w:r>
    </w:p>
    <w:p w14:paraId="0CD5562D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component "AI Agent Orchestrator"</w:t>
      </w:r>
    </w:p>
    <w:p w14:paraId="6F57B49E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component "API Gateway"</w:t>
      </w:r>
    </w:p>
    <w:p w14:paraId="12B8FB0D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component "Observability Suite"</w:t>
      </w:r>
    </w:p>
    <w:p w14:paraId="5D83D9B1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}</w:t>
      </w:r>
    </w:p>
    <w:p w14:paraId="26434F71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B6A5A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Client --&gt; "Portal UI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Launch Demo Request</w:t>
      </w:r>
    </w:p>
    <w:p w14:paraId="0B3C09C4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Sales --&gt; "Portal UI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Configure &amp; Present Demo</w:t>
      </w:r>
    </w:p>
    <w:p w14:paraId="194F5C7A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"Portal UI" --&gt; "AI Agent Orchestrator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Create Demo Workflow</w:t>
      </w:r>
    </w:p>
    <w:p w14:paraId="149B779C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"AI Agent Orchestrator" --&gt; "CI/CD Pipeline Engine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Provision Env</w:t>
      </w:r>
    </w:p>
    <w:p w14:paraId="2B48537F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lastRenderedPageBreak/>
        <w:t>"AI Agent Orchestrator" --&gt; "API Gateway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Execute Cloud Jobs</w:t>
      </w:r>
    </w:p>
    <w:p w14:paraId="10B7EEFB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"API Gateway"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Azure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AI Inference</w:t>
      </w:r>
    </w:p>
    <w:p w14:paraId="7B57BD5D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"API Gateway"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IBM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Quantum Simulation</w:t>
      </w:r>
    </w:p>
    <w:p w14:paraId="7008A31A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"CI/CD Pipeline Engine"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DB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Persist Artifacts</w:t>
      </w:r>
    </w:p>
    <w:p w14:paraId="16660247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"Observability Suite" --&gt;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Eng :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Metrics, Logs, Alerts</w:t>
      </w:r>
    </w:p>
    <w:p w14:paraId="62720B93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4C32DF91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69891B49">
          <v:rect id="_x0000_i1542" style="width:0;height:1.5pt" o:hralign="center" o:hrstd="t" o:hr="t" fillcolor="#a0a0a0" stroked="f"/>
        </w:pict>
      </w:r>
    </w:p>
    <w:p w14:paraId="56B79D5C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11. Business Scenarios</w:t>
      </w:r>
    </w:p>
    <w:p w14:paraId="5D1CAA89" w14:textId="77777777" w:rsidR="00B30FAF" w:rsidRPr="00B30FAF" w:rsidRDefault="00B30FAF" w:rsidP="00B30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1 – Rapid Demo Creation: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br/>
        <w:t>Sales triggers demo request → Portal → Orchestrator spins environment → Client experiences workload.</w:t>
      </w:r>
    </w:p>
    <w:p w14:paraId="2FC73AFD" w14:textId="77777777" w:rsidR="00B30FAF" w:rsidRPr="00B30FAF" w:rsidRDefault="00B30FAF" w:rsidP="00B30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2 – Continuous Enhancement: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br/>
        <w:t>Engineering adds a new demo template → CI/CD deploys → Catalog updates automatically.</w:t>
      </w:r>
    </w:p>
    <w:p w14:paraId="092EC0FF" w14:textId="77777777" w:rsidR="00B30FAF" w:rsidRPr="00B30FAF" w:rsidRDefault="00B30FAF" w:rsidP="00B30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3 – Client Engagement Feedback: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br/>
        <w:t>Portal collects metrics → Sales uses insights to propose engagements.</w:t>
      </w:r>
    </w:p>
    <w:p w14:paraId="61AEBC3E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4BE8ADBD">
          <v:rect id="_x0000_i1543" style="width:0;height:1.5pt" o:hralign="center" o:hrstd="t" o:hr="t" fillcolor="#a0a0a0" stroked="f"/>
        </w:pict>
      </w:r>
    </w:p>
    <w:p w14:paraId="07788CEA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0FAF">
        <w:rPr>
          <w:rFonts w:ascii="Segoe UI Emoji" w:eastAsia="Times New Roman" w:hAnsi="Segoe UI Emoji" w:cs="Segoe UI Emoji"/>
          <w:b/>
          <w:bCs/>
          <w:sz w:val="27"/>
          <w:szCs w:val="27"/>
        </w:rPr>
        <w:t>🔄</w:t>
      </w:r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>PlantUML</w:t>
      </w:r>
      <w:proofErr w:type="spellEnd"/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Business Workflow (Scenario 1)</w:t>
      </w:r>
    </w:p>
    <w:p w14:paraId="36C2A02F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6388073C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title Scenario 1 - Rapid Demo Creation Workflow</w:t>
      </w:r>
    </w:p>
    <w:p w14:paraId="748A72AB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5DFD35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|Sales|</w:t>
      </w:r>
    </w:p>
    <w:p w14:paraId="76C7DA74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6C148C40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:Initiate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demo request in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Portal;</w:t>
      </w:r>
      <w:proofErr w:type="gramEnd"/>
    </w:p>
    <w:p w14:paraId="6B5553AE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|Platform|</w:t>
      </w:r>
    </w:p>
    <w:p w14:paraId="437831B9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:Validate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inputs &amp; choose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template;</w:t>
      </w:r>
      <w:proofErr w:type="gramEnd"/>
    </w:p>
    <w:p w14:paraId="75185541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:Trigger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AI Agent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Orchestrator;</w:t>
      </w:r>
      <w:proofErr w:type="gramEnd"/>
    </w:p>
    <w:p w14:paraId="418B90A8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|CI/CD Engine|</w:t>
      </w:r>
    </w:p>
    <w:p w14:paraId="22394231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:Provision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isolated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environment;</w:t>
      </w:r>
      <w:proofErr w:type="gramEnd"/>
    </w:p>
    <w:p w14:paraId="09AD1E62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|Cloud|</w:t>
      </w:r>
    </w:p>
    <w:p w14:paraId="51733B24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:Run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Confidential/Quantum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workload;</w:t>
      </w:r>
      <w:proofErr w:type="gramEnd"/>
    </w:p>
    <w:p w14:paraId="4CB0ADFE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|Platform|</w:t>
      </w:r>
    </w:p>
    <w:p w14:paraId="310FC1EA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:Collect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metrics, generate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report;</w:t>
      </w:r>
      <w:proofErr w:type="gramEnd"/>
    </w:p>
    <w:p w14:paraId="448F0347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|Client|</w:t>
      </w:r>
    </w:p>
    <w:p w14:paraId="3D7D8965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:View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demo, download reference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code;</w:t>
      </w:r>
      <w:proofErr w:type="gramEnd"/>
    </w:p>
    <w:p w14:paraId="140CAFED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stop</w:t>
      </w:r>
    </w:p>
    <w:p w14:paraId="45C5CE78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508EB459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385E0CEB">
          <v:rect id="_x0000_i1544" style="width:0;height:1.5pt" o:hralign="center" o:hrstd="t" o:hr="t" fillcolor="#a0a0a0" stroked="f"/>
        </w:pict>
      </w:r>
    </w:p>
    <w:p w14:paraId="0DA9A39C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12. Value Proposition &amp;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253"/>
        <w:gridCol w:w="1802"/>
      </w:tblGrid>
      <w:tr w:rsidR="00B30FAF" w:rsidRPr="00B30FAF" w14:paraId="13514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65304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7DB94E5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DEC0A3A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B30FAF" w:rsidRPr="00B30FAF" w14:paraId="100F4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488B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F57C03B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Demo provisioning time</w:t>
            </w:r>
          </w:p>
        </w:tc>
        <w:tc>
          <w:tcPr>
            <w:tcW w:w="0" w:type="auto"/>
            <w:vAlign w:val="center"/>
            <w:hideMark/>
          </w:tcPr>
          <w:p w14:paraId="44767911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≤ 5 minutes</w:t>
            </w:r>
          </w:p>
        </w:tc>
      </w:tr>
      <w:tr w:rsidR="00B30FAF" w:rsidRPr="00B30FAF" w14:paraId="67516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2F7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0AEB70E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Concurrent sessions</w:t>
            </w:r>
          </w:p>
        </w:tc>
        <w:tc>
          <w:tcPr>
            <w:tcW w:w="0" w:type="auto"/>
            <w:vAlign w:val="center"/>
            <w:hideMark/>
          </w:tcPr>
          <w:p w14:paraId="39B1713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≥ 10 demos</w:t>
            </w:r>
          </w:p>
        </w:tc>
      </w:tr>
      <w:tr w:rsidR="00B30FAF" w:rsidRPr="00B30FAF" w14:paraId="69024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082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BFA5226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New demo onboarding</w:t>
            </w:r>
          </w:p>
        </w:tc>
        <w:tc>
          <w:tcPr>
            <w:tcW w:w="0" w:type="auto"/>
            <w:vAlign w:val="center"/>
            <w:hideMark/>
          </w:tcPr>
          <w:p w14:paraId="2D2E6C6C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≤ 2 days</w:t>
            </w:r>
          </w:p>
        </w:tc>
      </w:tr>
      <w:tr w:rsidR="00B30FAF" w:rsidRPr="00B30FAF" w14:paraId="4CBBD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5B3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89C0D7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Zero breach/incidents</w:t>
            </w:r>
          </w:p>
        </w:tc>
        <w:tc>
          <w:tcPr>
            <w:tcW w:w="0" w:type="auto"/>
            <w:vAlign w:val="center"/>
            <w:hideMark/>
          </w:tcPr>
          <w:p w14:paraId="05BD5D9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100% compliance</w:t>
            </w:r>
          </w:p>
        </w:tc>
      </w:tr>
      <w:tr w:rsidR="00B30FAF" w:rsidRPr="00B30FAF" w14:paraId="7C71E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A45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Adoption</w:t>
            </w:r>
          </w:p>
        </w:tc>
        <w:tc>
          <w:tcPr>
            <w:tcW w:w="0" w:type="auto"/>
            <w:vAlign w:val="center"/>
            <w:hideMark/>
          </w:tcPr>
          <w:p w14:paraId="3D487791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Demo→Engagement</w:t>
            </w:r>
            <w:proofErr w:type="spellEnd"/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Conversion</w:t>
            </w:r>
          </w:p>
        </w:tc>
        <w:tc>
          <w:tcPr>
            <w:tcW w:w="0" w:type="auto"/>
            <w:vAlign w:val="center"/>
            <w:hideMark/>
          </w:tcPr>
          <w:p w14:paraId="201FBBBC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≥ 40%</w:t>
            </w:r>
          </w:p>
        </w:tc>
      </w:tr>
      <w:tr w:rsidR="00B30FAF" w:rsidRPr="00B30FAF" w14:paraId="4BBD6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BC61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2404B3BA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Client Satisfaction Score</w:t>
            </w:r>
          </w:p>
        </w:tc>
        <w:tc>
          <w:tcPr>
            <w:tcW w:w="0" w:type="auto"/>
            <w:vAlign w:val="center"/>
            <w:hideMark/>
          </w:tcPr>
          <w:p w14:paraId="636F9BEB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≥ 4.5 / 5</w:t>
            </w:r>
          </w:p>
        </w:tc>
      </w:tr>
    </w:tbl>
    <w:p w14:paraId="3D03B390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0B22645F">
          <v:rect id="_x0000_i1545" style="width:0;height:1.5pt" o:hralign="center" o:hrstd="t" o:hr="t" fillcolor="#a0a0a0" stroked="f"/>
        </w:pict>
      </w:r>
    </w:p>
    <w:p w14:paraId="520C72E7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13.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168"/>
        <w:gridCol w:w="874"/>
        <w:gridCol w:w="3201"/>
      </w:tblGrid>
      <w:tr w:rsidR="00B30FAF" w:rsidRPr="00B30FAF" w14:paraId="04733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0EEB8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2F2EAC7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2C259748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9296778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B30FAF" w:rsidRPr="00B30FAF" w14:paraId="2F19C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A46B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Cloud API instability</w:t>
            </w:r>
          </w:p>
        </w:tc>
        <w:tc>
          <w:tcPr>
            <w:tcW w:w="0" w:type="auto"/>
            <w:vAlign w:val="center"/>
            <w:hideMark/>
          </w:tcPr>
          <w:p w14:paraId="73C68EE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3656C0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EDBA8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Local simulation fallback</w:t>
            </w:r>
          </w:p>
        </w:tc>
      </w:tr>
      <w:tr w:rsidR="00B30FAF" w:rsidRPr="00B30FAF" w14:paraId="3995A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995D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Cost overruns</w:t>
            </w:r>
          </w:p>
        </w:tc>
        <w:tc>
          <w:tcPr>
            <w:tcW w:w="0" w:type="auto"/>
            <w:vAlign w:val="center"/>
            <w:hideMark/>
          </w:tcPr>
          <w:p w14:paraId="0D4C3E7C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105C94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078568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TTL cleanup, quotas</w:t>
            </w:r>
          </w:p>
        </w:tc>
      </w:tr>
      <w:tr w:rsidR="00B30FAF" w:rsidRPr="00B30FAF" w14:paraId="2CDC2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0606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Security </w:t>
            </w:r>
            <w:proofErr w:type="spellStart"/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misconfig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EF044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84439B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922888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Policy-as-code, automated scans</w:t>
            </w:r>
          </w:p>
        </w:tc>
      </w:tr>
      <w:tr w:rsidR="00B30FAF" w:rsidRPr="00B30FAF" w14:paraId="5A28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C0B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Skill gap in quantum</w:t>
            </w:r>
          </w:p>
        </w:tc>
        <w:tc>
          <w:tcPr>
            <w:tcW w:w="0" w:type="auto"/>
            <w:vAlign w:val="center"/>
            <w:hideMark/>
          </w:tcPr>
          <w:p w14:paraId="1B023CB8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E02B92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F459E2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Partner training, documentation</w:t>
            </w:r>
          </w:p>
        </w:tc>
      </w:tr>
    </w:tbl>
    <w:p w14:paraId="6CE93B88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4171518D">
          <v:rect id="_x0000_i1546" style="width:0;height:1.5pt" o:hralign="center" o:hrstd="t" o:hr="t" fillcolor="#a0a0a0" stroked="f"/>
        </w:pict>
      </w:r>
    </w:p>
    <w:p w14:paraId="4A9DC4FF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14. Governance and Compliance</w:t>
      </w:r>
    </w:p>
    <w:p w14:paraId="219B3664" w14:textId="77777777" w:rsidR="00B30FAF" w:rsidRPr="00B30FAF" w:rsidRDefault="00B30FAF" w:rsidP="00B30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Review Board: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Validates design adherence.</w:t>
      </w:r>
    </w:p>
    <w:p w14:paraId="5A82664E" w14:textId="77777777" w:rsidR="00B30FAF" w:rsidRPr="00B30FAF" w:rsidRDefault="00B30FAF" w:rsidP="00B30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Office: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Enforces encryption, access, and data policies.</w:t>
      </w:r>
    </w:p>
    <w:p w14:paraId="579B9F38" w14:textId="77777777" w:rsidR="00B30FAF" w:rsidRPr="00B30FAF" w:rsidRDefault="00B30FAF" w:rsidP="00B30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Governance: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Tracks CI/CD compliance and operational metrics.</w:t>
      </w:r>
    </w:p>
    <w:p w14:paraId="0837FBDE" w14:textId="77777777" w:rsidR="00B30FAF" w:rsidRPr="00B30FAF" w:rsidRDefault="00B30FAF" w:rsidP="00B30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Change Management: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Demo templates versioned, auditable.</w:t>
      </w:r>
    </w:p>
    <w:p w14:paraId="66C622ED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33525B2D">
          <v:rect id="_x0000_i1547" style="width:0;height:1.5pt" o:hralign="center" o:hrstd="t" o:hr="t" fillcolor="#a0a0a0" stroked="f"/>
        </w:pict>
      </w:r>
    </w:p>
    <w:p w14:paraId="5A36CF8A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15. Transition Plan &amp; Roadmap (High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4621"/>
        <w:gridCol w:w="1798"/>
      </w:tblGrid>
      <w:tr w:rsidR="00B30FAF" w:rsidRPr="00B30FAF" w14:paraId="68EB0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4BB20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D4B73DF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2A90329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Deliverables</w:t>
            </w:r>
          </w:p>
        </w:tc>
      </w:tr>
      <w:tr w:rsidR="00B30FAF" w:rsidRPr="00B30FAF" w14:paraId="5265B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D1B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MVP (0-2 Months)</w:t>
            </w:r>
          </w:p>
        </w:tc>
        <w:tc>
          <w:tcPr>
            <w:tcW w:w="0" w:type="auto"/>
            <w:vAlign w:val="center"/>
            <w:hideMark/>
          </w:tcPr>
          <w:p w14:paraId="32D66F5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Portal + CI/CD Skeleton + Single Demo (Azure)</w:t>
            </w:r>
          </w:p>
        </w:tc>
        <w:tc>
          <w:tcPr>
            <w:tcW w:w="0" w:type="auto"/>
            <w:vAlign w:val="center"/>
            <w:hideMark/>
          </w:tcPr>
          <w:p w14:paraId="677A1ADE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0FAF" w:rsidRPr="00B30FAF" w14:paraId="49F7E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3E9F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 (3-5 Months)</w:t>
            </w:r>
          </w:p>
        </w:tc>
        <w:tc>
          <w:tcPr>
            <w:tcW w:w="0" w:type="auto"/>
            <w:vAlign w:val="center"/>
            <w:hideMark/>
          </w:tcPr>
          <w:p w14:paraId="505C113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IBM Quantum Integration, Telemetry, Catalog</w:t>
            </w:r>
          </w:p>
        </w:tc>
        <w:tc>
          <w:tcPr>
            <w:tcW w:w="0" w:type="auto"/>
            <w:vAlign w:val="center"/>
            <w:hideMark/>
          </w:tcPr>
          <w:p w14:paraId="770D07FA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0FAF" w:rsidRPr="00B30FAF" w14:paraId="4E274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C0B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 (6-8 Months)</w:t>
            </w:r>
          </w:p>
        </w:tc>
        <w:tc>
          <w:tcPr>
            <w:tcW w:w="0" w:type="auto"/>
            <w:vAlign w:val="center"/>
            <w:hideMark/>
          </w:tcPr>
          <w:p w14:paraId="2240FECD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Multi-tenant Support, Security Mesh</w:t>
            </w:r>
          </w:p>
        </w:tc>
        <w:tc>
          <w:tcPr>
            <w:tcW w:w="0" w:type="auto"/>
            <w:vAlign w:val="center"/>
            <w:hideMark/>
          </w:tcPr>
          <w:p w14:paraId="327BB04D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0FAF" w:rsidRPr="00B30FAF" w14:paraId="5DEE6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9212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 (9-12 Months)</w:t>
            </w:r>
          </w:p>
        </w:tc>
        <w:tc>
          <w:tcPr>
            <w:tcW w:w="0" w:type="auto"/>
            <w:vAlign w:val="center"/>
            <w:hideMark/>
          </w:tcPr>
          <w:p w14:paraId="3C57A8E3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Partner Ecosystem and Automated Analytics</w:t>
            </w:r>
          </w:p>
        </w:tc>
        <w:tc>
          <w:tcPr>
            <w:tcW w:w="0" w:type="auto"/>
            <w:vAlign w:val="center"/>
            <w:hideMark/>
          </w:tcPr>
          <w:p w14:paraId="09F6D8F8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F35595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798095BA">
          <v:rect id="_x0000_i1548" style="width:0;height:1.5pt" o:hralign="center" o:hrstd="t" o:hr="t" fillcolor="#a0a0a0" stroked="f"/>
        </w:pict>
      </w:r>
    </w:p>
    <w:p w14:paraId="1B26E709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0FAF">
        <w:rPr>
          <w:rFonts w:ascii="Segoe UI Emoji" w:eastAsia="Times New Roman" w:hAnsi="Segoe UI Emoji" w:cs="Segoe UI Emoji"/>
          <w:b/>
          <w:bCs/>
          <w:sz w:val="27"/>
          <w:szCs w:val="27"/>
        </w:rPr>
        <w:t>🗺️</w:t>
      </w:r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>PlantUML</w:t>
      </w:r>
      <w:proofErr w:type="spellEnd"/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Roadmap Timeline</w:t>
      </w:r>
    </w:p>
    <w:p w14:paraId="3E79F6B2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67F9EDDE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title Phase </w:t>
      </w:r>
      <w:proofErr w:type="gramStart"/>
      <w:r w:rsidRPr="00B30FAF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Vision - Transition Roadmap</w:t>
      </w:r>
    </w:p>
    <w:p w14:paraId="7A274A5E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5CE77E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project </w:t>
      </w:r>
      <w:proofErr w:type="spellStart"/>
      <w:r w:rsidRPr="00B30FAF">
        <w:rPr>
          <w:rFonts w:ascii="Courier New" w:eastAsia="Times New Roman" w:hAnsi="Courier New" w:cs="Courier New"/>
          <w:sz w:val="20"/>
          <w:szCs w:val="20"/>
        </w:rPr>
        <w:t>AccelQ_Vision_Roadmap</w:t>
      </w:r>
      <w:proofErr w:type="spellEnd"/>
      <w:r w:rsidRPr="00B30FA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729A39E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[MVP - Portal + CI/CD] lasts 8 weeks</w:t>
      </w:r>
    </w:p>
    <w:p w14:paraId="3376ABE2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[Phase 2 - Quantum Integration] lasts 8 weeks</w:t>
      </w:r>
    </w:p>
    <w:p w14:paraId="6AACBB84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[Phase 3 - Multi-tenant &amp; Security Mesh] lasts 8 weeks</w:t>
      </w:r>
    </w:p>
    <w:p w14:paraId="7FA29C8D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[Phase 4 - Partner Ecosystem] lasts 8 weeks</w:t>
      </w:r>
    </w:p>
    <w:p w14:paraId="1C5CD91E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20C2C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[Phase 2 - Quantum Integration] starts at end of [MVP - Portal + CI/CD]</w:t>
      </w:r>
    </w:p>
    <w:p w14:paraId="3699B745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[Phase 3 - Multi-tenant &amp; Security Mesh] starts at end of [Phase 2 - Quantum Integration]</w:t>
      </w:r>
    </w:p>
    <w:p w14:paraId="4218B040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 xml:space="preserve">  [Phase 4 - Partner Ecosystem] starts at end of [Phase 3 - Multi-tenant &amp; Security Mesh]</w:t>
      </w:r>
    </w:p>
    <w:p w14:paraId="482E6D74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}</w:t>
      </w:r>
    </w:p>
    <w:p w14:paraId="3829CBB0" w14:textId="77777777" w:rsidR="00B30FAF" w:rsidRPr="00B30FAF" w:rsidRDefault="00B30FAF" w:rsidP="00B30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FAF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367802E5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54FCEC3E">
          <v:rect id="_x0000_i1549" style="width:0;height:1.5pt" o:hralign="center" o:hrstd="t" o:hr="t" fillcolor="#a0a0a0" stroked="f"/>
        </w:pict>
      </w:r>
    </w:p>
    <w:p w14:paraId="3513CA82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16. Alignment with Enterprise Strategy</w:t>
      </w:r>
    </w:p>
    <w:p w14:paraId="534CA35C" w14:textId="77777777" w:rsidR="00B30FAF" w:rsidRPr="00B30FAF" w:rsidRDefault="00B30FAF" w:rsidP="00B30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proofErr w:type="spellStart"/>
      <w:r w:rsidRPr="00B30FAF">
        <w:rPr>
          <w:rFonts w:ascii="Times New Roman" w:eastAsia="Times New Roman" w:hAnsi="Times New Roman" w:cs="Times New Roman"/>
          <w:sz w:val="24"/>
          <w:szCs w:val="24"/>
        </w:rPr>
        <w:t>AccelQ’s</w:t>
      </w:r>
      <w:proofErr w:type="spellEnd"/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mission of accelerating client innovation.</w:t>
      </w:r>
    </w:p>
    <w:p w14:paraId="3E23DADC" w14:textId="77777777" w:rsidR="00B30FAF" w:rsidRPr="00B30FAF" w:rsidRDefault="00B30FAF" w:rsidP="00B30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Demonstrates new technology leadership through tangible demos.</w:t>
      </w:r>
    </w:p>
    <w:p w14:paraId="00900CFB" w14:textId="77777777" w:rsidR="00B30FAF" w:rsidRPr="00B30FAF" w:rsidRDefault="00B30FAF" w:rsidP="00B30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Creates reusable IP for future turnkey and staff augmentation projects.</w:t>
      </w:r>
    </w:p>
    <w:p w14:paraId="314EB19B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05FFE11E">
          <v:rect id="_x0000_i1550" style="width:0;height:1.5pt" o:hralign="center" o:hrstd="t" o:hr="t" fillcolor="#a0a0a0" stroked="f"/>
        </w:pict>
      </w:r>
    </w:p>
    <w:p w14:paraId="33005888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17. Success Criteria and Measurement</w:t>
      </w:r>
    </w:p>
    <w:p w14:paraId="2F513ADA" w14:textId="77777777" w:rsidR="00B30FAF" w:rsidRPr="00B30FAF" w:rsidRDefault="00B30FAF" w:rsidP="00B30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Vision approved by executive board.</w:t>
      </w:r>
    </w:p>
    <w:p w14:paraId="5A4B8C6E" w14:textId="77777777" w:rsidR="00B30FAF" w:rsidRPr="00B30FAF" w:rsidRDefault="00B30FAF" w:rsidP="00B30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Prototype deployed within Q1 2026.</w:t>
      </w:r>
    </w:p>
    <w:p w14:paraId="1F57483E" w14:textId="77777777" w:rsidR="00B30FAF" w:rsidRPr="00B30FAF" w:rsidRDefault="00B30FAF" w:rsidP="00B30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>Positive feedback from 3 pilot clients.</w:t>
      </w:r>
    </w:p>
    <w:p w14:paraId="727B4072" w14:textId="77777777" w:rsidR="00B30FAF" w:rsidRPr="00B30FAF" w:rsidRDefault="00B30FAF" w:rsidP="00B30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Inclusion of platform in </w:t>
      </w:r>
      <w:proofErr w:type="spellStart"/>
      <w:r w:rsidRPr="00B30FAF">
        <w:rPr>
          <w:rFonts w:ascii="Times New Roman" w:eastAsia="Times New Roman" w:hAnsi="Times New Roman" w:cs="Times New Roman"/>
          <w:sz w:val="24"/>
          <w:szCs w:val="24"/>
        </w:rPr>
        <w:t>AccelQ</w:t>
      </w:r>
      <w:proofErr w:type="spellEnd"/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go-to-market materials.</w:t>
      </w:r>
    </w:p>
    <w:p w14:paraId="7D645204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446BE02A">
          <v:rect id="_x0000_i1551" style="width:0;height:1.5pt" o:hralign="center" o:hrstd="t" o:hr="t" fillcolor="#a0a0a0" stroked="f"/>
        </w:pict>
      </w:r>
    </w:p>
    <w:p w14:paraId="0CAB665B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18. Appendix – RUP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3995"/>
      </w:tblGrid>
      <w:tr w:rsidR="00B30FAF" w:rsidRPr="00B30FAF" w14:paraId="63DB1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7120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RUP Artifact</w:t>
            </w:r>
          </w:p>
        </w:tc>
        <w:tc>
          <w:tcPr>
            <w:tcW w:w="0" w:type="auto"/>
            <w:vAlign w:val="center"/>
            <w:hideMark/>
          </w:tcPr>
          <w:p w14:paraId="753A97B6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Mapping to TOGAF Phase A</w:t>
            </w:r>
          </w:p>
        </w:tc>
      </w:tr>
      <w:tr w:rsidR="00B30FAF" w:rsidRPr="00B30FAF" w14:paraId="5567F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DC6A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Vision Document</w:t>
            </w:r>
          </w:p>
        </w:tc>
        <w:tc>
          <w:tcPr>
            <w:tcW w:w="0" w:type="auto"/>
            <w:vAlign w:val="center"/>
            <w:hideMark/>
          </w:tcPr>
          <w:p w14:paraId="0E6BB76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Vision</w:t>
            </w:r>
          </w:p>
        </w:tc>
      </w:tr>
      <w:tr w:rsidR="00B30FAF" w:rsidRPr="00B30FAF" w14:paraId="7ADDA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93C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Use Case Model</w:t>
            </w:r>
          </w:p>
        </w:tc>
        <w:tc>
          <w:tcPr>
            <w:tcW w:w="0" w:type="auto"/>
            <w:vAlign w:val="center"/>
            <w:hideMark/>
          </w:tcPr>
          <w:p w14:paraId="3E130618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Scenario &amp; Workflow Sections</w:t>
            </w:r>
          </w:p>
        </w:tc>
      </w:tr>
      <w:tr w:rsidR="00B30FAF" w:rsidRPr="00B30FAF" w14:paraId="1E8A1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B399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Supplementary Specifications</w:t>
            </w:r>
          </w:p>
        </w:tc>
        <w:tc>
          <w:tcPr>
            <w:tcW w:w="0" w:type="auto"/>
            <w:vAlign w:val="center"/>
            <w:hideMark/>
          </w:tcPr>
          <w:p w14:paraId="12A6A81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Principles &amp; Constraints</w:t>
            </w:r>
          </w:p>
        </w:tc>
      </w:tr>
      <w:tr w:rsidR="00B30FAF" w:rsidRPr="00B30FAF" w14:paraId="59618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93A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Glossary</w:t>
            </w:r>
          </w:p>
        </w:tc>
        <w:tc>
          <w:tcPr>
            <w:tcW w:w="0" w:type="auto"/>
            <w:vAlign w:val="center"/>
            <w:hideMark/>
          </w:tcPr>
          <w:p w14:paraId="1F173BE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Included below</w:t>
            </w:r>
          </w:p>
        </w:tc>
      </w:tr>
    </w:tbl>
    <w:p w14:paraId="0E428EE5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0FAF">
        <w:rPr>
          <w:rFonts w:ascii="Times New Roman" w:eastAsia="Times New Roman" w:hAnsi="Times New Roman" w:cs="Times New Roman"/>
          <w:b/>
          <w:bCs/>
          <w:sz w:val="27"/>
          <w:szCs w:val="27"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6141"/>
      </w:tblGrid>
      <w:tr w:rsidR="00B30FAF" w:rsidRPr="00B30FAF" w14:paraId="04DE1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0A1B6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DF897A3" w14:textId="77777777" w:rsidR="00B30FAF" w:rsidRPr="00B30FAF" w:rsidRDefault="00B30FAF" w:rsidP="00B30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B30FAF" w:rsidRPr="00B30FAF" w14:paraId="79F74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4C00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366C75FD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component orchestrating workflows &amp; decisioning.</w:t>
            </w:r>
          </w:p>
        </w:tc>
      </w:tr>
      <w:tr w:rsidR="00B30FAF" w:rsidRPr="00B30FAF" w14:paraId="0DEE9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A17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Confidential Computing</w:t>
            </w:r>
          </w:p>
        </w:tc>
        <w:tc>
          <w:tcPr>
            <w:tcW w:w="0" w:type="auto"/>
            <w:vAlign w:val="center"/>
            <w:hideMark/>
          </w:tcPr>
          <w:p w14:paraId="5D292147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Secure processing within trusted hardware enclaves.</w:t>
            </w:r>
          </w:p>
        </w:tc>
      </w:tr>
      <w:tr w:rsidR="00B30FAF" w:rsidRPr="00B30FAF" w14:paraId="40736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E0C1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Quantum Computing</w:t>
            </w:r>
          </w:p>
        </w:tc>
        <w:tc>
          <w:tcPr>
            <w:tcW w:w="0" w:type="auto"/>
            <w:vAlign w:val="center"/>
            <w:hideMark/>
          </w:tcPr>
          <w:p w14:paraId="22520AC1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Use of quantum algorithms via IBM Qiskit Runtime.</w:t>
            </w:r>
          </w:p>
        </w:tc>
      </w:tr>
      <w:tr w:rsidR="00B30FAF" w:rsidRPr="00B30FAF" w14:paraId="65191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5725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A54DFC3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Integration/Continuous Deployment pipelines.</w:t>
            </w:r>
          </w:p>
        </w:tc>
      </w:tr>
      <w:tr w:rsidR="00B30FAF" w:rsidRPr="00B30FAF" w14:paraId="23296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68DC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 Catalog</w:t>
            </w:r>
          </w:p>
        </w:tc>
        <w:tc>
          <w:tcPr>
            <w:tcW w:w="0" w:type="auto"/>
            <w:vAlign w:val="center"/>
            <w:hideMark/>
          </w:tcPr>
          <w:p w14:paraId="66068501" w14:textId="77777777" w:rsidR="00B30FAF" w:rsidRPr="00B30FAF" w:rsidRDefault="00B30FAF" w:rsidP="00B30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Collection of reusable demo templates maintained by </w:t>
            </w:r>
            <w:proofErr w:type="spellStart"/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AccelQ</w:t>
            </w:r>
            <w:proofErr w:type="spellEnd"/>
            <w:r w:rsidRPr="00B30FA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5D4AA45" w14:textId="77777777" w:rsidR="00B30FAF" w:rsidRPr="00B30FAF" w:rsidRDefault="00B30FAF" w:rsidP="00B30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pict w14:anchorId="798381CC">
          <v:rect id="_x0000_i1552" style="width:0;height:1.5pt" o:hralign="center" o:hrstd="t" o:hr="t" fillcolor="#a0a0a0" stroked="f"/>
        </w:pict>
      </w:r>
    </w:p>
    <w:p w14:paraId="4A94CC3E" w14:textId="77777777" w:rsidR="00B30FAF" w:rsidRPr="00B30FAF" w:rsidRDefault="00B30FAF" w:rsidP="00B3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FAF">
        <w:rPr>
          <w:rFonts w:ascii="Times New Roman" w:eastAsia="Times New Roman" w:hAnsi="Times New Roman" w:cs="Times New Roman"/>
          <w:b/>
          <w:bCs/>
          <w:sz w:val="36"/>
          <w:szCs w:val="36"/>
        </w:rPr>
        <w:t>19. Conclusion</w:t>
      </w:r>
    </w:p>
    <w:p w14:paraId="496C42AF" w14:textId="77777777" w:rsidR="00B30FAF" w:rsidRPr="00B30FAF" w:rsidRDefault="00B30FAF" w:rsidP="00B3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>AccelQ</w:t>
      </w:r>
      <w:proofErr w:type="spellEnd"/>
      <w:r w:rsidRPr="00B30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Demo-Driven Platform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 xml:space="preserve"> architecture vision establishes a secure, scalable, and automated foundation for showcasing the company’s most advanced technical capabilities.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br/>
        <w:t xml:space="preserve">This Phase A document captures the </w:t>
      </w:r>
      <w:r w:rsidRPr="00B30FAF">
        <w:rPr>
          <w:rFonts w:ascii="Times New Roman" w:eastAsia="Times New Roman" w:hAnsi="Times New Roman" w:cs="Times New Roman"/>
          <w:i/>
          <w:iCs/>
          <w:sz w:val="24"/>
          <w:szCs w:val="24"/>
        </w:rPr>
        <w:t>why, how, and what</w:t>
      </w:r>
      <w:r w:rsidRPr="00B30FAF">
        <w:rPr>
          <w:rFonts w:ascii="Times New Roman" w:eastAsia="Times New Roman" w:hAnsi="Times New Roman" w:cs="Times New Roman"/>
          <w:sz w:val="24"/>
          <w:szCs w:val="24"/>
        </w:rPr>
        <w:t>—and aligns all stakeholders around a single actionable vision that will guide detailed architectures (Phases B–E).</w:t>
      </w:r>
    </w:p>
    <w:p w14:paraId="76BC6FFA" w14:textId="6A1073BC" w:rsidR="00746613" w:rsidRPr="00B30FAF" w:rsidRDefault="00746613" w:rsidP="00B30FAF"/>
    <w:sectPr w:rsidR="00746613" w:rsidRPr="00B30F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8516D6"/>
    <w:multiLevelType w:val="multilevel"/>
    <w:tmpl w:val="98E4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17705"/>
    <w:multiLevelType w:val="multilevel"/>
    <w:tmpl w:val="870E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F4C2C"/>
    <w:multiLevelType w:val="multilevel"/>
    <w:tmpl w:val="163A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440B0"/>
    <w:multiLevelType w:val="multilevel"/>
    <w:tmpl w:val="C6B0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91308"/>
    <w:multiLevelType w:val="multilevel"/>
    <w:tmpl w:val="802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90547"/>
    <w:multiLevelType w:val="multilevel"/>
    <w:tmpl w:val="34EC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85F33"/>
    <w:multiLevelType w:val="multilevel"/>
    <w:tmpl w:val="CCA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E23E9"/>
    <w:multiLevelType w:val="multilevel"/>
    <w:tmpl w:val="B836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EE0A66"/>
    <w:multiLevelType w:val="multilevel"/>
    <w:tmpl w:val="1944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11051"/>
    <w:multiLevelType w:val="multilevel"/>
    <w:tmpl w:val="330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059F6"/>
    <w:multiLevelType w:val="multilevel"/>
    <w:tmpl w:val="E750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748841">
    <w:abstractNumId w:val="8"/>
  </w:num>
  <w:num w:numId="2" w16cid:durableId="2115201939">
    <w:abstractNumId w:val="6"/>
  </w:num>
  <w:num w:numId="3" w16cid:durableId="2012949288">
    <w:abstractNumId w:val="5"/>
  </w:num>
  <w:num w:numId="4" w16cid:durableId="985931943">
    <w:abstractNumId w:val="4"/>
  </w:num>
  <w:num w:numId="5" w16cid:durableId="1215505107">
    <w:abstractNumId w:val="7"/>
  </w:num>
  <w:num w:numId="6" w16cid:durableId="901328589">
    <w:abstractNumId w:val="3"/>
  </w:num>
  <w:num w:numId="7" w16cid:durableId="1462268101">
    <w:abstractNumId w:val="2"/>
  </w:num>
  <w:num w:numId="8" w16cid:durableId="394739368">
    <w:abstractNumId w:val="1"/>
  </w:num>
  <w:num w:numId="9" w16cid:durableId="1736590199">
    <w:abstractNumId w:val="0"/>
  </w:num>
  <w:num w:numId="10" w16cid:durableId="2036105051">
    <w:abstractNumId w:val="11"/>
  </w:num>
  <w:num w:numId="11" w16cid:durableId="1368993933">
    <w:abstractNumId w:val="12"/>
  </w:num>
  <w:num w:numId="12" w16cid:durableId="116148336">
    <w:abstractNumId w:val="14"/>
  </w:num>
  <w:num w:numId="13" w16cid:durableId="930315181">
    <w:abstractNumId w:val="15"/>
  </w:num>
  <w:num w:numId="14" w16cid:durableId="301890073">
    <w:abstractNumId w:val="16"/>
  </w:num>
  <w:num w:numId="15" w16cid:durableId="1284076238">
    <w:abstractNumId w:val="18"/>
  </w:num>
  <w:num w:numId="16" w16cid:durableId="1557625363">
    <w:abstractNumId w:val="10"/>
  </w:num>
  <w:num w:numId="17" w16cid:durableId="390809839">
    <w:abstractNumId w:val="19"/>
  </w:num>
  <w:num w:numId="18" w16cid:durableId="709190131">
    <w:abstractNumId w:val="9"/>
  </w:num>
  <w:num w:numId="19" w16cid:durableId="1892887732">
    <w:abstractNumId w:val="17"/>
  </w:num>
  <w:num w:numId="20" w16cid:durableId="8306351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613"/>
    <w:rsid w:val="00AA1D8D"/>
    <w:rsid w:val="00B30FAF"/>
    <w:rsid w:val="00B47730"/>
    <w:rsid w:val="00CB0664"/>
    <w:rsid w:val="00E10251"/>
    <w:rsid w:val="00E17F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DC928"/>
  <w14:defaultImageDpi w14:val="300"/>
  <w15:docId w15:val="{31888D28-8168-4E29-97A9-A140D59A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1484</Words>
  <Characters>10111</Characters>
  <Application>Microsoft Office Word</Application>
  <DocSecurity>0</DocSecurity>
  <Lines>252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Ranjan Kumar</cp:lastModifiedBy>
  <cp:revision>3</cp:revision>
  <dcterms:created xsi:type="dcterms:W3CDTF">2013-12-23T23:15:00Z</dcterms:created>
  <dcterms:modified xsi:type="dcterms:W3CDTF">2025-11-03T20:32:00Z</dcterms:modified>
  <cp:category/>
</cp:coreProperties>
</file>