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Bakewell Story: A Legacy Born from Passion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1998, in a small kitchen filled with the aroma of fresh flour and warm crust, Rajesh Angchekar began with nothing more than an oven, a handful of recipes, and a simple belief: that a well-baked loaf of bread could turn an ordinary day into something special.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didn't set out to build a bakery empire. He set out to bake bread that made people pause at the first bite — the kind neighbours would talk about, the kind families would come back for every single week. That single-minded pursuit of taste and quality became the seed from which the business would grow. In those early years, it was known as CakeBake — a small, honest bakery earning its name one fresh batch at a time.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 spread the way it always does with something genuinely good — one satisfied customer telling another. What started as a modest neighbourhood bakery slowly became a name people trusted for their everyday table and their special occasions alike: fresh bread for the morning, festive treats for celebrations, and bakery favourites for every craving in between.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business grew, it evolved — and so did its identity. CakeBake became Bakewell, a name that better reflected what the brand had truly grown into: a dedicated bread and bakery destination, rooted in the same values Rajesh started with — the finest ingredients, uncompromising hygiene, and handcrafted care in every product that left the bakery.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two decades later, Bakewell has grown from one man's kitchen into a trusted destination for quality, taste, and freshly baked goodness — but the heart of it hasn't changed. Every loaf, every bake, is still made the way the first one was: with patience, precision, and genuine love for the craft.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as Bakewell continues to grow, it carries forward the same founding vision — that great baking isn't just about flour and yeast. It's about bringing people together, one fresh bake at a time.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