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softHyphen/>
      </w: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2019-09-03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Turinys</w:t>
          </w:r>
        </w:p>
        <w:p>
          <w:pPr>
            <w:pStyle w:val="Contents1"/>
            <w:tabs>
              <w:tab w:val="clear" w:pos="408"/>
              <w:tab w:val="right" w:pos="9637" w:leader="dot"/>
            </w:tabs>
            <w:rPr/>
          </w:pPr>
          <w:r>
            <w:fldChar w:fldCharType="begin"/>
          </w:r>
          <w:r>
            <w:rPr>
              <w:rStyle w:val="IndexLink"/>
            </w:rPr>
            <w:instrText> TOC \f \o "1-9" \h</w:instrText>
          </w:r>
          <w:r>
            <w:rPr>
              <w:rStyle w:val="IndexLink"/>
            </w:rPr>
            <w:fldChar w:fldCharType="separate"/>
          </w:r>
          <w:hyperlink w:anchor="__RefHeading___Toc879_3920256043">
            <w:r>
              <w:rPr>
                <w:rStyle w:val="IndexLink"/>
              </w:rPr>
              <w:t>1. Veiklos tikslas</w:t>
              <w:tab/>
              <w:t>3</w:t>
            </w:r>
          </w:hyperlink>
        </w:p>
        <w:p>
          <w:pPr>
            <w:pStyle w:val="Contents1"/>
            <w:tabs>
              <w:tab w:val="clear" w:pos="408"/>
              <w:tab w:val="right" w:pos="9637" w:leader="dot"/>
            </w:tabs>
            <w:rPr/>
          </w:pPr>
          <w:hyperlink w:anchor="__RefHeading___Toc881_3920256043">
            <w:r>
              <w:rPr>
                <w:rStyle w:val="IndexLink"/>
              </w:rPr>
              <w:t>2. Veiklos užduotys</w:t>
              <w:tab/>
              <w:t>3</w:t>
            </w:r>
          </w:hyperlink>
        </w:p>
        <w:p>
          <w:pPr>
            <w:pStyle w:val="Contents1"/>
            <w:tabs>
              <w:tab w:val="clear" w:pos="408"/>
              <w:tab w:val="right" w:pos="9637" w:leader="dot"/>
            </w:tabs>
            <w:rPr/>
          </w:pPr>
          <w:hyperlink w:anchor="__RefHeading___Toc883_3920256043">
            <w:r>
              <w:rPr>
                <w:rStyle w:val="IndexLink"/>
              </w:rPr>
              <w:t>3. Bandomoji el-parduotuvė</w:t>
              <w:tab/>
              <w:t>3</w:t>
            </w:r>
          </w:hyperlink>
        </w:p>
        <w:p>
          <w:pPr>
            <w:pStyle w:val="Contents2"/>
            <w:tabs>
              <w:tab w:val="clear" w:pos="9354"/>
              <w:tab w:val="right" w:pos="9637" w:leader="dot"/>
            </w:tabs>
            <w:rPr/>
          </w:pPr>
          <w:hyperlink w:anchor="__RefHeading___Toc885_3920256043">
            <w:r>
              <w:rPr>
                <w:rStyle w:val="IndexLink"/>
              </w:rPr>
              <w:t>3.1. Veiklos aprašas</w:t>
              <w:tab/>
              <w:t>3</w:t>
            </w:r>
          </w:hyperlink>
        </w:p>
        <w:p>
          <w:pPr>
            <w:pStyle w:val="Contents2"/>
            <w:tabs>
              <w:tab w:val="clear" w:pos="9354"/>
              <w:tab w:val="right" w:pos="9637" w:leader="dot"/>
            </w:tabs>
            <w:rPr/>
          </w:pPr>
          <w:hyperlink w:anchor="__RefHeading___Toc887_3920256043">
            <w:r>
              <w:rPr>
                <w:rStyle w:val="IndexLink"/>
              </w:rPr>
              <w:t>3.2. Veiklos vykdymo eiga</w:t>
              <w:tab/>
              <w:t>4</w:t>
            </w:r>
          </w:hyperlink>
        </w:p>
        <w:p>
          <w:pPr>
            <w:pStyle w:val="Contents3"/>
            <w:tabs>
              <w:tab w:val="clear" w:pos="9071"/>
              <w:tab w:val="right" w:pos="9637" w:leader="dot"/>
            </w:tabs>
            <w:rPr/>
          </w:pPr>
          <w:hyperlink w:anchor="__RefHeading___Toc889_3920256043">
            <w:r>
              <w:rPr>
                <w:rStyle w:val="IndexLink"/>
              </w:rPr>
              <w:t>3.2.1. Duomenų struktūros apibrėžimas</w:t>
              <w:tab/>
              <w:t>4</w:t>
            </w:r>
          </w:hyperlink>
        </w:p>
        <w:p>
          <w:pPr>
            <w:pStyle w:val="Contents3"/>
            <w:tabs>
              <w:tab w:val="clear" w:pos="9071"/>
              <w:tab w:val="right" w:pos="9637" w:leader="dot"/>
            </w:tabs>
            <w:rPr/>
          </w:pPr>
          <w:hyperlink w:anchor="__RefHeading___Toc891_3920256043">
            <w:r>
              <w:rPr>
                <w:rStyle w:val="IndexLink"/>
              </w:rPr>
              <w:t>3.2.2. Shopify integracija</w:t>
              <w:tab/>
              <w:t>5</w:t>
            </w:r>
          </w:hyperlink>
        </w:p>
        <w:p>
          <w:pPr>
            <w:pStyle w:val="Contents3"/>
            <w:tabs>
              <w:tab w:val="clear" w:pos="9071"/>
              <w:tab w:val="right" w:pos="9637" w:leader="dot"/>
            </w:tabs>
            <w:rPr/>
          </w:pPr>
          <w:hyperlink w:anchor="__RefHeading___Toc893_3920256043">
            <w:r>
              <w:rPr>
                <w:rStyle w:val="IndexLink"/>
              </w:rPr>
              <w:t>3.2.3. Veiklos Rezultatai</w:t>
              <w:tab/>
              <w:t>6</w:t>
            </w:r>
          </w:hyperlink>
        </w:p>
        <w:p>
          <w:pPr>
            <w:pStyle w:val="Contents1"/>
            <w:tabs>
              <w:tab w:val="clear" w:pos="408"/>
              <w:tab w:val="right" w:pos="9637" w:leader="dot"/>
            </w:tabs>
            <w:rPr/>
          </w:pPr>
          <w:hyperlink w:anchor="__RefHeading___Toc895_3920256043">
            <w:r>
              <w:rPr>
                <w:rStyle w:val="IndexLink"/>
              </w:rPr>
              <w:t>4. Abstrakčios prasmės reprezentavimo modelio plėtimas</w:t>
              <w:tab/>
              <w:t>7</w:t>
            </w:r>
          </w:hyperlink>
        </w:p>
        <w:p>
          <w:pPr>
            <w:pStyle w:val="Contents2"/>
            <w:tabs>
              <w:tab w:val="clear" w:pos="9354"/>
              <w:tab w:val="right" w:pos="9637" w:leader="dot"/>
            </w:tabs>
            <w:rPr/>
          </w:pPr>
          <w:hyperlink w:anchor="__RefHeading___Toc897_3920256043">
            <w:r>
              <w:rPr>
                <w:rStyle w:val="IndexLink"/>
              </w:rPr>
              <w:t>4.1. Veiklos aprašas</w:t>
              <w:tab/>
              <w:t>7</w:t>
            </w:r>
          </w:hyperlink>
        </w:p>
        <w:p>
          <w:pPr>
            <w:pStyle w:val="Contents2"/>
            <w:tabs>
              <w:tab w:val="clear" w:pos="9354"/>
              <w:tab w:val="right" w:pos="9637" w:leader="dot"/>
            </w:tabs>
            <w:rPr/>
          </w:pPr>
          <w:hyperlink w:anchor="__RefHeading___Toc899_3920256043">
            <w:r>
              <w:rPr>
                <w:rStyle w:val="IndexLink"/>
              </w:rPr>
              <w:t>4.2. Veiklos vykdymo eiga</w:t>
              <w:tab/>
              <w:t>7</w:t>
            </w:r>
          </w:hyperlink>
        </w:p>
        <w:p>
          <w:pPr>
            <w:pStyle w:val="Contents2"/>
            <w:tabs>
              <w:tab w:val="clear" w:pos="9354"/>
              <w:tab w:val="right" w:pos="9637" w:leader="dot"/>
            </w:tabs>
            <w:rPr/>
          </w:pPr>
          <w:hyperlink w:anchor="__RefHeading___Toc901_3920256043">
            <w:r>
              <w:rPr>
                <w:rStyle w:val="IndexLink"/>
              </w:rPr>
              <w:t>4.3. Rezultatai</w:t>
              <w:tab/>
              <w:t>8</w:t>
            </w:r>
          </w:hyperlink>
        </w:p>
        <w:p>
          <w:pPr>
            <w:pStyle w:val="Contents1"/>
            <w:tabs>
              <w:tab w:val="clear" w:pos="408"/>
              <w:tab w:val="right" w:pos="9637" w:leader="dot"/>
            </w:tabs>
            <w:rPr/>
          </w:pPr>
          <w:hyperlink w:anchor="__RefHeading___Toc903_3920256043">
            <w:r>
              <w:rPr>
                <w:rStyle w:val="IndexLink"/>
              </w:rPr>
              <w:t>5. Teksto generavimo komponento vystymas</w:t>
              <w:tab/>
              <w:t>9</w:t>
            </w:r>
          </w:hyperlink>
        </w:p>
        <w:p>
          <w:pPr>
            <w:pStyle w:val="Contents2"/>
            <w:tabs>
              <w:tab w:val="clear" w:pos="9354"/>
              <w:tab w:val="right" w:pos="9637" w:leader="dot"/>
            </w:tabs>
            <w:rPr/>
          </w:pPr>
          <w:hyperlink w:anchor="__RefHeading___Toc905_3920256043">
            <w:r>
              <w:rPr>
                <w:rStyle w:val="IndexLink"/>
              </w:rPr>
              <w:t>5.1. Veiklos aprašas</w:t>
              <w:tab/>
              <w:t>9</w:t>
            </w:r>
          </w:hyperlink>
        </w:p>
        <w:p>
          <w:pPr>
            <w:pStyle w:val="Contents2"/>
            <w:tabs>
              <w:tab w:val="clear" w:pos="9354"/>
              <w:tab w:val="right" w:pos="9637" w:leader="dot"/>
            </w:tabs>
            <w:rPr/>
          </w:pPr>
          <w:hyperlink w:anchor="__RefHeading___Toc907_3920256043">
            <w:r>
              <w:rPr>
                <w:rStyle w:val="IndexLink"/>
              </w:rPr>
              <w:t>5.2. Veiklos vykdymo eiga</w:t>
              <w:tab/>
              <w:t>9</w:t>
            </w:r>
          </w:hyperlink>
        </w:p>
        <w:p>
          <w:pPr>
            <w:pStyle w:val="Contents2"/>
            <w:tabs>
              <w:tab w:val="clear" w:pos="9354"/>
              <w:tab w:val="right" w:pos="9637" w:leader="dot"/>
            </w:tabs>
            <w:rPr/>
          </w:pPr>
          <w:hyperlink w:anchor="__RefHeading___Toc909_3920256043">
            <w:r>
              <w:rPr>
                <w:rStyle w:val="IndexLink"/>
              </w:rPr>
              <w:t>5.3. Rezultatai</w:t>
              <w:tab/>
              <w:t>10</w:t>
            </w:r>
          </w:hyperlink>
        </w:p>
        <w:p>
          <w:pPr>
            <w:pStyle w:val="Contents1"/>
            <w:tabs>
              <w:tab w:val="clear" w:pos="408"/>
              <w:tab w:val="right" w:pos="9637" w:leader="dot"/>
            </w:tabs>
            <w:rPr/>
          </w:pPr>
          <w:hyperlink w:anchor="__RefHeading___Toc911_3920256043">
            <w:r>
              <w:rPr>
                <w:rStyle w:val="IndexLink"/>
              </w:rPr>
              <w:t>6. Vartotojo sąsajos tobulinimas</w:t>
              <w:tab/>
              <w:t>10</w:t>
            </w:r>
          </w:hyperlink>
        </w:p>
        <w:p>
          <w:pPr>
            <w:pStyle w:val="Contents2"/>
            <w:tabs>
              <w:tab w:val="clear" w:pos="9354"/>
              <w:tab w:val="right" w:pos="9637" w:leader="dot"/>
            </w:tabs>
            <w:rPr/>
          </w:pPr>
          <w:hyperlink w:anchor="__RefHeading___Toc913_3920256043">
            <w:r>
              <w:rPr>
                <w:rStyle w:val="IndexLink"/>
              </w:rPr>
              <w:t>6.1. Veiklos aprašas</w:t>
              <w:tab/>
              <w:t>10</w:t>
            </w:r>
          </w:hyperlink>
        </w:p>
        <w:p>
          <w:pPr>
            <w:pStyle w:val="Contents2"/>
            <w:tabs>
              <w:tab w:val="clear" w:pos="9354"/>
              <w:tab w:val="right" w:pos="9637" w:leader="dot"/>
            </w:tabs>
            <w:rPr/>
          </w:pPr>
          <w:hyperlink w:anchor="__RefHeading___Toc915_3920256043">
            <w:r>
              <w:rPr>
                <w:rStyle w:val="IndexLink"/>
              </w:rPr>
              <w:t>6.2. Veiklos vykdymo eiga</w:t>
              <w:tab/>
              <w:t>10</w:t>
            </w:r>
          </w:hyperlink>
        </w:p>
        <w:p>
          <w:pPr>
            <w:pStyle w:val="Contents2"/>
            <w:tabs>
              <w:tab w:val="clear" w:pos="9354"/>
              <w:tab w:val="right" w:pos="9637" w:leader="dot"/>
            </w:tabs>
            <w:rPr/>
          </w:pPr>
          <w:hyperlink w:anchor="__RefHeading___Toc917_3920256043">
            <w:r>
              <w:rPr>
                <w:rStyle w:val="IndexLink"/>
              </w:rPr>
              <w:t>6.3. Rezultatai</w:t>
              <w:tab/>
              <w:t>11</w:t>
            </w:r>
          </w:hyperlink>
        </w:p>
        <w:p>
          <w:pPr>
            <w:pStyle w:val="Contents1"/>
            <w:tabs>
              <w:tab w:val="clear" w:pos="408"/>
              <w:tab w:val="right" w:pos="9637" w:leader="dot"/>
            </w:tabs>
            <w:rPr/>
          </w:pPr>
          <w:hyperlink w:anchor="__RefHeading___Toc919_3920256043">
            <w:r>
              <w:rPr>
                <w:rStyle w:val="IndexLink"/>
              </w:rPr>
              <w:t>7. Įvykdyti paslaugų pirkimai</w:t>
              <w:tab/>
              <w:t>12</w:t>
            </w:r>
          </w:hyperlink>
        </w:p>
        <w:p>
          <w:pPr>
            <w:pStyle w:val="Contents1"/>
            <w:tabs>
              <w:tab w:val="clear" w:pos="408"/>
              <w:tab w:val="right" w:pos="9637" w:leader="dot"/>
            </w:tabs>
            <w:rPr/>
          </w:pPr>
          <w:hyperlink w:anchor="__RefHeading___Toc921_3920256043">
            <w:r>
              <w:rPr>
                <w:rStyle w:val="IndexLink"/>
              </w:rPr>
              <w:t>8. Užduočių atlikimas</w:t>
              <w:tab/>
              <w:t>12</w:t>
            </w:r>
          </w:hyperlink>
        </w:p>
        <w:p>
          <w:pPr>
            <w:pStyle w:val="Contents1"/>
            <w:tabs>
              <w:tab w:val="clear" w:pos="408"/>
              <w:tab w:val="right" w:pos="9637" w:leader="dot"/>
            </w:tabs>
            <w:rPr/>
          </w:pPr>
          <w:hyperlink w:anchor="__RefHeading___Toc923_3920256043">
            <w:r>
              <w:rPr>
                <w:rStyle w:val="IndexLink"/>
              </w:rPr>
              <w:t>9. Pasiekti rezultatai</w:t>
              <w:tab/>
              <w:t>12</w:t>
            </w:r>
          </w:hyperlink>
        </w:p>
        <w:p>
          <w:pPr>
            <w:pStyle w:val="Contents1"/>
            <w:tabs>
              <w:tab w:val="clear" w:pos="408"/>
              <w:tab w:val="right" w:pos="9637" w:leader="dot"/>
            </w:tabs>
            <w:rPr/>
          </w:pPr>
          <w:hyperlink w:anchor="__RefHeading___Toc925_3920256043">
            <w:r>
              <w:rPr>
                <w:rStyle w:val="IndexLink"/>
              </w:rPr>
              <w:t>10. Nepasiekti rezultatai</w:t>
              <w:tab/>
              <w:t>13</w:t>
            </w:r>
          </w:hyperlink>
        </w:p>
        <w:p>
          <w:pPr>
            <w:pStyle w:val="Contents1"/>
            <w:tabs>
              <w:tab w:val="clear" w:pos="408"/>
              <w:tab w:val="right" w:pos="9637" w:leader="dot"/>
            </w:tabs>
            <w:rPr/>
          </w:pPr>
          <w:hyperlink w:anchor="__RefHeading___Toc927_3920256043">
            <w:r>
              <w:rPr>
                <w:rStyle w:val="IndexLink"/>
              </w:rPr>
              <w:t>11. Veiklos vykdymo metu atliktų tyrimų eigos pakeitimai</w:t>
              <w:tab/>
              <w:t>13</w:t>
            </w:r>
          </w:hyperlink>
        </w:p>
        <w:p>
          <w:pPr>
            <w:pStyle w:val="Contents1"/>
            <w:tabs>
              <w:tab w:val="clear" w:pos="408"/>
              <w:tab w:val="right" w:pos="9637" w:leader="dot"/>
            </w:tabs>
            <w:rPr/>
          </w:pPr>
          <w:hyperlink w:anchor="__RefHeading___Toc929_3920256043">
            <w:r>
              <w:rPr>
                <w:rStyle w:val="IndexLink"/>
              </w:rPr>
              <w:t>12. Rezultatų naujumas ir nauda projektui</w:t>
              <w:tab/>
              <w:t>13</w:t>
            </w:r>
          </w:hyperlink>
        </w:p>
        <w:p>
          <w:pPr>
            <w:pStyle w:val="Contents1"/>
            <w:tabs>
              <w:tab w:val="clear" w:pos="408"/>
              <w:tab w:val="right" w:pos="9637" w:leader="dot"/>
            </w:tabs>
            <w:rPr/>
          </w:pPr>
          <w:hyperlink w:anchor="__RefHeading___Toc931_3920256043">
            <w:r>
              <w:rPr>
                <w:rStyle w:val="IndexLink"/>
              </w:rPr>
              <w:t>Bibliografija</w:t>
              <w:tab/>
              <w:t>14</w:t>
            </w:r>
          </w:hyperlink>
          <w:r>
            <w:rPr>
              <w:rStyle w:val="IndexLink"/>
            </w:rPr>
            <w:fldChar w:fldCharType="end"/>
          </w:r>
        </w:p>
      </w:sdtContent>
    </w:sdt>
    <w:p>
      <w:pPr>
        <w:pStyle w:val="Normal"/>
        <w:widowControl/>
        <w:bidi w:val="0"/>
        <w:ind w:firstLine="360"/>
        <w:jc w:val="left"/>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r>
        <w:br w:type="page"/>
      </w:r>
    </w:p>
    <w:p>
      <w:pPr>
        <w:pStyle w:val="Heading1"/>
        <w:numPr>
          <w:ilvl w:val="0"/>
          <w:numId w:val="3"/>
        </w:numPr>
        <w:spacing w:lineRule="auto" w:line="276"/>
        <w:ind w:left="720" w:hanging="425"/>
        <w:rPr/>
      </w:pPr>
      <w:bookmarkStart w:id="0" w:name="__RefHeading___Toc879_3920256043"/>
      <w:bookmarkStart w:id="1" w:name="__RefNumPara__6002_1462031575"/>
      <w:bookmarkStart w:id="2" w:name="_Toc350342211"/>
      <w:bookmarkStart w:id="3" w:name="_Toc11242468"/>
      <w:bookmarkEnd w:id="0"/>
      <w:bookmarkEnd w:id="1"/>
      <w:r>
        <w:rPr/>
        <w:t>Veiklos tikslas</w:t>
      </w:r>
      <w:bookmarkEnd w:id="2"/>
      <w:bookmarkEnd w:id="3"/>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4" w:name="__RefHeading___Toc881_3920256043"/>
      <w:bookmarkStart w:id="5" w:name="__RefNumPara__4317_665943473"/>
      <w:bookmarkStart w:id="6" w:name="_Toc11242469"/>
      <w:bookmarkStart w:id="7" w:name="_Toc350342212"/>
      <w:bookmarkEnd w:id="4"/>
      <w:bookmarkEnd w:id="5"/>
      <w:r>
        <w:rPr/>
        <w:t>Veiklos užduotys</w:t>
      </w:r>
      <w:bookmarkEnd w:id="6"/>
      <w:bookmarkEnd w:id="7"/>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left="720"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NLG vartotojo sąsajos tobulinimas.</w:t>
      </w:r>
    </w:p>
    <w:p>
      <w:pPr>
        <w:pStyle w:val="Heading1"/>
        <w:numPr>
          <w:ilvl w:val="0"/>
          <w:numId w:val="3"/>
        </w:numPr>
        <w:spacing w:lineRule="auto" w:line="276"/>
        <w:rPr/>
      </w:pPr>
      <w:bookmarkStart w:id="8" w:name="__RefHeading___Toc883_3920256043"/>
      <w:bookmarkStart w:id="9" w:name="__RefNumPara__717_665943473"/>
      <w:bookmarkStart w:id="10" w:name="_Toc11242473"/>
      <w:bookmarkEnd w:id="8"/>
      <w:bookmarkEnd w:id="9"/>
      <w:r>
        <w:rPr/>
        <w:t>B</w:t>
      </w:r>
      <w:bookmarkEnd w:id="10"/>
      <w:r>
        <w:rPr/>
        <w:t>andomoji el-parduotuvė</w:t>
      </w:r>
    </w:p>
    <w:p>
      <w:pPr>
        <w:pStyle w:val="Normal"/>
        <w:spacing w:lineRule="auto" w:line="276"/>
        <w:rPr/>
      </w:pPr>
      <w:r>
        <w:rPr/>
      </w:r>
    </w:p>
    <w:p>
      <w:pPr>
        <w:pStyle w:val="Heading2"/>
        <w:numPr>
          <w:ilvl w:val="1"/>
          <w:numId w:val="3"/>
        </w:numPr>
        <w:rPr/>
      </w:pPr>
      <w:bookmarkStart w:id="11" w:name="__RefHeading___Toc885_3920256043"/>
      <w:bookmarkStart w:id="12" w:name="_Toc11242474"/>
      <w:bookmarkEnd w:id="11"/>
      <w:r>
        <w:rPr/>
        <w:t>Veiklos aprašas</w:t>
      </w:r>
      <w:bookmarkEnd w:id="12"/>
    </w:p>
    <w:p>
      <w:pPr>
        <w:pStyle w:val="Normal"/>
        <w:rPr/>
      </w:pPr>
      <w:r>
        <w:rPr/>
      </w:r>
    </w:p>
    <w:p>
      <w:pPr>
        <w:pStyle w:val="Normal"/>
        <w:bidi w:val="0"/>
        <w:jc w:val="left"/>
        <w:rPr/>
      </w:pPr>
      <w:r>
        <w:rPr/>
        <w:t xml:space="preserve">Kuriama teksto generavimo sistema turi integruotis su įvairiomis, turinį publikuojančiomis, platformomis. Dabartinis tikslas, yra įgyvendinti sistemą veikiančią, bet neapsiribojančią, su pagrindinėmis el-komercijos platformomis. Bandomajam diegimui buvo pasirinkta </w:t>
      </w:r>
      <w:r>
        <w:rPr>
          <w:i/>
          <w:iCs/>
        </w:rPr>
        <w:t xml:space="preserve">Shopify </w:t>
      </w:r>
      <w:r>
        <w:rPr/>
        <w:t>platforma.</w:t>
      </w:r>
    </w:p>
    <w:p>
      <w:pPr>
        <w:pStyle w:val="Normal"/>
        <w:bidi w:val="0"/>
        <w:jc w:val="left"/>
        <w:rPr/>
      </w:pPr>
      <w:r>
        <w:rPr/>
      </w:r>
    </w:p>
    <w:p>
      <w:pPr>
        <w:pStyle w:val="Normal"/>
        <w:bidi w:val="0"/>
        <w:jc w:val="left"/>
        <w:rPr/>
      </w:pPr>
      <w:r>
        <w:rPr/>
        <w:t>Teksto publikavimo integracijos įgyvendinimui reikalingi žingsniai:</w:t>
      </w:r>
    </w:p>
    <w:p>
      <w:pPr>
        <w:pStyle w:val="Normal"/>
        <w:bidi w:val="0"/>
        <w:jc w:val="left"/>
        <w:rPr/>
      </w:pPr>
      <w:r>
        <w:rPr/>
      </w:r>
    </w:p>
    <w:p>
      <w:pPr>
        <w:pStyle w:val="Normal"/>
        <w:numPr>
          <w:ilvl w:val="0"/>
          <w:numId w:val="6"/>
        </w:numPr>
        <w:bidi w:val="0"/>
        <w:jc w:val="left"/>
        <w:rPr/>
      </w:pPr>
      <w:r>
        <w:rPr>
          <w:i/>
          <w:iCs/>
        </w:rPr>
        <w:t>Duomenų sąsaja</w:t>
      </w:r>
      <w:r>
        <w:rPr/>
        <w:t>. NLG sistema turi pasiimti pradinius, prekę aprašančius, duomenis.</w:t>
      </w:r>
    </w:p>
    <w:p>
      <w:pPr>
        <w:pStyle w:val="Normal"/>
        <w:numPr>
          <w:ilvl w:val="0"/>
          <w:numId w:val="6"/>
        </w:numPr>
        <w:bidi w:val="0"/>
        <w:jc w:val="left"/>
        <w:rPr/>
      </w:pPr>
      <w:r>
        <w:rPr>
          <w:i/>
          <w:iCs/>
        </w:rPr>
        <w:t>Teksto generavimas</w:t>
      </w:r>
      <w:r>
        <w:rPr/>
        <w:t>. Prekę aprašančio teksto paruošimas, pagal pirmame žingsnyje gautus duomenis</w:t>
      </w:r>
    </w:p>
    <w:p>
      <w:pPr>
        <w:pStyle w:val="Normal"/>
        <w:numPr>
          <w:ilvl w:val="0"/>
          <w:numId w:val="6"/>
        </w:numPr>
        <w:bidi w:val="0"/>
        <w:jc w:val="left"/>
        <w:rPr/>
      </w:pPr>
      <w:r>
        <w:rPr>
          <w:i/>
          <w:iCs/>
        </w:rPr>
        <w:t>Teksto perdavimo sąsaja</w:t>
      </w:r>
      <w:r>
        <w:rPr/>
        <w:t>. Sugeneruotas tekstas turi būti grąžinamas į el-parduotuvę.</w:t>
      </w:r>
    </w:p>
    <w:p>
      <w:pPr>
        <w:pStyle w:val="Normal"/>
        <w:bidi w:val="0"/>
        <w:jc w:val="left"/>
        <w:rPr/>
      </w:pPr>
      <w:r>
        <w:rPr/>
      </w:r>
    </w:p>
    <w:p>
      <w:pPr>
        <w:pStyle w:val="Normal"/>
        <w:bidi w:val="0"/>
        <w:jc w:val="left"/>
        <w:rPr/>
      </w:pPr>
      <w:r>
        <w:rPr/>
        <w:t>Pirmojo ir trečiojo žingsnio vykdymo eiga aprašyta sekančiame skyriuje. Antrasis žingsnis čia neaprašomas, nes yra detaliai aptartas ankstesnėse ataskaitose.</w:t>
      </w:r>
    </w:p>
    <w:p>
      <w:pPr>
        <w:pStyle w:val="Normal"/>
        <w:bidi w:val="0"/>
        <w:jc w:val="left"/>
        <w:rPr/>
      </w:pPr>
      <w:r>
        <w:rPr/>
      </w:r>
    </w:p>
    <w:p>
      <w:pPr>
        <w:pStyle w:val="Normal"/>
        <w:bidi w:val="0"/>
        <w:jc w:val="left"/>
        <w:rPr/>
      </w:pPr>
      <w:r>
        <w:rPr/>
      </w:r>
      <w:r>
        <w:br w:type="page"/>
      </w:r>
    </w:p>
    <w:p>
      <w:pPr>
        <w:pStyle w:val="Normal"/>
        <w:rPr/>
      </w:pPr>
      <w:r>
        <w:rPr/>
      </w:r>
    </w:p>
    <w:p>
      <w:pPr>
        <w:pStyle w:val="Heading2"/>
        <w:numPr>
          <w:ilvl w:val="1"/>
          <w:numId w:val="3"/>
        </w:numPr>
        <w:rPr/>
      </w:pPr>
      <w:bookmarkStart w:id="13" w:name="__RefHeading___Toc887_3920256043"/>
      <w:bookmarkStart w:id="14" w:name="_Toc11242475"/>
      <w:bookmarkEnd w:id="13"/>
      <w:r>
        <w:rPr/>
        <w:t>Veiklos vykdymo eiga</w:t>
      </w:r>
      <w:bookmarkEnd w:id="14"/>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bookmarkStart w:id="15" w:name="__RefHeading___Toc889_3920256043"/>
      <w:bookmarkEnd w:id="15"/>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atributų lentelės pavidalo. Joje yra išvardinami visi prekių atributų ir jų reikšmių rinkiniai. Prekę aprašantis tekstas yra toks pat atributas kaip ir kiti duomenys.</w:t>
      </w:r>
    </w:p>
    <w:p>
      <w:pPr>
        <w:pStyle w:val="Normal"/>
        <w:rPr/>
      </w:pPr>
      <w:r>
        <w:rPr/>
      </w:r>
    </w:p>
    <w:p>
      <w:pPr>
        <w:pStyle w:val="Normal"/>
        <w:rPr/>
      </w:pPr>
      <w:r>
        <w:rPr/>
      </w:r>
    </w:p>
    <w:tbl>
      <w:tblPr>
        <w:tblW w:w="9637" w:type="dxa"/>
        <w:jc w:val="left"/>
        <w:tblInd w:w="0" w:type="dxa"/>
        <w:tblBorders/>
        <w:tblCellMar>
          <w:top w:w="0" w:type="dxa"/>
          <w:left w:w="0" w:type="dxa"/>
          <w:bottom w:w="0" w:type="dxa"/>
          <w:right w:w="0" w:type="dxa"/>
        </w:tblCellMar>
      </w:tblPr>
      <w:tblGrid>
        <w:gridCol w:w="1924"/>
        <w:gridCol w:w="1852"/>
        <w:gridCol w:w="1984"/>
        <w:gridCol w:w="3876"/>
      </w:tblGrid>
      <w:tr>
        <w:trPr/>
        <w:tc>
          <w:tcPr>
            <w:tcW w:w="1924"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6"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4"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4" w:type="dxa"/>
            <w:vMerge w:val="restart"/>
            <w:tcBorders/>
            <w:shd w:fill="auto" w:val="clear"/>
          </w:tcPr>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6"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is the author of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FreeSans" w:hAnsi="FreeSans"/>
                <w:sz w:val="20"/>
                <w:em w:val="none"/>
              </w:rPr>
            </w:r>
          </w:p>
        </w:tc>
      </w:tr>
      <w:tr>
        <w:trPr/>
        <w:tc>
          <w:tcPr>
            <w:tcW w:w="1924"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4" w:type="dxa"/>
            <w:vMerge w:val="continue"/>
            <w:tcBorders/>
            <w:shd w:fill="auto" w:val="clear"/>
          </w:tcPr>
          <w:p>
            <w:pPr>
              <w:pStyle w:val="Normal"/>
              <w:jc w:val="left"/>
              <w:rPr>
                <w:rFonts w:ascii="FreeSans" w:hAnsi="FreeSans"/>
                <w:sz w:val="20"/>
                <w:em w:val="none"/>
              </w:rPr>
            </w:pPr>
            <w:r>
              <w:rPr>
                <w:rFonts w:ascii="FreeSans" w:hAnsi="FreeSans"/>
                <w:sz w:val="20"/>
                <w:em w:val="none"/>
              </w:rPr>
            </w:r>
          </w:p>
        </w:tc>
        <w:tc>
          <w:tcPr>
            <w:tcW w:w="3876"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FreeSans" w:hAnsi="FreeSans"/>
                <w:sz w:val="20"/>
                <w:em w:val="none"/>
              </w:rPr>
            </w:r>
          </w:p>
        </w:tc>
      </w:tr>
      <w:tr>
        <w:trPr/>
        <w:tc>
          <w:tcPr>
            <w:tcW w:w="1924" w:type="dxa"/>
            <w:tcBorders>
              <w:top w:val="single" w:sz="6" w:space="0" w:color="000000"/>
              <w:bottom w:val="single" w:sz="6" w:space="0" w:color="000000"/>
              <w:insideH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2" w:type="dxa"/>
            <w:tcBorders>
              <w:top w:val="single" w:sz="6" w:space="0" w:color="000000"/>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tc>
        <w:tc>
          <w:tcPr>
            <w:tcW w:w="1984" w:type="dxa"/>
            <w:vMerge w:val="continue"/>
            <w:tcBorders>
              <w:top w:val="single" w:sz="6" w:space="0" w:color="000000"/>
              <w:bottom w:val="single" w:sz="6" w:space="0" w:color="000000"/>
              <w:insideH w:val="single" w:sz="6" w:space="0" w:color="000000"/>
            </w:tcBorders>
            <w:shd w:fill="auto" w:val="clear"/>
          </w:tcPr>
          <w:p>
            <w:pPr>
              <w:pStyle w:val="Normal"/>
              <w:jc w:val="left"/>
              <w:rPr>
                <w:rFonts w:ascii="Liberation Sans" w:hAnsi="Liberation Sans"/>
                <w:sz w:val="20"/>
                <w:em w:val="none"/>
              </w:rPr>
            </w:pPr>
            <w:r>
              <w:rPr>
                <w:rFonts w:ascii="Liberation Sans" w:hAnsi="Liberation Sans"/>
                <w:sz w:val="20"/>
                <w:em w:val="none"/>
              </w:rPr>
            </w:r>
          </w:p>
        </w:tc>
        <w:tc>
          <w:tcPr>
            <w:tcW w:w="3876" w:type="dxa"/>
            <w:tcBorders>
              <w:top w:val="single" w:sz="6" w:space="0" w:color="000000"/>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b w:val="false"/>
          <w:bCs w:val="false"/>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b w:val="false"/>
          <w:bCs w:val="false"/>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b w:val="false"/>
          <w:bCs w:val="false"/>
        </w:rPr>
      </w:r>
    </w:p>
    <w:p>
      <w:pPr>
        <w:pStyle w:val="Heading3"/>
        <w:numPr>
          <w:ilvl w:val="2"/>
          <w:numId w:val="3"/>
        </w:numPr>
        <w:rPr/>
      </w:pPr>
      <w:bookmarkStart w:id="16" w:name="__RefHeading___Toc891_3920256043"/>
      <w:bookmarkEnd w:id="16"/>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Shopify, kaip ir kitų panašių el-prekybos platformų, darbo procesas susijęs su prekių įkėlimu, vyksta per prekių inventoriaus valdymą. Aprašančio teksto generavimo sistema neturėtų, keisti tokio darbo įpročių ir nusistovėjusių procesų.</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9495" cy="2301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2301240"/>
                    </a:xfrm>
                    <a:prstGeom prst="rect">
                      <a:avLst/>
                    </a:prstGeom>
                  </pic:spPr>
                </pic:pic>
              </a:graphicData>
            </a:graphic>
          </wp:anchor>
        </w:drawing>
      </w:r>
    </w:p>
    <w:p>
      <w:pPr>
        <w:pStyle w:val="Normal"/>
        <w:rPr>
          <w:i/>
          <w:i/>
          <w:iCs/>
        </w:rPr>
      </w:pPr>
      <w:r>
        <w:rPr>
          <w:i/>
          <w:iCs/>
        </w:rPr>
        <w:t xml:space="preserve">Pav 1. </w:t>
      </w:r>
      <w:r>
        <w:rPr>
          <w:i/>
          <w:iCs/>
          <w:color w:val="auto"/>
        </w:rPr>
        <w:t xml:space="preserve">Prekių inventorius Shopify parduotuvėje. Inventoriaus sąrašas yra </w:t>
        <w:tab/>
        <w:t>integruotas su NLG sistema.</w:t>
      </w:r>
    </w:p>
    <w:p>
      <w:pPr>
        <w:pStyle w:val="Normal"/>
        <w:rPr>
          <w:i/>
          <w:i/>
          <w:iCs/>
        </w:rPr>
      </w:pPr>
      <w:r>
        <w:rPr>
          <w:i/>
          <w:iCs/>
        </w:rPr>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Mūsų NLG sistema susieta su Shopify API [2], gali visiškai automatizuoti prekių dokumentavimą procesą ir atsidarius prekės langą rodyti mūsų sugeneruotą aprašą.</w:t>
      </w:r>
    </w:p>
    <w:p>
      <w:pPr>
        <w:pStyle w:val="Pav"/>
        <w:spacing w:before="120" w:after="120"/>
        <w:ind w:hanging="0"/>
        <w:rPr>
          <w:color w:val="auto"/>
        </w:rPr>
      </w:pPr>
      <w:r>
        <w:rPr>
          <w:color w:val="auto"/>
        </w:rPr>
      </w:r>
    </w:p>
    <w:p>
      <w:pPr>
        <w:pStyle w:val="Pav"/>
        <w:spacing w:before="120" w:after="120"/>
        <w:ind w:hanging="0"/>
        <w:rPr>
          <w:color w:val="auto"/>
        </w:rPr>
      </w:pPr>
      <w:r>
        <w:rPr>
          <w:color w:val="auto"/>
        </w:rPr>
      </w:r>
    </w:p>
    <w:p>
      <w:pPr>
        <w:pStyle w:val="Pav"/>
        <w:spacing w:before="120" w:after="120"/>
        <w:ind w:hanging="0"/>
        <w:rPr/>
      </w:pPr>
      <w:r>
        <w:rPr/>
        <w:drawing>
          <wp:inline distT="0" distB="0" distL="0" distR="0">
            <wp:extent cx="5661660" cy="4032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1660" cy="4032885"/>
                    </a:xfrm>
                    <a:prstGeom prst="rect">
                      <a:avLst/>
                    </a:prstGeom>
                  </pic:spPr>
                </pic:pic>
              </a:graphicData>
            </a:graphic>
          </wp:inline>
        </w:drawing>
      </w:r>
    </w:p>
    <w:p>
      <w:pPr>
        <w:pStyle w:val="Pav"/>
        <w:spacing w:before="120" w:after="120"/>
        <w:ind w:hanging="0"/>
        <w:rPr/>
      </w:pPr>
      <w:r>
        <w:rPr>
          <w:color w:val="auto"/>
        </w:rPr>
        <w:tab/>
        <w:tab/>
        <w:tab/>
        <w:tab/>
      </w:r>
    </w:p>
    <w:p>
      <w:pPr>
        <w:pStyle w:val="Pav"/>
        <w:spacing w:before="120" w:after="120"/>
        <w:ind w:hanging="0"/>
        <w:rPr/>
      </w:pPr>
      <w:r>
        <w:rPr>
          <w:color w:val="auto"/>
        </w:rPr>
        <w:tab/>
        <w:t xml:space="preserve">Pav 2. Prekės pardavimo langas Shopify el-parduotuvėje, su automatiškai </w:t>
        <w:tab/>
        <w:t>sugeneruotu aprašo tekstu.</w:t>
      </w:r>
    </w:p>
    <w:p>
      <w:pPr>
        <w:pStyle w:val="Pav"/>
        <w:spacing w:before="120" w:after="120"/>
        <w:ind w:hanging="0"/>
        <w:rPr>
          <w:color w:val="auto"/>
        </w:rPr>
      </w:pPr>
      <w:r>
        <w:rPr>
          <w:color w:val="auto"/>
        </w:rPr>
      </w:r>
    </w:p>
    <w:p>
      <w:pPr>
        <w:pStyle w:val="Heading3"/>
        <w:numPr>
          <w:ilvl w:val="2"/>
          <w:numId w:val="3"/>
        </w:numPr>
        <w:rPr>
          <w:rFonts w:ascii="Cambria" w:hAnsi="Cambria" w:eastAsia="Noto Sans CJK SC Regular" w:cs="Lohit Devanagari"/>
          <w:b/>
          <w:b/>
          <w:bCs/>
          <w:color w:val="365F91"/>
          <w:sz w:val="24"/>
          <w:szCs w:val="24"/>
        </w:rPr>
      </w:pPr>
      <w:bookmarkStart w:id="17" w:name="__RefHeading___Toc893_3920256043"/>
      <w:bookmarkEnd w:id="17"/>
      <w:r>
        <w:rPr>
          <w:rFonts w:eastAsia="Noto Sans CJK SC Regular" w:cs="Lohit Devanagari" w:ascii="Cambria" w:hAnsi="Cambria"/>
          <w:b/>
          <w:bCs/>
          <w:color w:val="365F91"/>
          <w:sz w:val="24"/>
          <w:szCs w:val="24"/>
        </w:rPr>
        <w:t>Veiklos Rezultatai</w:t>
      </w:r>
    </w:p>
    <w:p>
      <w:pPr>
        <w:pStyle w:val="Normal"/>
        <w:ind w:hanging="0"/>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GraphQL leidžia lankstų integracinio API apibrėžimą. Tai yra populiarus sąsajų apibrėžimo formatas, kas leidžia tikėtis, kad daugiau duomenų platformų bus įgyvendinta šiuo būdu. GraphQL įgalina ir platesnį mūsų NLG sistemos diegimą.</w:t>
            </w:r>
          </w:p>
          <w:p>
            <w:pPr>
              <w:pStyle w:val="TableContents"/>
              <w:ind w:hanging="0"/>
              <w:rPr/>
            </w:pPr>
            <w:r>
              <w:rPr>
                <w:rFonts w:ascii="Liberation Serif" w:hAnsi="Liberation Serif"/>
                <w:color w:val="000000"/>
                <w:sz w:val="24"/>
                <w:szCs w:val="24"/>
              </w:rPr>
              <w:t>b) Pačių duomenų dekomponavimas į atskirų laukų masyvus, leidžia neapibrėžti fiksuotos duomenų schemos, kas savo ruožtu nereikalauja, kad NLG naudojanti sistema būtų keičiama.</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Shopify turi itin išvystytą integracijos platformą.</w:t>
            </w:r>
          </w:p>
        </w:tc>
      </w:tr>
    </w:tbl>
    <w:p>
      <w:pPr>
        <w:pStyle w:val="Normal"/>
        <w:rPr/>
      </w:pPr>
      <w:r>
        <w:rPr/>
      </w:r>
    </w:p>
    <w:p>
      <w:pPr>
        <w:pStyle w:val="Heading1"/>
        <w:numPr>
          <w:ilvl w:val="0"/>
          <w:numId w:val="3"/>
        </w:numPr>
        <w:spacing w:lineRule="auto" w:line="276"/>
        <w:rPr/>
      </w:pPr>
      <w:bookmarkStart w:id="18" w:name="__RefHeading___Toc895_3920256043"/>
      <w:bookmarkStart w:id="19" w:name="__RefNumPara__6000_1462031575"/>
      <w:bookmarkStart w:id="20" w:name="_Toc11242476"/>
      <w:bookmarkEnd w:id="18"/>
      <w:bookmarkEnd w:id="19"/>
      <w:r>
        <w:rPr/>
        <w:t>Abstrakčios prasmės reprezentavimo modelio plėtimas</w:t>
      </w:r>
      <w:bookmarkEnd w:id="20"/>
      <w:r>
        <w:rPr/>
        <w:t xml:space="preserve">  </w:t>
      </w:r>
    </w:p>
    <w:p>
      <w:pPr>
        <w:pStyle w:val="Heading2"/>
        <w:numPr>
          <w:ilvl w:val="1"/>
          <w:numId w:val="3"/>
        </w:numPr>
        <w:spacing w:lineRule="auto" w:line="276"/>
        <w:rPr/>
      </w:pPr>
      <w:bookmarkStart w:id="21" w:name="__RefHeading___Toc897_3920256043"/>
      <w:bookmarkStart w:id="22" w:name="_Toc11242477"/>
      <w:bookmarkEnd w:id="21"/>
      <w:r>
        <w:rPr/>
        <w:t>Veiklos aprašas</w:t>
      </w:r>
      <w:bookmarkEnd w:id="22"/>
    </w:p>
    <w:p>
      <w:pPr>
        <w:pStyle w:val="Normal"/>
        <w:spacing w:lineRule="auto" w:line="276"/>
        <w:rPr/>
      </w:pPr>
      <w:r>
        <w:rPr/>
      </w:r>
    </w:p>
    <w:p>
      <w:pPr>
        <w:pStyle w:val="Normal"/>
        <w:spacing w:lineRule="auto" w:line="276"/>
        <w:jc w:val="both"/>
        <w:rPr>
          <w:i w:val="false"/>
          <w:i w:val="false"/>
          <w:iCs w:val="false"/>
        </w:rPr>
      </w:pPr>
      <w:r>
        <w:rPr>
          <w:i w:val="false"/>
          <w:iCs w:val="false"/>
        </w:rPr>
        <w:t xml:space="preserve">Abstrakčios prasmės reprezentavimo (AMR, angl: </w:t>
      </w:r>
      <w:r>
        <w:rPr>
          <w:i/>
          <w:iCs/>
        </w:rPr>
        <w:t>abstract meaning representation</w:t>
      </w:r>
      <w:r>
        <w:rPr>
          <w:i w:val="false"/>
          <w:iCs w:val="false"/>
        </w:rPr>
        <w:t>) modelio kūrimas ir jo integracija su gramatikos generatoriumi buvo baigti praeitų etapų metu. Šiame etape, naudojantis AMR struktūromis aprašytomis VerbNet projekte [3], buvo analizuojamos pasikartojančios AMR sintaksės struktūros. Pasikartojančios struktūros, turinčios skirtingas abstrakčias reikšmes, turi vieną implementaciją AMR modelyje. Tokiu būtu mes galime pasiekti platų, skirtingų prasmių  realizavimą, naudojantis siauru AMR modeliu.</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Imkime du, VerbNete aprašytus, veiksmažodžius: </w:t>
      </w:r>
      <w:r>
        <w:rPr>
          <w:i/>
          <w:iCs/>
        </w:rPr>
        <w:t xml:space="preserve">cut </w:t>
      </w:r>
      <w:r>
        <w:rPr>
          <w:i w:val="false"/>
          <w:iCs w:val="false"/>
        </w:rPr>
        <w:t xml:space="preserve">ir </w:t>
      </w:r>
      <w:r>
        <w:rPr>
          <w:i/>
          <w:iCs/>
        </w:rPr>
        <w:t>bend</w:t>
      </w:r>
      <w:r>
        <w:rPr>
          <w:i w:val="false"/>
          <w:iCs w:val="false"/>
        </w:rPr>
        <w:t>. Šie žodžiai yra dviejų, visiškai skirtingų prasmės pranešimų, pagrindas. Tačiau abu turi tą pačią sintaksės struktūrą:</w:t>
      </w:r>
    </w:p>
    <w:p>
      <w:pPr>
        <w:pStyle w:val="Normal"/>
        <w:spacing w:lineRule="auto" w:line="276"/>
        <w:jc w:val="both"/>
        <w:rPr>
          <w:i w:val="false"/>
          <w:i w:val="false"/>
          <w:iCs w:val="false"/>
        </w:rPr>
      </w:pPr>
      <w:r>
        <w:rPr>
          <w:i w:val="false"/>
          <w:iCs w:val="false"/>
        </w:rPr>
      </w:r>
    </w:p>
    <w:tbl>
      <w:tblPr>
        <w:tblW w:w="9637" w:type="dxa"/>
        <w:jc w:val="left"/>
        <w:tblInd w:w="0" w:type="dxa"/>
        <w:tblBorders/>
        <w:tblCellMar>
          <w:top w:w="0" w:type="dxa"/>
          <w:left w:w="0" w:type="dxa"/>
          <w:bottom w:w="0" w:type="dxa"/>
          <w:right w:w="0" w:type="dxa"/>
        </w:tblCellMar>
      </w:tblPr>
      <w:tblGrid>
        <w:gridCol w:w="3212"/>
        <w:gridCol w:w="3212"/>
        <w:gridCol w:w="3213"/>
      </w:tblGrid>
      <w:tr>
        <w:trPr/>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NOUNT</w:t>
            </w:r>
          </w:p>
        </w:tc>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VERB</w:t>
            </w:r>
          </w:p>
        </w:tc>
        <w:tc>
          <w:tcPr>
            <w:tcW w:w="321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w:t>
            </w:r>
          </w:p>
        </w:tc>
      </w:tr>
      <w:tr>
        <w:trPr/>
        <w:tc>
          <w:tcPr>
            <w:tcW w:w="3212"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Carol</w:t>
            </w:r>
          </w:p>
        </w:tc>
        <w:tc>
          <w:tcPr>
            <w:tcW w:w="3212"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cut</w:t>
            </w:r>
          </w:p>
        </w:tc>
        <w:tc>
          <w:tcPr>
            <w:tcW w:w="3213"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bread</w:t>
            </w:r>
          </w:p>
        </w:tc>
      </w:tr>
      <w:tr>
        <w:trPr/>
        <w:tc>
          <w:tcPr>
            <w:tcW w:w="3212"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Tony</w:t>
            </w:r>
          </w:p>
        </w:tc>
        <w:tc>
          <w:tcPr>
            <w:tcW w:w="3212"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bent</w:t>
            </w:r>
          </w:p>
        </w:tc>
        <w:tc>
          <w:tcPr>
            <w:tcW w:w="3213"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rod</w:t>
            </w:r>
          </w:p>
        </w:tc>
      </w:tr>
    </w:tbl>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Tokiu būdu mūsų AMR modelyje mes galime turėti vieną NOUN-VERB-NOUN abstrakčią struktūrą, kuri gali realizuoti daugybę skirtingų konkrečių AMR implementacijų.</w:t>
      </w:r>
    </w:p>
    <w:p>
      <w:pPr>
        <w:pStyle w:val="Normal"/>
        <w:spacing w:lineRule="auto" w:line="276"/>
        <w:jc w:val="both"/>
        <w:rPr>
          <w:i w:val="false"/>
          <w:i w:val="false"/>
          <w:iCs w:val="false"/>
        </w:rPr>
      </w:pPr>
      <w:r>
        <w:rPr>
          <w:i w:val="false"/>
          <w:iCs w:val="false"/>
        </w:rPr>
      </w:r>
    </w:p>
    <w:p>
      <w:pPr>
        <w:pStyle w:val="Normal"/>
        <w:spacing w:lineRule="auto" w:line="276"/>
        <w:jc w:val="both"/>
        <w:rPr/>
      </w:pPr>
      <w:r>
        <w:rPr>
          <w:i w:val="false"/>
          <w:iCs w:val="false"/>
        </w:rPr>
        <w:t xml:space="preserve">Antra, panaši, šio komponento veiklos užduotis yra panaudoti VerbNete naudojamus AMR sudarančių elementų ribojimo dėsningumų aptikimas ir aprašymas. Aukščiau pateiktame </w:t>
      </w:r>
      <w:r>
        <w:rPr>
          <w:i/>
          <w:iCs/>
        </w:rPr>
        <w:t xml:space="preserve">cut </w:t>
      </w:r>
      <w:r>
        <w:rPr>
          <w:i w:val="false"/>
          <w:iCs w:val="false"/>
        </w:rPr>
        <w:t xml:space="preserve">ir </w:t>
      </w:r>
      <w:r>
        <w:rPr>
          <w:i/>
          <w:iCs/>
        </w:rPr>
        <w:t>bent</w:t>
      </w:r>
      <w:r>
        <w:rPr>
          <w:i w:val="false"/>
          <w:iCs w:val="false"/>
        </w:rPr>
        <w:t xml:space="preserve"> pavyzdyje, AMR aprašymai gali papildomai nurodyti daiktavardžių</w:t>
      </w:r>
      <w:r>
        <w:rPr>
          <w:rStyle w:val="FootnoteAnchor"/>
          <w:i w:val="false"/>
          <w:iCs w:val="false"/>
        </w:rPr>
        <w:footnoteReference w:id="2"/>
      </w:r>
      <w:r>
        <w:rPr>
          <w:i w:val="false"/>
          <w:iCs w:val="false"/>
        </w:rPr>
        <w:t xml:space="preserve"> panaudojimo ribojimus. Tarkime </w:t>
      </w:r>
      <w:r>
        <w:rPr>
          <w:i/>
          <w:iCs/>
        </w:rPr>
        <w:t xml:space="preserve">cut </w:t>
      </w:r>
      <w:r>
        <w:rPr>
          <w:i w:val="false"/>
          <w:iCs w:val="false"/>
        </w:rPr>
        <w:t xml:space="preserve">AMR gali reikalauti kad antrasis daiktavardis yra būtinai maisto produktas. Abu </w:t>
      </w:r>
      <w:r>
        <w:rPr>
          <w:i/>
          <w:iCs/>
        </w:rPr>
        <w:t xml:space="preserve">cut </w:t>
      </w:r>
      <w:r>
        <w:rPr>
          <w:i w:val="false"/>
          <w:iCs w:val="false"/>
        </w:rPr>
        <w:t xml:space="preserve">ir </w:t>
      </w:r>
      <w:r>
        <w:rPr>
          <w:i/>
          <w:iCs/>
        </w:rPr>
        <w:t>bent</w:t>
      </w:r>
      <w:r>
        <w:rPr>
          <w:i w:val="false"/>
          <w:iCs w:val="false"/>
        </w:rPr>
        <w:t xml:space="preserve"> AMRai reikalauja, kad pirmasis daiktavardis yra asmenvardis.</w:t>
      </w:r>
    </w:p>
    <w:p>
      <w:pPr>
        <w:pStyle w:val="Normal"/>
        <w:spacing w:lineRule="auto" w:line="276"/>
        <w:ind w:hanging="0"/>
        <w:rPr/>
      </w:pPr>
      <w:r>
        <w:rPr/>
      </w:r>
    </w:p>
    <w:p>
      <w:pPr>
        <w:pStyle w:val="Heading2"/>
        <w:numPr>
          <w:ilvl w:val="1"/>
          <w:numId w:val="3"/>
        </w:numPr>
        <w:spacing w:lineRule="auto" w:line="276"/>
        <w:rPr/>
      </w:pPr>
      <w:bookmarkStart w:id="23" w:name="__RefHeading___Toc899_3920256043"/>
      <w:bookmarkStart w:id="24" w:name="_Toc11242478"/>
      <w:bookmarkEnd w:id="23"/>
      <w:r>
        <w:rPr/>
        <w:t>Veiklos vykdymo eiga</w:t>
      </w:r>
      <w:bookmarkEnd w:id="24"/>
    </w:p>
    <w:p>
      <w:pPr>
        <w:pStyle w:val="Normal"/>
        <w:spacing w:lineRule="auto" w:line="276"/>
        <w:rPr/>
      </w:pPr>
      <w:r>
        <w:rPr/>
      </w:r>
    </w:p>
    <w:p>
      <w:pPr>
        <w:pStyle w:val="Normal"/>
        <w:spacing w:lineRule="auto" w:line="276"/>
        <w:rPr/>
      </w:pPr>
      <w:r>
        <w:rPr/>
        <w:t>Veikla vykdyta dviem žingsniais. Pirmasis yra identifikuoti AMR sintaksės ir AMR apribojimų dėsningumus. Viso identifikuota 37 AMR sintaksės dėsningumai. Keli pavyzdžiai:</w:t>
      </w:r>
    </w:p>
    <w:p>
      <w:pPr>
        <w:pStyle w:val="Normal"/>
        <w:spacing w:lineRule="auto" w:line="276"/>
        <w:rPr/>
      </w:pPr>
      <w:r>
        <w:rPr/>
      </w:r>
    </w:p>
    <w:p>
      <w:pPr>
        <w:pStyle w:val="PreformattedText"/>
        <w:spacing w:lineRule="auto" w:line="276"/>
        <w:ind w:left="408" w:firstLine="360"/>
        <w:rPr>
          <w:sz w:val="16"/>
          <w:szCs w:val="16"/>
        </w:rPr>
      </w:pPr>
      <w:r>
        <w:rPr>
          <w:sz w:val="16"/>
          <w:szCs w:val="16"/>
          <w:lang w:val="en-US"/>
        </w:rPr>
        <w:t>LEX LEX VERB NP</w:t>
      </w:r>
    </w:p>
    <w:p>
      <w:pPr>
        <w:pStyle w:val="PreformattedText"/>
        <w:spacing w:lineRule="auto" w:line="276"/>
        <w:ind w:left="408" w:firstLine="360"/>
        <w:rPr>
          <w:sz w:val="16"/>
          <w:szCs w:val="16"/>
        </w:rPr>
      </w:pPr>
      <w:r>
        <w:rPr>
          <w:sz w:val="16"/>
          <w:szCs w:val="16"/>
          <w:lang w:val="en-US"/>
        </w:rPr>
        <w:t>LEX VERB NP</w:t>
      </w:r>
    </w:p>
    <w:p>
      <w:pPr>
        <w:pStyle w:val="PreformattedText"/>
        <w:spacing w:lineRule="auto" w:line="276"/>
        <w:ind w:left="408" w:firstLine="360"/>
        <w:rPr>
          <w:sz w:val="16"/>
          <w:szCs w:val="16"/>
        </w:rPr>
      </w:pPr>
      <w:r>
        <w:rPr>
          <w:sz w:val="16"/>
          <w:szCs w:val="16"/>
          <w:lang w:val="en-US"/>
        </w:rPr>
        <w:t>NP VERB</w:t>
      </w:r>
    </w:p>
    <w:p>
      <w:pPr>
        <w:pStyle w:val="PreformattedText"/>
        <w:spacing w:lineRule="auto" w:line="276"/>
        <w:ind w:left="408" w:firstLine="360"/>
        <w:rPr>
          <w:sz w:val="16"/>
          <w:szCs w:val="16"/>
        </w:rPr>
      </w:pPr>
      <w:r>
        <w:rPr>
          <w:sz w:val="16"/>
          <w:szCs w:val="16"/>
          <w:lang w:val="en-US"/>
        </w:rPr>
        <w:t>NP VERB ADJ</w:t>
      </w:r>
    </w:p>
    <w:p>
      <w:pPr>
        <w:pStyle w:val="PreformattedText"/>
        <w:spacing w:lineRule="auto" w:line="276"/>
        <w:ind w:left="408" w:firstLine="360"/>
        <w:rPr>
          <w:sz w:val="16"/>
          <w:szCs w:val="16"/>
        </w:rPr>
      </w:pPr>
      <w:r>
        <w:rPr>
          <w:sz w:val="16"/>
          <w:szCs w:val="16"/>
          <w:lang w:val="en-US"/>
        </w:rPr>
        <w:t>NP VERB ADJ PREP NP</w:t>
      </w:r>
    </w:p>
    <w:p>
      <w:pPr>
        <w:pStyle w:val="PreformattedText"/>
        <w:spacing w:lineRule="auto" w:line="276"/>
        <w:ind w:left="408" w:firstLine="360"/>
        <w:rPr>
          <w:sz w:val="16"/>
          <w:szCs w:val="16"/>
        </w:rPr>
      </w:pPr>
      <w:r>
        <w:rPr>
          <w:sz w:val="16"/>
          <w:szCs w:val="16"/>
          <w:lang w:val="en-US"/>
        </w:rPr>
        <w:t>NP VERB NP NP NP</w:t>
      </w:r>
    </w:p>
    <w:p>
      <w:pPr>
        <w:pStyle w:val="PreformattedText"/>
        <w:spacing w:lineRule="auto" w:line="276"/>
        <w:ind w:left="408" w:firstLine="360"/>
        <w:rPr>
          <w:sz w:val="16"/>
          <w:szCs w:val="16"/>
        </w:rPr>
      </w:pPr>
      <w:r>
        <w:rPr>
          <w:sz w:val="16"/>
          <w:szCs w:val="16"/>
          <w:lang w:val="en-US"/>
        </w:rPr>
        <w:t>PREP NP LEX VERB NP</w:t>
      </w:r>
    </w:p>
    <w:p>
      <w:pPr>
        <w:pStyle w:val="PreformattedText"/>
        <w:spacing w:lineRule="auto" w:line="276"/>
        <w:ind w:left="408" w:firstLine="360"/>
        <w:rPr>
          <w:sz w:val="16"/>
          <w:szCs w:val="16"/>
        </w:rPr>
      </w:pPr>
      <w:r>
        <w:rPr>
          <w:sz w:val="16"/>
          <w:szCs w:val="16"/>
          <w:lang w:val="en-US"/>
        </w:rPr>
        <w:t>PREP NP VERB NP</w:t>
      </w:r>
    </w:p>
    <w:p>
      <w:pPr>
        <w:pStyle w:val="PreformattedText"/>
        <w:spacing w:lineRule="auto" w:line="276"/>
        <w:ind w:left="408" w:firstLine="360"/>
        <w:rPr>
          <w:lang w:val="en-US"/>
        </w:rPr>
      </w:pPr>
      <w:r>
        <w:rPr>
          <w:lang w:val="en-US"/>
        </w:rPr>
      </w:r>
    </w:p>
    <w:p>
      <w:pPr>
        <w:pStyle w:val="PreformattedText"/>
        <w:spacing w:lineRule="auto" w:line="276"/>
        <w:ind w:hanging="0"/>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ab/>
        <w:t>Šios sekos atspindi kalbos dalių vartojimą, išreiškiant pasirinktą prasmės reprezentaciją</w:t>
      </w:r>
    </w:p>
    <w:p>
      <w:pPr>
        <w:pStyle w:val="Normal"/>
        <w:spacing w:lineRule="auto" w:line="276"/>
        <w:rPr/>
      </w:pPr>
      <w:r>
        <w:rPr/>
      </w:r>
    </w:p>
    <w:p>
      <w:pPr>
        <w:pStyle w:val="Normal"/>
        <w:spacing w:lineRule="auto" w:line="276"/>
        <w:rPr/>
      </w:pPr>
      <w:r>
        <w:rPr/>
        <w:t>AMR ribojimų dėsningumų yra daugiau, viso 113. Keletas pavyzdžių (pirmas stulpelis yra kalbos dalis, antras – ribojimo pavadinimas):</w:t>
      </w:r>
    </w:p>
    <w:p>
      <w:pPr>
        <w:pStyle w:val="Normal"/>
        <w:spacing w:lineRule="auto" w:line="276"/>
        <w:rPr/>
      </w:pPr>
      <w:r>
        <w:rPr/>
      </w:r>
    </w:p>
    <w:p>
      <w:pPr>
        <w:pStyle w:val="Normal"/>
        <w:spacing w:lineRule="auto" w:line="276"/>
        <w:ind w:left="408" w:firstLine="360"/>
        <w:rPr/>
      </w:pPr>
      <w:r>
        <w:rPr>
          <w:rFonts w:eastAsia="Liberation Mono" w:cs="Liberation Mono" w:ascii="Liberation Mono" w:hAnsi="Liberation Mono"/>
          <w:color w:val="00000A"/>
          <w:kern w:val="0"/>
          <w:sz w:val="16"/>
          <w:szCs w:val="16"/>
          <w:lang w:val="en-US" w:eastAsia="en-US" w:bidi="ar-SA"/>
        </w:rPr>
        <w:t>ADJ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Trajectory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Beneficiary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Causer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Co-Agent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Destination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Duration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Experiencer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Extent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Goal</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Precondition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 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as</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at for</w:t>
      </w:r>
    </w:p>
    <w:p>
      <w:pPr>
        <w:pStyle w:val="Normal"/>
        <w:spacing w:lineRule="auto" w:line="276"/>
        <w:jc w:val="both"/>
        <w:rPr/>
      </w:pPr>
      <w:r>
        <w:rPr/>
      </w:r>
    </w:p>
    <w:p>
      <w:pPr>
        <w:pStyle w:val="Normal"/>
        <w:spacing w:lineRule="auto" w:line="276"/>
        <w:jc w:val="both"/>
        <w:rPr/>
      </w:pPr>
      <w:r>
        <w:rPr/>
        <w:t xml:space="preserve">Skirtingai nuo sintaksės dėsningumų, apribojimų dėsningumai kartais turi ir fiksuotus naudotinus žodžius, kas daro jų platesnį panaudojimą mažiau efektyvų. </w:t>
      </w:r>
    </w:p>
    <w:p>
      <w:pPr>
        <w:pStyle w:val="Normal"/>
        <w:spacing w:lineRule="auto" w:line="276"/>
        <w:jc w:val="both"/>
        <w:rPr/>
      </w:pPr>
      <w:r>
        <w:rPr/>
      </w:r>
    </w:p>
    <w:p>
      <w:pPr>
        <w:pStyle w:val="Normal"/>
        <w:spacing w:lineRule="auto" w:line="276"/>
        <w:jc w:val="both"/>
        <w:rPr/>
      </w:pPr>
      <w:r>
        <w:rPr/>
        <w:t xml:space="preserve">AMR ribojimų įgyvendinimo metu identifikuotas poreikis išplėsti šiuo metu turimą vartotojo sąsają. Šalia plano, žodyno ir duomenų redaktoriaus reikia įvesti ir ribojimų ontologijos redaktorių. T.y. vietą kur vartotojas galėtų apibrėžti pagrindinius veiklos srities esinius ir jų ryšius. </w:t>
      </w:r>
      <w:r>
        <w:rPr>
          <w:i/>
          <w:iCs/>
        </w:rPr>
        <w:t xml:space="preserve">Cut </w:t>
      </w:r>
      <w:r>
        <w:rPr>
          <w:i w:val="false"/>
          <w:iCs w:val="false"/>
        </w:rPr>
        <w:t xml:space="preserve">ir </w:t>
      </w:r>
      <w:r>
        <w:rPr>
          <w:i/>
          <w:iCs/>
        </w:rPr>
        <w:t xml:space="preserve">Bend </w:t>
      </w:r>
      <w:r>
        <w:rPr>
          <w:i w:val="false"/>
          <w:iCs w:val="false"/>
        </w:rPr>
        <w:t>pavyzdyje matėme, kad reikia operuoti tokiais konceptais kaip: asmuo, maisto produktas ir panašiai. Kol</w:t>
      </w:r>
      <w:r>
        <w:rPr/>
        <w:t xml:space="preserve"> kas šis pakeitimas nebus įgyvendinamas, kuriamam prototipui tokia ontologija, minimaliame variante, gali būti išvesta iš el-parduotuvės inventoriaus duomenų bazės.</w:t>
      </w:r>
    </w:p>
    <w:p>
      <w:pPr>
        <w:pStyle w:val="Normal"/>
        <w:spacing w:lineRule="auto" w:line="276"/>
        <w:jc w:val="both"/>
        <w:rPr/>
      </w:pPr>
      <w:r>
        <w:rPr/>
      </w:r>
    </w:p>
    <w:p>
      <w:pPr>
        <w:pStyle w:val="Normal"/>
        <w:spacing w:lineRule="auto" w:line="276"/>
        <w:jc w:val="both"/>
        <w:rPr/>
      </w:pPr>
      <w:r>
        <w:rPr/>
        <w:t>Žodynų valdymo - jau praeituose etapuose įgyvendintas komponentas</w:t>
      </w:r>
      <w:r>
        <w:rPr>
          <w:rFonts w:eastAsia="Calibri" w:cs="DejaVu Sans"/>
          <w:color w:val="00000A"/>
          <w:kern w:val="0"/>
          <w:sz w:val="22"/>
          <w:szCs w:val="22"/>
          <w:lang w:val="lt-LT" w:eastAsia="en-US" w:bidi="ar-SA"/>
        </w:rPr>
        <w:t xml:space="preserve"> – taip pat turėjo būti patobulintas, tam, kad įgalintų AMR veikimą. Šiame etape mes integravome WordNet [7] žodyną iš kurio galime gauti įvarių žodžių kalbos dalis bei sinonimų rinkinius.</w:t>
      </w:r>
      <w:r>
        <w:rPr/>
        <w:t xml:space="preserve"> WordNet yra bendrinis žodynas ir nėra visiškai tinkamas specifinėms veiklos sritims, kaip el-komercijos tekstų generavimas. Tačiau šiame projekto vystymo etape, mums nebūtina optimizuoti sistemos siaurose veiklos srityse.</w:t>
      </w:r>
    </w:p>
    <w:p>
      <w:pPr>
        <w:pStyle w:val="Normal"/>
        <w:spacing w:lineRule="auto" w:line="276"/>
        <w:jc w:val="both"/>
        <w:rPr>
          <w:i/>
          <w:i/>
          <w:iCs/>
        </w:rPr>
      </w:pPr>
      <w:r>
        <w:rPr>
          <w:i/>
          <w:iCs/>
        </w:rPr>
      </w:r>
    </w:p>
    <w:p>
      <w:pPr>
        <w:pStyle w:val="Heading2"/>
        <w:numPr>
          <w:ilvl w:val="1"/>
          <w:numId w:val="3"/>
        </w:numPr>
        <w:spacing w:lineRule="auto" w:line="276"/>
        <w:rPr/>
      </w:pPr>
      <w:bookmarkStart w:id="25" w:name="__RefHeading___Toc901_3920256043"/>
      <w:bookmarkStart w:id="26" w:name="_Toc11242479"/>
      <w:bookmarkEnd w:id="25"/>
      <w:r>
        <w:rPr/>
        <w:t>Rezultatai</w:t>
      </w:r>
      <w:bookmarkEnd w:id="26"/>
    </w:p>
    <w:p>
      <w:pPr>
        <w:pStyle w:val="Normal"/>
        <w:spacing w:lineRule="auto" w:line="276"/>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AMR sintaksės dėsningumai</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Identifikuoti 37 dėsningumai.</w:t>
            </w:r>
          </w:p>
          <w:p>
            <w:pPr>
              <w:pStyle w:val="TableContents"/>
              <w:ind w:hanging="0"/>
              <w:rPr/>
            </w:pPr>
            <w:r>
              <w:rPr>
                <w:rFonts w:ascii="Liberation Serif" w:hAnsi="Liberation Serif"/>
                <w:color w:val="000000"/>
                <w:sz w:val="24"/>
                <w:szCs w:val="24"/>
              </w:rPr>
              <w:t>b) 12 dėsningumų jau yra palaikomi teksto generavimo sistemoje</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Dalis VerbNet tyrėjų aprašytų AMRų neturi gramatinės sintaksės, naudojamos nelanksčios tekstinės citatos. Šios struktūros turės būti konvertuojamos į taisyklingas gramatikas.</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AMR ribojimų dėsningumai</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Identifikuoti 113 dėsningumai.</w:t>
            </w:r>
          </w:p>
          <w:p>
            <w:pPr>
              <w:pStyle w:val="TableContents"/>
              <w:ind w:hanging="0"/>
              <w:rPr/>
            </w:pPr>
            <w:r>
              <w:rPr>
                <w:rFonts w:ascii="Liberation Serif" w:hAnsi="Liberation Serif"/>
                <w:color w:val="000000"/>
                <w:sz w:val="24"/>
                <w:szCs w:val="24"/>
              </w:rPr>
              <w:t>b) Paruošta sistemos architektūra jų palaikymui</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VerbNet aprašo per daug ir per bendrus ribojimus, mums reikia aprašyti su el-parduotuvės veikla susijusius ribojimus.</w:t>
            </w:r>
          </w:p>
          <w:p>
            <w:pPr>
              <w:pStyle w:val="TableContents"/>
              <w:ind w:hanging="0"/>
              <w:rPr/>
            </w:pPr>
            <w:r>
              <w:rPr>
                <w:rFonts w:ascii="Liberation Serif" w:hAnsi="Liberation Serif"/>
                <w:color w:val="000000"/>
                <w:sz w:val="24"/>
                <w:szCs w:val="24"/>
              </w:rPr>
              <w:t>b) AMR ribojimų valdymas turi būti įgyvendintas vartotojui suprantamu ir lengvai operuojamu būdu.</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WordNet žodyno integravimas</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Integruotas AMR funkcinis ir WordNet žodynas</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eastAsia="Calibri" w:cs="DejaVu Sans" w:ascii="Liberation Serif" w:hAnsi="Liberation Serif"/>
                <w:color w:val="000000"/>
                <w:kern w:val="0"/>
                <w:sz w:val="24"/>
                <w:szCs w:val="24"/>
                <w:lang w:val="lt-LT" w:eastAsia="en-US" w:bidi="ar-SA"/>
              </w:rPr>
              <w:t>a) WordNet nėra veiklos srities žodynas. Jo siaurinimuj iki veiklos specifikos reikia įgyvendinti žodžių vektoriais  [8] paremtą sinonimų generatorių.</w:t>
            </w:r>
          </w:p>
        </w:tc>
      </w:tr>
    </w:tbl>
    <w:p>
      <w:pPr>
        <w:pStyle w:val="Heading1"/>
        <w:numPr>
          <w:ilvl w:val="0"/>
          <w:numId w:val="3"/>
        </w:numPr>
        <w:spacing w:lineRule="auto" w:line="276"/>
        <w:ind w:left="720" w:hanging="425"/>
        <w:rPr/>
      </w:pPr>
      <w:bookmarkStart w:id="27" w:name="__RefHeading___Toc903_3920256043"/>
      <w:bookmarkStart w:id="28" w:name="_Toc11242480"/>
      <w:bookmarkEnd w:id="27"/>
      <w:r>
        <w:rPr/>
        <w:t xml:space="preserve">Teksto generavimo komponento </w:t>
      </w:r>
      <w:bookmarkEnd w:id="28"/>
      <w:r>
        <w:rPr/>
        <w:t>vystymas</w:t>
      </w:r>
    </w:p>
    <w:p>
      <w:pPr>
        <w:pStyle w:val="Heading2"/>
        <w:numPr>
          <w:ilvl w:val="1"/>
          <w:numId w:val="3"/>
        </w:numPr>
        <w:rPr/>
      </w:pPr>
      <w:bookmarkStart w:id="29" w:name="__RefHeading___Toc905_3920256043"/>
      <w:bookmarkStart w:id="30" w:name="_Toc11242481"/>
      <w:bookmarkEnd w:id="29"/>
      <w:r>
        <w:rPr/>
        <w:t>Veiklos aprašas</w:t>
      </w:r>
      <w:bookmarkEnd w:id="30"/>
    </w:p>
    <w:p>
      <w:pPr>
        <w:pStyle w:val="Normal"/>
        <w:rPr/>
      </w:pPr>
      <w:r>
        <w:rPr/>
      </w:r>
    </w:p>
    <w:p>
      <w:pPr>
        <w:pStyle w:val="Normal"/>
        <w:rPr/>
      </w:pPr>
      <w:r>
        <w:rPr/>
        <w:t>Šiame etape teksto generavimo komponentas nebuvo plečiamas naujomis funkcijomis. Visi darbai buvo susiję su pakeitimais, kurių reikalavo darbai susiję su AMR įgyvendinimu.</w:t>
      </w:r>
    </w:p>
    <w:p>
      <w:pPr>
        <w:pStyle w:val="Normal"/>
        <w:rPr/>
      </w:pPr>
      <w:r>
        <w:rPr/>
      </w:r>
    </w:p>
    <w:p>
      <w:pPr>
        <w:pStyle w:val="Normal"/>
        <w:rPr/>
      </w:pPr>
      <w:r>
        <w:rPr/>
        <w:t xml:space="preserve">Buvo suplanuota ir įgyvendinta darbą su CCG gramatika [4] lengvinanti specifinė veiklos srities kalba (angl: </w:t>
      </w:r>
      <w:r>
        <w:rPr>
          <w:i/>
          <w:iCs/>
        </w:rPr>
        <w:t>Domain Specific Language</w:t>
      </w:r>
      <w:r>
        <w:rPr>
          <w:i w:val="false"/>
          <w:iCs w:val="false"/>
        </w:rPr>
        <w:t>) [5]</w:t>
      </w:r>
    </w:p>
    <w:p>
      <w:pPr>
        <w:pStyle w:val="Heading2"/>
        <w:numPr>
          <w:ilvl w:val="1"/>
          <w:numId w:val="3"/>
        </w:numPr>
        <w:rPr/>
      </w:pPr>
      <w:bookmarkStart w:id="31" w:name="__RefHeading___Toc907_3920256043"/>
      <w:bookmarkStart w:id="32" w:name="_Toc11242482"/>
      <w:bookmarkEnd w:id="31"/>
      <w:r>
        <w:rPr/>
        <w:t>Veiklos vykdymo eiga</w:t>
      </w:r>
      <w:bookmarkEnd w:id="32"/>
    </w:p>
    <w:p>
      <w:pPr>
        <w:pStyle w:val="Normal"/>
        <w:rPr/>
      </w:pPr>
      <w:r>
        <w:rPr/>
      </w:r>
    </w:p>
    <w:p>
      <w:pPr>
        <w:pStyle w:val="Normal"/>
        <w:rPr/>
      </w:pPr>
      <w:r>
        <w:rPr/>
        <w:t xml:space="preserve">AMR įgyvendinimas, CCG gramatika paremtu teksto generavimu, reikalauja vis sudėtingesnių gramatinių struktūrų įgyvendinimo. Tam sukurta ir projekto reikmėms naudojama DSL (angl: </w:t>
      </w:r>
      <w:r>
        <w:rPr>
          <w:i/>
          <w:iCs/>
        </w:rPr>
        <w:t>Domain Specific Language)</w:t>
      </w:r>
      <w:r>
        <w:rPr/>
        <w:t xml:space="preserve"> kalba. </w:t>
      </w:r>
    </w:p>
    <w:p>
      <w:pPr>
        <w:pStyle w:val="Normal"/>
        <w:rPr/>
      </w:pPr>
      <w:r>
        <w:rPr/>
      </w:r>
    </w:p>
    <w:p>
      <w:pPr>
        <w:pStyle w:val="Normal"/>
        <w:rPr/>
      </w:pPr>
      <w:r>
        <w:rPr/>
        <w:t>Gramatikos aprašymo DSL pavyzdys:</w:t>
      </w:r>
    </w:p>
    <w:p>
      <w:pPr>
        <w:pStyle w:val="Normal"/>
        <w:rPr/>
      </w:pPr>
      <w:r>
        <w:rPr/>
      </w:r>
    </w:p>
    <w:p>
      <w:pPr>
        <w:pStyle w:val="Normal"/>
        <w:rPr/>
      </w:pPr>
      <w:r>
        <w:rPr/>
        <w:t>Tarkime reikia aprašyti šią CCG struktūrą (minimali veiksmažodinė frazė):</w:t>
      </w:r>
    </w:p>
    <w:p>
      <w:pPr>
        <w:pStyle w:val="Normal"/>
        <w:rPr/>
      </w:pPr>
      <w:r>
        <w:rPr/>
      </w:r>
    </w:p>
    <w:p>
      <w:pPr>
        <w:pStyle w:val="Normal"/>
        <w:ind w:left="408" w:firstLine="360"/>
        <w:rPr>
          <w:rFonts w:ascii="Fira Mono" w:hAnsi="Fira Mono"/>
        </w:rPr>
      </w:pPr>
      <w:r>
        <w:rPr>
          <w:rFonts w:ascii="Fira Mono" w:hAnsi="Fira Mono"/>
        </w:rPr>
        <w:t>S\NP/NP</w:t>
      </w:r>
    </w:p>
    <w:p>
      <w:pPr>
        <w:pStyle w:val="Normal"/>
        <w:rPr/>
      </w:pPr>
      <w:r>
        <w:rPr/>
      </w:r>
    </w:p>
    <w:p>
      <w:pPr>
        <w:pStyle w:val="Normal"/>
        <w:rPr/>
      </w:pPr>
      <w:r>
        <w:rPr/>
        <w:t>Mūsų naudojamas OpenCCG [4] šią gramatiką aprašo arba per sudėtingą XML struktūrą, arba per taip pat sudėtingą Java objektų konstravimo programą. Mūsų DSL leidžia tai aprašyti pakankamai lengvai, naudojant mums įprastas Lisp S-ekspresijas [6]:</w:t>
      </w:r>
    </w:p>
    <w:p>
      <w:pPr>
        <w:pStyle w:val="Normal"/>
        <w:rPr/>
      </w:pPr>
      <w:r>
        <w:rPr/>
      </w:r>
    </w:p>
    <w:p>
      <w:pPr>
        <w:pStyle w:val="Normal"/>
        <w:ind w:left="408" w:firstLine="360"/>
        <w:rPr>
          <w:rFonts w:ascii="Fira Mono" w:hAnsi="Fira Mono"/>
        </w:rPr>
      </w:pPr>
      <w:r>
        <w:rPr>
          <w:rFonts w:ascii="Fira Mono" w:hAnsi="Fira Mono"/>
        </w:rPr>
        <w:t>(&gt;F (&lt;B NP NP))</w:t>
      </w:r>
    </w:p>
    <w:p>
      <w:pPr>
        <w:pStyle w:val="Normal"/>
        <w:rPr/>
      </w:pPr>
      <w:r>
        <w:rPr/>
      </w:r>
    </w:p>
    <w:p>
      <w:pPr>
        <w:pStyle w:val="Normal"/>
        <w:rPr/>
      </w:pPr>
      <w:r>
        <w:rPr/>
        <w:t>kur (naudojant Lamda calculus ir CCG terminologiją)</w:t>
      </w:r>
    </w:p>
    <w:p>
      <w:pPr>
        <w:pStyle w:val="Normal"/>
        <w:rPr/>
      </w:pPr>
      <w:r>
        <w:rPr/>
      </w:r>
    </w:p>
    <w:p>
      <w:pPr>
        <w:pStyle w:val="Normal"/>
        <w:ind w:left="408" w:firstLine="360"/>
        <w:rPr>
          <w:rFonts w:ascii="Fira Mono" w:hAnsi="Fira Mono"/>
        </w:rPr>
      </w:pPr>
      <w:r>
        <w:rPr>
          <w:rFonts w:ascii="Fira Mono" w:hAnsi="Fira Mono"/>
          <w:i/>
          <w:iCs/>
        </w:rPr>
        <w:t>&gt;F</w:t>
      </w:r>
      <w:r>
        <w:rPr>
          <w:rFonts w:ascii="Fira Mono" w:hAnsi="Fira Mono"/>
        </w:rPr>
        <w:t xml:space="preserve"> – Forward composition</w:t>
      </w:r>
    </w:p>
    <w:p>
      <w:pPr>
        <w:pStyle w:val="Normal"/>
        <w:ind w:left="408" w:firstLine="360"/>
        <w:rPr>
          <w:rFonts w:ascii="Fira Mono" w:hAnsi="Fira Mono"/>
        </w:rPr>
      </w:pPr>
      <w:r>
        <w:rPr>
          <w:rFonts w:ascii="Fira Mono" w:hAnsi="Fira Mono"/>
          <w:i/>
          <w:iCs/>
        </w:rPr>
        <w:t>&lt;B</w:t>
      </w:r>
      <w:r>
        <w:rPr>
          <w:rFonts w:ascii="Fira Mono" w:hAnsi="Fira Mono"/>
        </w:rPr>
        <w:t xml:space="preserve"> – Backward composition</w:t>
      </w:r>
    </w:p>
    <w:p>
      <w:pPr>
        <w:pStyle w:val="Normal"/>
        <w:ind w:left="408" w:firstLine="360"/>
        <w:rPr>
          <w:rFonts w:ascii="Fira Mono" w:hAnsi="Fira Mono"/>
        </w:rPr>
      </w:pPr>
      <w:r>
        <w:rPr>
          <w:rFonts w:ascii="Fira Mono" w:hAnsi="Fira Mono"/>
          <w:i/>
          <w:iCs/>
        </w:rPr>
        <w:t>NP</w:t>
      </w:r>
      <w:r>
        <w:rPr>
          <w:rFonts w:ascii="Fira Mono" w:hAnsi="Fira Mono"/>
        </w:rPr>
        <w:t xml:space="preserve"> - daiktavardis</w:t>
      </w:r>
    </w:p>
    <w:p>
      <w:pPr>
        <w:pStyle w:val="Normal"/>
        <w:rPr/>
      </w:pPr>
      <w:r>
        <w:rPr/>
      </w:r>
    </w:p>
    <w:p>
      <w:pPr>
        <w:pStyle w:val="Heading2"/>
        <w:numPr>
          <w:ilvl w:val="1"/>
          <w:numId w:val="3"/>
        </w:numPr>
        <w:rPr/>
      </w:pPr>
      <w:bookmarkStart w:id="33" w:name="__RefHeading___Toc909_3920256043"/>
      <w:bookmarkStart w:id="34" w:name="_Toc11242483"/>
      <w:bookmarkEnd w:id="33"/>
      <w:r>
        <w:rPr/>
        <w:t>Rezultatai</w:t>
      </w:r>
      <w:bookmarkEnd w:id="34"/>
    </w:p>
    <w:p>
      <w:pPr>
        <w:pStyle w:val="Normal"/>
        <w:rPr/>
      </w:pPr>
      <w:r>
        <w:rPr/>
      </w:r>
    </w:p>
    <w:p>
      <w:pPr>
        <w:pStyle w:val="Normal"/>
        <w:rPr/>
      </w:pPr>
      <w:r>
        <w:rPr/>
        <w:t>Ši veikla nebuvo orientuota į naujų rezultatų pasiekimą. Buvo siekiama toliau vystyti esamą komponentą ir taikyti jį visos sistemoms reikmėms.</w:t>
      </w:r>
    </w:p>
    <w:p>
      <w:pPr>
        <w:pStyle w:val="Normal"/>
        <w:rPr/>
      </w:pPr>
      <w:r>
        <w:rPr/>
      </w:r>
    </w:p>
    <w:p>
      <w:pPr>
        <w:pStyle w:val="Normal"/>
        <w:rPr/>
      </w:pPr>
      <w:r>
        <w:rPr/>
        <w:t>Aukščiau trumpai aptartas DSL, ateityje galėtų tapti nepriklausoma nuo mūsų produkto CCG gramatikas aprašančia kalba.</w:t>
      </w:r>
    </w:p>
    <w:p>
      <w:pPr>
        <w:pStyle w:val="Heading1"/>
        <w:numPr>
          <w:ilvl w:val="0"/>
          <w:numId w:val="3"/>
        </w:numPr>
        <w:spacing w:lineRule="auto" w:line="276"/>
        <w:ind w:left="720" w:hanging="425"/>
        <w:rPr/>
      </w:pPr>
      <w:bookmarkStart w:id="35" w:name="__RefHeading___Toc911_3920256043"/>
      <w:bookmarkStart w:id="36" w:name="__RefNumPara__898_3773642510"/>
      <w:bookmarkEnd w:id="35"/>
      <w:bookmarkEnd w:id="36"/>
      <w:r>
        <w:rPr/>
        <w:t>V</w:t>
      </w:r>
      <w:bookmarkStart w:id="37" w:name="_Toc11242484"/>
      <w:r>
        <w:rPr/>
        <w:t>artotojo sąsajos tobulinimas</w:t>
      </w:r>
      <w:bookmarkEnd w:id="37"/>
    </w:p>
    <w:p>
      <w:pPr>
        <w:pStyle w:val="Heading2"/>
        <w:numPr>
          <w:ilvl w:val="1"/>
          <w:numId w:val="3"/>
        </w:numPr>
        <w:spacing w:lineRule="auto" w:line="276"/>
        <w:rPr/>
      </w:pPr>
      <w:bookmarkStart w:id="38" w:name="__RefHeading___Toc913_3920256043"/>
      <w:bookmarkStart w:id="39" w:name="_Toc11242485"/>
      <w:bookmarkEnd w:id="38"/>
      <w:r>
        <w:rPr/>
        <w:t>Veiklos aprašas</w:t>
      </w:r>
      <w:bookmarkEnd w:id="39"/>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Fonts w:eastAsia="Calibri" w:cs="DejaVu Sans"/>
          <w:color w:val="00000A"/>
          <w:kern w:val="0"/>
          <w:sz w:val="22"/>
          <w:szCs w:val="22"/>
          <w:lang w:val="lt-LT" w:eastAsia="en-US" w:bidi="ar-SA"/>
        </w:rPr>
        <w:t xml:space="preserve">Kaip buvo planuota ir įgyvendinta prieš tai buvusiuose etapuose, dokumento planavimo įrankis veikia, kaip programavimo aplinka (angl: </w:t>
      </w:r>
      <w:r>
        <w:rPr>
          <w:rFonts w:eastAsia="Calibri" w:cs="DejaVu Sans"/>
          <w:i/>
          <w:iCs/>
          <w:color w:val="00000A"/>
          <w:kern w:val="0"/>
          <w:sz w:val="22"/>
          <w:szCs w:val="22"/>
          <w:lang w:val="lt-LT" w:eastAsia="en-US" w:bidi="ar-SA"/>
        </w:rPr>
        <w:t>Integrated Development Environment</w:t>
      </w:r>
      <w:r>
        <w:rPr>
          <w:rFonts w:eastAsia="Calibri" w:cs="DejaVu Sans"/>
          <w:i w:val="false"/>
          <w:iCs w:val="false"/>
          <w:color w:val="00000A"/>
          <w:kern w:val="0"/>
          <w:sz w:val="22"/>
          <w:szCs w:val="22"/>
          <w:lang w:val="lt-LT" w:eastAsia="en-US" w:bidi="ar-SA"/>
        </w:rPr>
        <w:t xml:space="preserve">). Kur vietoje įprastinių programavimo kalbų, yra kuriamas teksto realizavimo planas. Tam, kad toliau vystyti šią </w:t>
      </w:r>
      <w:r>
        <w:rPr>
          <w:rFonts w:eastAsia="Calibri" w:cs="DejaVu Sans"/>
          <w:i/>
          <w:iCs/>
          <w:color w:val="00000A"/>
          <w:kern w:val="0"/>
          <w:sz w:val="22"/>
          <w:szCs w:val="22"/>
          <w:lang w:val="lt-LT" w:eastAsia="en-US" w:bidi="ar-SA"/>
        </w:rPr>
        <w:t>programavimo</w:t>
      </w:r>
      <w:r>
        <w:rPr>
          <w:rFonts w:eastAsia="Calibri" w:cs="DejaVu Sans"/>
          <w:i w:val="false"/>
          <w:iCs w:val="false"/>
          <w:color w:val="00000A"/>
          <w:kern w:val="0"/>
          <w:sz w:val="22"/>
          <w:szCs w:val="22"/>
          <w:lang w:val="lt-LT" w:eastAsia="en-US" w:bidi="ar-SA"/>
        </w:rPr>
        <w:t xml:space="preserve"> paradigmą, mes įgyvendiname eilę patobulinimų skirtų darbo su dokumentų planais optimizavimui.</w:t>
      </w:r>
    </w:p>
    <w:p>
      <w:pPr>
        <w:pStyle w:val="Normal"/>
        <w:spacing w:lineRule="auto" w:line="276"/>
        <w:jc w:val="both"/>
        <w:rPr>
          <w:i w:val="false"/>
          <w:i w:val="false"/>
          <w:iCs w:val="false"/>
        </w:rPr>
      </w:pPr>
      <w:r>
        <w:rPr>
          <w:i w:val="false"/>
          <w:iCs w:val="false"/>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Pati aplinka pradėta testuoti kuriant konkrečius el-komercijos srities tekstus. Šie planai yra naudojami aukščiau aprašytoje Spotify parduotuvėje (</w:t>
      </w:r>
      <w:r>
        <w:rPr>
          <w:rFonts w:eastAsia="Calibri" w:cs="DejaVu Sans"/>
          <w:i w:val="false"/>
          <w:iCs w:val="false"/>
          <w:kern w:val="0"/>
          <w:sz w:val="22"/>
          <w:szCs w:val="22"/>
        </w:rPr>
        <w:fldChar w:fldCharType="begin"/>
      </w:r>
      <w:r>
        <w:rPr>
          <w:sz w:val="22"/>
          <w:i w:val="false"/>
          <w:kern w:val="0"/>
          <w:szCs w:val="22"/>
          <w:iCs w:val="false"/>
          <w:rFonts w:eastAsia="Calibri" w:cs="DejaVu Sans"/>
        </w:rPr>
        <w:instrText> REF __RefNumPara__717_665943473 \r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3</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kern w:val="0"/>
          <w:sz w:val="22"/>
          <w:szCs w:val="22"/>
        </w:rPr>
        <w:fldChar w:fldCharType="begin"/>
      </w:r>
      <w:r>
        <w:rPr>
          <w:sz w:val="22"/>
          <w:i w:val="false"/>
          <w:kern w:val="0"/>
          <w:szCs w:val="22"/>
          <w:iCs w:val="false"/>
          <w:rFonts w:eastAsia="Calibri" w:cs="DejaVu Sans"/>
        </w:rPr>
        <w:instrText> REF __RefNumPara__717_665943473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Bandomoji el-parduotuvė</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skyrius).</w:t>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40" w:name="__RefHeading___Toc915_3920256043"/>
      <w:bookmarkStart w:id="41" w:name="_Toc11242486"/>
      <w:bookmarkEnd w:id="40"/>
      <w:r>
        <w:rPr/>
        <w:t>Veiklos vykdymo eiga</w:t>
      </w:r>
      <w:bookmarkEnd w:id="41"/>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D</w:t>
      </w:r>
      <w:r>
        <w:rPr/>
        <w:t xml:space="preserve">okumento plano konstravimo strategija remiasi AMR pricipu, kur pranešimo prasmė dažniausiai konstruojama per veiksmažodį. Tai nėra intuityvu sistemos naudotojams. Žmonės konstruoja sakinius pradėdami ir galvodami apie </w:t>
      </w:r>
      <w:r>
        <w:rPr>
          <w:rFonts w:eastAsia="Calibri" w:cs="DejaVu Sans"/>
          <w:color w:val="00000A"/>
          <w:kern w:val="0"/>
          <w:sz w:val="22"/>
          <w:szCs w:val="22"/>
          <w:lang w:val="lt-LT" w:eastAsia="en-US" w:bidi="ar-SA"/>
        </w:rPr>
        <w:t>daiktavardį – t. y. tai kas atlieka veiksmą</w:t>
      </w:r>
      <w:r>
        <w:rPr/>
        <w:t>:</w:t>
      </w:r>
    </w:p>
    <w:p>
      <w:pPr>
        <w:pStyle w:val="Normal"/>
        <w:spacing w:lineRule="auto" w:line="276"/>
        <w:rPr/>
      </w:pPr>
      <w:r>
        <w:rPr/>
      </w:r>
    </w:p>
    <w:p>
      <w:pPr>
        <w:pStyle w:val="Normal"/>
        <w:spacing w:lineRule="auto" w:line="276"/>
        <w:rPr>
          <w:i/>
          <w:i/>
          <w:iCs/>
        </w:rPr>
      </w:pPr>
      <w:r>
        <w:rPr>
          <w:i/>
          <w:iCs/>
          <w:u w:val="single"/>
        </w:rPr>
        <w:t>Atėnai</w:t>
      </w:r>
      <w:r>
        <w:rPr>
          <w:i/>
          <w:iCs/>
        </w:rPr>
        <w:t xml:space="preserve"> kariavo su </w:t>
      </w:r>
      <w:r>
        <w:rPr>
          <w:i/>
          <w:iCs/>
          <w:u w:val="single"/>
        </w:rPr>
        <w:t>Sparta</w:t>
      </w:r>
    </w:p>
    <w:p>
      <w:pPr>
        <w:pStyle w:val="Normal"/>
        <w:spacing w:lineRule="auto" w:line="276"/>
        <w:rPr>
          <w:i/>
          <w:i/>
          <w:iCs/>
        </w:rPr>
      </w:pPr>
      <w:r>
        <w:rPr>
          <w:i/>
          <w:iCs/>
        </w:rPr>
      </w:r>
    </w:p>
    <w:p>
      <w:pPr>
        <w:pStyle w:val="Normal"/>
        <w:spacing w:lineRule="auto" w:line="276"/>
        <w:ind w:hanging="0"/>
        <w:rPr>
          <w:i w:val="false"/>
          <w:i w:val="false"/>
          <w:iCs w:val="false"/>
        </w:rPr>
      </w:pPr>
      <w:r>
        <w:rPr>
          <w:i w:val="false"/>
          <w:iCs w:val="false"/>
        </w:rPr>
        <w:t>O ne:</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tab/>
      </w:r>
      <w:r>
        <w:rPr>
          <w:i/>
          <w:iCs/>
          <w:u w:val="single"/>
        </w:rPr>
        <w:t>Kariavo</w:t>
      </w:r>
      <w:r>
        <w:rPr>
          <w:i/>
          <w:iCs/>
        </w:rPr>
        <w:t>: Atėnai, Sprata.</w:t>
      </w:r>
    </w:p>
    <w:p>
      <w:pPr>
        <w:pStyle w:val="Normal"/>
        <w:spacing w:lineRule="auto" w:line="276"/>
        <w:ind w:hanging="0"/>
        <w:rPr>
          <w:i/>
          <w:i/>
          <w:iCs/>
        </w:rPr>
      </w:pPr>
      <w:r>
        <w:rPr>
          <w:i/>
          <w:iCs/>
        </w:rPr>
      </w:r>
    </w:p>
    <w:p>
      <w:pPr>
        <w:pStyle w:val="Normal"/>
        <w:spacing w:lineRule="auto" w:line="276"/>
        <w:ind w:hanging="0"/>
        <w:rPr/>
      </w:pPr>
      <w:r>
        <w:rPr>
          <w:i w:val="false"/>
          <w:iCs w:val="false"/>
        </w:rPr>
        <w:tab/>
        <w:t>Tačiau būtent antrasis – funkcinis – būdas yra naudojamas AMR’e (taip pat ir CCG). Tam, kad vartotojui palengvinti darbą su tokiomis AMR struktūromis, mes įgyvendinome, greitos kontekstinės paieškos sistemą, kuri leidžia greitai rasti norimus AMR pranešimo elementus.</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drawing>
          <wp:inline distT="0" distB="0" distL="0" distR="0">
            <wp:extent cx="5150485" cy="347789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50485" cy="3477895"/>
                    </a:xfrm>
                    <a:prstGeom prst="rect">
                      <a:avLst/>
                    </a:prstGeom>
                  </pic:spPr>
                </pic:pic>
              </a:graphicData>
            </a:graphic>
          </wp:inline>
        </w:drawing>
      </w:r>
    </w:p>
    <w:p>
      <w:pPr>
        <w:pStyle w:val="Normal"/>
        <w:spacing w:lineRule="auto" w:line="276"/>
        <w:rPr>
          <w:i/>
          <w:i/>
          <w:iCs/>
        </w:rPr>
      </w:pPr>
      <w:r>
        <w:rPr>
          <w:i/>
          <w:iCs/>
        </w:rPr>
        <w:t>Pav 3. Kontekstinė paieška</w:t>
      </w:r>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Paveiksle parodyta kontekstinė paieška geba parinkti reikiamos kalbos dalies žodžius ir kaip konceptus automatiškai įterpti į reikiamą dokumento plano vietą.</w:t>
      </w:r>
    </w:p>
    <w:p>
      <w:pPr>
        <w:pStyle w:val="Heading2"/>
        <w:numPr>
          <w:ilvl w:val="1"/>
          <w:numId w:val="3"/>
        </w:numPr>
        <w:rPr/>
      </w:pPr>
      <w:bookmarkStart w:id="42" w:name="__RefHeading___Toc917_3920256043"/>
      <w:bookmarkStart w:id="43" w:name="_Toc11242487"/>
      <w:bookmarkEnd w:id="42"/>
      <w:r>
        <w:rPr/>
        <w:t>Rezultatai</w:t>
      </w:r>
      <w:bookmarkEnd w:id="43"/>
    </w:p>
    <w:p>
      <w:pPr>
        <w:pStyle w:val="Normal"/>
        <w:rPr/>
      </w:pPr>
      <w:r>
        <w:rPr/>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Kontekstinė lingvistinių pranešimų paieška</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Įgyvendinta kontekstinė paieška leidžianti lengviau surasti norimas kalbines struktūras.</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Vartotojo sąsajoje mes stengiamės visiškai išvengti gramatinių konceptų (kalbos dalis, artikeliai anglų kalbai, skyryba ir panašiai). Tačiau kontekstinė paieška turi remtis bent jau kalbos dalimi. Sekančiame etape bus ieškoma, kaip išvengti šios priklausomybės.</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Kiti smulkūs patobulinimai</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t>a) Klaviatūros komandų įvedimas</w:t>
            </w:r>
          </w:p>
          <w:p>
            <w:pPr>
              <w:pStyle w:val="TableContents"/>
              <w:ind w:hanging="0"/>
              <w:rPr/>
            </w:pPr>
            <w:r>
              <w:rPr/>
              <w:t>b) Projekto dokumentavimas ir paruošimas galimam publikavimui atviro kodo repozitorijoje.</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
          </w:p>
        </w:tc>
      </w:tr>
    </w:tbl>
    <w:p>
      <w:pPr>
        <w:pStyle w:val="Heading1"/>
        <w:numPr>
          <w:ilvl w:val="0"/>
          <w:numId w:val="3"/>
        </w:numPr>
        <w:spacing w:lineRule="auto" w:line="276"/>
        <w:ind w:left="720" w:hanging="449"/>
        <w:rPr/>
      </w:pPr>
      <w:bookmarkStart w:id="44" w:name="__RefHeading___Toc919_3920256043"/>
      <w:bookmarkStart w:id="45" w:name="_Toc11242488"/>
      <w:bookmarkStart w:id="46" w:name="_Toc3489885201"/>
      <w:bookmarkEnd w:id="44"/>
      <w:bookmarkEnd w:id="46"/>
      <w:r>
        <w:rPr/>
        <w:t>Įvykdyti paslaugų pirkimai</w:t>
      </w:r>
      <w:bookmarkEnd w:id="45"/>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47" w:name="__RefHeading___Toc921_3920256043"/>
      <w:bookmarkStart w:id="48" w:name="_Toc350342216"/>
      <w:bookmarkStart w:id="49" w:name="_Toc349201001"/>
      <w:bookmarkStart w:id="50" w:name="_Toc11242489"/>
      <w:bookmarkEnd w:id="47"/>
      <w:r>
        <w:rPr/>
        <w:t>Užduočių atlikimas</w:t>
      </w:r>
      <w:bookmarkEnd w:id="48"/>
      <w:bookmarkEnd w:id="49"/>
      <w:bookmarkEnd w:id="50"/>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704"/>
        <w:gridCol w:w="3771"/>
        <w:gridCol w:w="3583"/>
        <w:gridCol w:w="1391"/>
      </w:tblGrid>
      <w:tr>
        <w:trPr>
          <w:tblHeader w:val="true"/>
          <w:cantSplit w:val="true"/>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AMR implementacija</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bookmarkStart w:id="51" w:name="__DdeLink__2608_1411286158"/>
            <w:r>
              <w:rPr>
                <w:rFonts w:cs="Times New Roman" w:ascii="Times New Roman" w:hAnsi="Times New Roman"/>
                <w:sz w:val="24"/>
                <w:szCs w:val="24"/>
              </w:rPr>
              <w:t>Žygimantas Medelis, UAB “TokenMill”</w:t>
            </w:r>
            <w:bookmarkEnd w:id="51"/>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290</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383</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AMR implementacija</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470</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350</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5.</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Shopify integracija</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Tomas Čerkaukas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120</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6. </w:t>
            </w:r>
          </w:p>
        </w:tc>
        <w:tc>
          <w:tcPr>
            <w:tcW w:w="3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Projekto valdymas</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116</w:t>
            </w:r>
          </w:p>
        </w:tc>
      </w:tr>
    </w:tbl>
    <w:p>
      <w:pPr>
        <w:pStyle w:val="Heading1"/>
        <w:numPr>
          <w:ilvl w:val="0"/>
          <w:numId w:val="3"/>
        </w:numPr>
        <w:spacing w:lineRule="auto" w:line="276"/>
        <w:ind w:left="720" w:hanging="425"/>
        <w:rPr/>
      </w:pPr>
      <w:bookmarkStart w:id="52" w:name="__RefHeading___Toc923_3920256043"/>
      <w:bookmarkStart w:id="53" w:name="_Toc11242490"/>
      <w:bookmarkStart w:id="54" w:name="_Toc350342218"/>
      <w:bookmarkStart w:id="55" w:name="_Toc389153661"/>
      <w:bookmarkEnd w:id="52"/>
      <w:bookmarkEnd w:id="55"/>
      <w:r>
        <w:rPr/>
        <w:t>Pasiekti rezultatai</w:t>
      </w:r>
      <w:bookmarkEnd w:id="53"/>
      <w:bookmarkEnd w:id="54"/>
    </w:p>
    <w:p>
      <w:pPr>
        <w:pStyle w:val="Normal"/>
        <w:spacing w:lineRule="auto" w:line="276"/>
        <w:jc w:val="both"/>
        <w:rPr>
          <w:b/>
          <w:b/>
          <w:bCs/>
        </w:rPr>
      </w:pPr>
      <w:r>
        <w:rPr>
          <w:b/>
          <w:bCs/>
        </w:rPr>
      </w:r>
    </w:p>
    <w:p>
      <w:pPr>
        <w:pStyle w:val="Normal"/>
        <w:spacing w:lineRule="auto" w:line="276"/>
        <w:jc w:val="both"/>
        <w:rPr/>
      </w:pPr>
      <w:r>
        <w:rPr/>
        <w:t>Kuriamą produktą galima suprasti kaip priemonę kuri atlieka dvi funkcijas:</w:t>
      </w:r>
    </w:p>
    <w:p>
      <w:pPr>
        <w:pStyle w:val="Normal"/>
        <w:spacing w:lineRule="auto" w:line="276"/>
        <w:jc w:val="both"/>
        <w:rPr/>
      </w:pPr>
      <w:r>
        <w:rPr/>
      </w:r>
    </w:p>
    <w:p>
      <w:pPr>
        <w:pStyle w:val="Normal"/>
        <w:numPr>
          <w:ilvl w:val="0"/>
          <w:numId w:val="7"/>
        </w:numPr>
        <w:spacing w:lineRule="auto" w:line="276"/>
        <w:jc w:val="both"/>
        <w:rPr/>
      </w:pPr>
      <w:r>
        <w:rPr/>
        <w:t>Suteikia redaktoriui įrankius apibrėžti komunikacijos tikslus ir dokumento planą. Šie turi būti apibrėžti taip, kad nekiltų pranešimo prasmės dviprasmybių ar kitų netikslumų.</w:t>
      </w:r>
    </w:p>
    <w:p>
      <w:pPr>
        <w:pStyle w:val="Normal"/>
        <w:numPr>
          <w:ilvl w:val="0"/>
          <w:numId w:val="7"/>
        </w:numPr>
        <w:spacing w:lineRule="auto" w:line="276"/>
        <w:jc w:val="both"/>
        <w:rPr/>
      </w:pPr>
      <w:r>
        <w:rPr/>
        <w:t>Remiantis sukurta pranešimo prasmės struktūra, generuoti rišlius teksto variantus.</w:t>
      </w:r>
    </w:p>
    <w:p>
      <w:pPr>
        <w:pStyle w:val="Normal"/>
        <w:spacing w:lineRule="auto" w:line="276"/>
        <w:jc w:val="both"/>
        <w:rPr/>
      </w:pPr>
      <w:r>
        <w:rPr/>
      </w:r>
    </w:p>
    <w:p>
      <w:pPr>
        <w:pStyle w:val="Normal"/>
        <w:spacing w:lineRule="auto" w:line="276"/>
        <w:jc w:val="both"/>
        <w:rPr/>
      </w:pPr>
      <w:r>
        <w:rPr/>
        <w:t xml:space="preserve">Šios abi dalys siejasi per AMR (abstrakčios prasmės reprezentaciją, </w:t>
      </w:r>
      <w:r>
        <w:rPr>
          <w:i/>
          <w:iCs/>
        </w:rPr>
        <w:t>angl: abstract meaning representation</w:t>
      </w:r>
      <w:r>
        <w:rPr/>
        <w:t xml:space="preserve">) konceptą. Jei AMR naudojimo ir jo konvertavimo į gramatiką ir iš ten į tekstą, aspektai, jau buvo ištirti ir įgyvendinti praeituose etapuose, tai šiame etape buvo išgryninti </w:t>
      </w:r>
      <w:r>
        <w:rPr>
          <w:rFonts w:eastAsia="Calibri" w:cs="DejaVu Sans"/>
          <w:color w:val="00000A"/>
          <w:kern w:val="0"/>
          <w:sz w:val="22"/>
          <w:szCs w:val="22"/>
          <w:lang w:val="lt-LT" w:eastAsia="en-US" w:bidi="ar-SA"/>
        </w:rPr>
        <w:t>šios</w:t>
      </w:r>
      <w:r>
        <w:rPr/>
        <w:t xml:space="preserve"> dvi AMR koncepto naudojimo produkte pusės: </w:t>
      </w:r>
    </w:p>
    <w:p>
      <w:pPr>
        <w:pStyle w:val="Normal"/>
        <w:spacing w:lineRule="auto" w:line="276"/>
        <w:jc w:val="both"/>
        <w:rPr/>
      </w:pPr>
      <w:r>
        <w:rPr/>
      </w:r>
    </w:p>
    <w:p>
      <w:pPr>
        <w:pStyle w:val="Normal"/>
        <w:numPr>
          <w:ilvl w:val="0"/>
          <w:numId w:val="9"/>
        </w:numPr>
        <w:spacing w:lineRule="auto" w:line="276"/>
        <w:jc w:val="both"/>
        <w:rPr/>
      </w:pPr>
      <w:r>
        <w:rPr>
          <w:i/>
          <w:iCs/>
        </w:rPr>
        <w:t>vartotojui</w:t>
      </w:r>
      <w:r>
        <w:rPr/>
        <w:t xml:space="preserve"> – apibrėžti prasmę ir </w:t>
      </w:r>
    </w:p>
    <w:p>
      <w:pPr>
        <w:pStyle w:val="Normal"/>
        <w:numPr>
          <w:ilvl w:val="0"/>
          <w:numId w:val="9"/>
        </w:numPr>
        <w:spacing w:lineRule="auto" w:line="276"/>
        <w:jc w:val="both"/>
        <w:rPr/>
      </w:pPr>
      <w:r>
        <w:rPr>
          <w:i/>
          <w:iCs/>
        </w:rPr>
        <w:t>NLG generatoriui</w:t>
      </w:r>
      <w:r>
        <w:rPr/>
        <w:t xml:space="preserve"> – sukurti tekstą.</w:t>
      </w:r>
    </w:p>
    <w:p>
      <w:pPr>
        <w:pStyle w:val="Normal"/>
        <w:spacing w:lineRule="auto" w:line="276"/>
        <w:jc w:val="both"/>
        <w:rPr/>
      </w:pPr>
      <w:r>
        <w:rPr/>
      </w:r>
    </w:p>
    <w:p>
      <w:pPr>
        <w:pStyle w:val="Normal"/>
        <w:spacing w:lineRule="auto" w:line="276"/>
        <w:jc w:val="both"/>
        <w:rPr/>
      </w:pPr>
      <w:r>
        <w:rPr/>
        <w:t xml:space="preserve">Vartotojo lygyje AMR toliau vystomas pagal vizualios programavimo kalbos redaktoriaus paradigmą aprašytą pirmojoje 2018-12 ataskaitoje skyriųje </w:t>
      </w:r>
      <w:r>
        <w:rPr>
          <w:i/>
          <w:iCs/>
        </w:rPr>
        <w:t xml:space="preserve">3.  Automatizuotas dokumento plano redaktorius </w:t>
      </w:r>
      <w:r>
        <w:rPr/>
        <w:t xml:space="preserve"> [10]. Šiame etape išplečiant šią paradigma kontekstinės paieškos komponentu, kuris įgalina programavimo principus naudoti ligvistiniame kontekste.</w:t>
      </w:r>
    </w:p>
    <w:p>
      <w:pPr>
        <w:pStyle w:val="Normal"/>
        <w:spacing w:lineRule="auto" w:line="276"/>
        <w:jc w:val="both"/>
        <w:rPr/>
      </w:pPr>
      <w:r>
        <w:rPr/>
      </w:r>
    </w:p>
    <w:p>
      <w:pPr>
        <w:pStyle w:val="Normal"/>
        <w:spacing w:lineRule="auto" w:line="276"/>
        <w:jc w:val="both"/>
        <w:rPr/>
      </w:pPr>
      <w:r>
        <w:rPr/>
        <w:t>AMR naudojimas teksto generavimo pusėje toliau vystomas pagal numatytą architektūrą, atrandant ir įgyvendinant reikiamas, prasmės reprezentavimo konvertavimo į gramatiką, struktūras.</w:t>
      </w:r>
    </w:p>
    <w:p>
      <w:pPr>
        <w:pStyle w:val="Normal"/>
        <w:spacing w:lineRule="auto" w:line="276"/>
        <w:jc w:val="both"/>
        <w:rPr/>
      </w:pPr>
      <w:r>
        <w:rPr/>
      </w:r>
    </w:p>
    <w:p>
      <w:pPr>
        <w:pStyle w:val="Normal"/>
        <w:rPr/>
      </w:pPr>
      <w:r>
        <w:rPr/>
      </w:r>
      <w:r>
        <w:br w:type="page"/>
      </w:r>
    </w:p>
    <w:p>
      <w:pPr>
        <w:pStyle w:val="Heading1"/>
        <w:numPr>
          <w:ilvl w:val="0"/>
          <w:numId w:val="3"/>
        </w:numPr>
        <w:spacing w:lineRule="auto" w:line="276"/>
        <w:ind w:left="0" w:hanging="0"/>
        <w:rPr/>
      </w:pPr>
      <w:bookmarkStart w:id="56" w:name="__RefHeading___Toc925_3920256043"/>
      <w:bookmarkStart w:id="57" w:name="_Toc11242491"/>
      <w:bookmarkEnd w:id="56"/>
      <w:r>
        <w:rPr/>
        <w:t>N</w:t>
      </w:r>
      <w:bookmarkStart w:id="58" w:name="_Toc350342219"/>
      <w:r>
        <w:rPr/>
        <w:t>epasiekti rezultatai</w:t>
      </w:r>
      <w:bookmarkEnd w:id="57"/>
      <w:bookmarkEnd w:id="58"/>
      <w:r>
        <w:rPr/>
        <w:t xml:space="preserve"> </w:t>
      </w:r>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59" w:name="__RefHeading___Toc927_3920256043"/>
      <w:bookmarkStart w:id="60" w:name="_Toc389153664"/>
      <w:bookmarkStart w:id="61" w:name="_Toc11242492"/>
      <w:bookmarkEnd w:id="59"/>
      <w:r>
        <w:rPr/>
        <w:t>Veiklos vykdymo metu atliktų tyrimų eigos  pakeitimai</w:t>
      </w:r>
      <w:bookmarkEnd w:id="60"/>
      <w:bookmarkEnd w:id="61"/>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Remiantis praeito etapo tyrimu, buvo planuojama, kad dokumento plane mes galėsime remtis, visiškai nuo gramatinės specifikos nepriklausomai, suformuluotu prasmės pranešimu. Kaip antai:</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t xml:space="preserve">He </w:t>
      </w:r>
      <w:r>
        <w:rPr>
          <w:rFonts w:eastAsia="Calibri" w:cs="DejaVu Sans"/>
          <w:b/>
          <w:bCs/>
          <w:i/>
          <w:iCs/>
          <w:color w:val="00000A"/>
          <w:kern w:val="0"/>
          <w:sz w:val="22"/>
          <w:szCs w:val="22"/>
          <w:lang w:val="lt-LT" w:eastAsia="en-US" w:bidi="ar-SA"/>
        </w:rPr>
        <w:t xml:space="preserve">worked </w:t>
      </w:r>
      <w:r>
        <w:rPr>
          <w:rFonts w:eastAsia="Calibri" w:cs="DejaVu Sans"/>
          <w:i/>
          <w:iCs/>
          <w:color w:val="00000A"/>
          <w:kern w:val="0"/>
          <w:sz w:val="22"/>
          <w:szCs w:val="22"/>
          <w:lang w:val="lt-LT" w:eastAsia="en-US" w:bidi="ar-SA"/>
        </w:rPr>
        <w:t>for two hours.</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PreformattedText"/>
        <w:spacing w:lineRule="auto" w:line="276"/>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(w / work-01</w:t>
      </w:r>
    </w:p>
    <w:p>
      <w:pPr>
        <w:pStyle w:val="PreformattedText"/>
        <w:rPr/>
      </w:pPr>
      <w:r>
        <w:rPr/>
        <w:t xml:space="preserve">   </w:t>
      </w:r>
      <w:r>
        <w:rPr/>
        <w:t>:ARG0 (h / he)</w:t>
      </w:r>
    </w:p>
    <w:p>
      <w:pPr>
        <w:pStyle w:val="PreformattedText"/>
        <w:rPr/>
      </w:pPr>
      <w:r>
        <w:rPr/>
        <w:t xml:space="preserve">   </w:t>
      </w:r>
      <w:r>
        <w:rPr/>
        <w:t>:duration (t / temporal-quantity</w:t>
      </w:r>
    </w:p>
    <w:p>
      <w:pPr>
        <w:pStyle w:val="PreformattedText"/>
        <w:rPr/>
      </w:pPr>
      <w:r>
        <w:rPr/>
        <w:t xml:space="preserve">                </w:t>
      </w:r>
      <w:r>
        <w:rPr/>
        <w:t>:quant 2</w:t>
      </w:r>
    </w:p>
    <w:p>
      <w:pPr>
        <w:pStyle w:val="PreformattedText"/>
        <w:spacing w:before="0" w:after="283"/>
        <w:rPr/>
      </w:pPr>
      <w:r>
        <w:rPr/>
        <w:t xml:space="preserve">                </w:t>
      </w:r>
      <w:r>
        <w:rPr/>
        <w:t>:unit (h2 / hour)))</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Tačiau šio etapo metu paaiškėjo, kad gramatinis šablonas, bent kol kas, yra būtinas ir aukščiau pateiktą AMR pavyzdį reikia papildyti sintaksės šalonu, kurį galima gauti per VerbNet’ą [9].</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Šis pakeitimas reikalauja papildomo, duomenų apdorojimo žingsnio, sistemos veikime, tačiau nekeičia jos konstrukcijos ir veikimo principų.</w:t>
      </w:r>
    </w:p>
    <w:p>
      <w:pPr>
        <w:pStyle w:val="Heading1"/>
        <w:numPr>
          <w:ilvl w:val="0"/>
          <w:numId w:val="3"/>
        </w:numPr>
        <w:spacing w:lineRule="auto" w:line="276"/>
        <w:ind w:left="449" w:hanging="449"/>
        <w:rPr/>
      </w:pPr>
      <w:bookmarkStart w:id="62" w:name="__RefHeading___Toc929_3920256043"/>
      <w:bookmarkStart w:id="63" w:name="_Toc350342221"/>
      <w:bookmarkStart w:id="64" w:name="_Toc11242493"/>
      <w:bookmarkEnd w:id="62"/>
      <w:r>
        <w:rPr/>
        <w:t>Rezultatų naujumas ir nauda projektui</w:t>
      </w:r>
      <w:bookmarkEnd w:id="63"/>
      <w:bookmarkEnd w:id="6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Tolimesni tyrimai nebeatliekami, todėl šio etapo rezultatai nėra nukreipti į naujų teorijos taikymų atradimą. Šiame ir kituose etapuose yra įgyvendinama ir tobulinami ankstesnių tyrimų rezultatai.</w:t>
      </w:r>
    </w:p>
    <w:p>
      <w:pPr>
        <w:pStyle w:val="Normal"/>
        <w:spacing w:lineRule="auto" w:line="276"/>
        <w:jc w:val="both"/>
        <w:rPr/>
      </w:pPr>
      <w:r>
        <w:rPr/>
      </w:r>
    </w:p>
    <w:p>
      <w:pPr>
        <w:pStyle w:val="Normal"/>
        <w:spacing w:lineRule="auto" w:line="276"/>
        <w:jc w:val="both"/>
        <w:rPr/>
      </w:pPr>
      <w:r>
        <w:rPr/>
        <w:t>Ankstesnių rezultatų ir jų taikymo šiame etape, nauda projektui:</w:t>
      </w:r>
    </w:p>
    <w:p>
      <w:pPr>
        <w:pStyle w:val="Normal"/>
        <w:spacing w:lineRule="auto" w:line="276"/>
        <w:jc w:val="both"/>
        <w:rPr/>
      </w:pPr>
      <w:r>
        <w:rPr/>
      </w:r>
    </w:p>
    <w:p>
      <w:pPr>
        <w:pStyle w:val="Normal"/>
        <w:numPr>
          <w:ilvl w:val="0"/>
          <w:numId w:val="8"/>
        </w:numPr>
        <w:spacing w:lineRule="auto" w:line="276"/>
        <w:jc w:val="both"/>
        <w:rPr/>
      </w:pPr>
      <w:r>
        <w:rPr/>
        <w:t>Palaikomų AMR ir gramatikos konstrukcijų plėtimas, šio etapo metu, leido mums sukurti bandomąją parduotuvę.</w:t>
      </w:r>
    </w:p>
    <w:p>
      <w:pPr>
        <w:pStyle w:val="Normal"/>
        <w:numPr>
          <w:ilvl w:val="0"/>
          <w:numId w:val="8"/>
        </w:numPr>
        <w:spacing w:lineRule="auto" w:line="276"/>
        <w:jc w:val="both"/>
        <w:rPr/>
      </w:pPr>
      <w:r>
        <w:rPr/>
        <w:t xml:space="preserve">Dokumento plano redaktoriaus plėtimas leidžia </w:t>
      </w:r>
      <w:r>
        <w:rPr>
          <w:rFonts w:eastAsia="Calibri" w:cs="DejaVu Sans"/>
          <w:color w:val="00000A"/>
          <w:kern w:val="0"/>
          <w:sz w:val="22"/>
          <w:szCs w:val="22"/>
          <w:lang w:val="lt-LT" w:eastAsia="en-US" w:bidi="ar-SA"/>
        </w:rPr>
        <w:t>paprasčiau</w:t>
      </w:r>
      <w:r>
        <w:rPr/>
        <w:t xml:space="preserve"> apibrėžti dokumento planą. Dabartinis redaktorius yra pilnai funkcionalus kurti įvairiems tekstų tipams.</w:t>
      </w:r>
    </w:p>
    <w:p>
      <w:pPr>
        <w:pStyle w:val="Normal"/>
        <w:rPr/>
      </w:pPr>
      <w:r>
        <w:rPr/>
      </w:r>
      <w:r>
        <w:br w:type="page"/>
      </w:r>
    </w:p>
    <w:p>
      <w:pPr>
        <w:pStyle w:val="Heading1"/>
        <w:spacing w:lineRule="auto" w:line="276"/>
        <w:rPr/>
      </w:pPr>
      <w:bookmarkStart w:id="65" w:name="__RefHeading___Toc931_3920256043"/>
      <w:bookmarkStart w:id="66" w:name="_Toc11242494"/>
      <w:bookmarkEnd w:id="65"/>
      <w:r>
        <w:rPr/>
        <w:t>Bibliografija</w:t>
      </w:r>
      <w:bookmarkEnd w:id="66"/>
    </w:p>
    <w:p>
      <w:pPr>
        <w:pStyle w:val="TextBody"/>
        <w:numPr>
          <w:ilvl w:val="0"/>
          <w:numId w:val="5"/>
        </w:numPr>
        <w:spacing w:lineRule="auto" w:line="360"/>
        <w:jc w:val="left"/>
        <w:rPr/>
      </w:pPr>
      <w:r>
        <w:rPr/>
        <w:t>2019-06-14 dienos projekto ataskaita</w:t>
      </w:r>
    </w:p>
    <w:p>
      <w:pPr>
        <w:pStyle w:val="TextBody"/>
        <w:numPr>
          <w:ilvl w:val="0"/>
          <w:numId w:val="5"/>
        </w:numPr>
        <w:spacing w:lineRule="auto" w:line="360" w:before="0" w:after="140"/>
        <w:jc w:val="left"/>
        <w:rPr/>
      </w:pPr>
      <w:r>
        <w:rPr>
          <w:i/>
          <w:iCs/>
        </w:rPr>
        <w:t>GraphQL examples for products</w:t>
      </w:r>
      <w:r>
        <w:rPr/>
        <w:t xml:space="preserve"> (Skaityta 2019-09-03) </w:t>
      </w:r>
      <w:hyperlink r:id="rId6">
        <w:r>
          <w:rPr>
            <w:rStyle w:val="InternetLink"/>
          </w:rPr>
          <w:t>https://help.shopify.com/en/api/graphql-admin-api/examples/product</w:t>
        </w:r>
      </w:hyperlink>
    </w:p>
    <w:p>
      <w:pPr>
        <w:pStyle w:val="TextBody"/>
        <w:numPr>
          <w:ilvl w:val="0"/>
          <w:numId w:val="5"/>
        </w:numPr>
        <w:spacing w:lineRule="auto" w:line="360" w:before="0" w:after="140"/>
        <w:jc w:val="left"/>
        <w:rPr>
          <w:i/>
          <w:i/>
          <w:iCs/>
        </w:rPr>
      </w:pPr>
      <w:r>
        <w:rPr>
          <w:i/>
          <w:iCs/>
        </w:rPr>
        <w:t xml:space="preserve">A Class-Based Verb Lexicon </w:t>
      </w:r>
      <w:r>
        <w:rPr>
          <w:i w:val="false"/>
          <w:iCs w:val="false"/>
        </w:rPr>
        <w:t xml:space="preserve">(Skaityta 2019-09-04) </w:t>
      </w:r>
      <w:hyperlink r:id="rId7">
        <w:r>
          <w:rPr>
            <w:rStyle w:val="InternetLink"/>
            <w:i w:val="false"/>
            <w:iCs w:val="false"/>
          </w:rPr>
          <w:t>https://verbs.colorado.edu/~mpalmer/projects/verbnet.html</w:t>
        </w:r>
      </w:hyperlink>
      <w:r>
        <w:rPr>
          <w:i w:val="false"/>
          <w:iCs w:val="false"/>
        </w:rPr>
        <w:t xml:space="preserve"> </w:t>
      </w:r>
    </w:p>
    <w:p>
      <w:pPr>
        <w:pStyle w:val="TextBody"/>
        <w:numPr>
          <w:ilvl w:val="0"/>
          <w:numId w:val="5"/>
        </w:numPr>
        <w:spacing w:lineRule="auto" w:line="360" w:before="0" w:after="140"/>
        <w:jc w:val="left"/>
        <w:rPr>
          <w:i/>
          <w:i/>
          <w:iCs/>
        </w:rPr>
      </w:pPr>
      <w:r>
        <w:rPr>
          <w:i w:val="false"/>
          <w:iCs w:val="false"/>
        </w:rPr>
        <w:t>20190313 dienos ataskaita</w:t>
      </w:r>
    </w:p>
    <w:p>
      <w:pPr>
        <w:pStyle w:val="TextBody"/>
        <w:numPr>
          <w:ilvl w:val="0"/>
          <w:numId w:val="5"/>
        </w:numPr>
        <w:spacing w:lineRule="auto" w:line="360" w:before="0" w:after="140"/>
        <w:jc w:val="left"/>
        <w:rPr/>
      </w:pPr>
      <w:r>
        <w:rPr>
          <w:i/>
          <w:iCs/>
        </w:rPr>
        <w:t>Domain Specific Languages</w:t>
      </w:r>
      <w:r>
        <w:rPr>
          <w:i w:val="false"/>
          <w:iCs w:val="false"/>
        </w:rPr>
        <w:t xml:space="preserve">, Martin Fowler </w:t>
      </w:r>
      <w:hyperlink r:id="rId8">
        <w:r>
          <w:rPr>
            <w:rStyle w:val="InternetLink"/>
            <w:i w:val="false"/>
            <w:iCs w:val="false"/>
          </w:rPr>
          <w:t>https://www.martinfowler.com/books/dsl.html</w:t>
        </w:r>
      </w:hyperlink>
      <w:r>
        <w:rPr>
          <w:i w:val="false"/>
          <w:iCs w:val="false"/>
        </w:rPr>
        <w:t xml:space="preserve"> </w:t>
      </w:r>
    </w:p>
    <w:p>
      <w:pPr>
        <w:pStyle w:val="TextBody"/>
        <w:numPr>
          <w:ilvl w:val="0"/>
          <w:numId w:val="5"/>
        </w:numPr>
        <w:spacing w:lineRule="auto" w:line="360" w:before="0" w:after="140"/>
        <w:jc w:val="left"/>
        <w:rPr/>
      </w:pPr>
      <w:r>
        <w:rPr>
          <w:i/>
          <w:iCs/>
        </w:rPr>
        <w:t xml:space="preserve">S-expression </w:t>
      </w:r>
      <w:r>
        <w:rPr>
          <w:i w:val="false"/>
          <w:iCs w:val="false"/>
        </w:rPr>
        <w:t xml:space="preserve">(Skaityta 2019-09-05) </w:t>
      </w:r>
      <w:hyperlink r:id="rId9">
        <w:r>
          <w:rPr>
            <w:rStyle w:val="InternetLink"/>
            <w:i w:val="false"/>
            <w:iCs w:val="false"/>
          </w:rPr>
          <w:t>https://en.wikipedia.org/wiki/S-expression</w:t>
        </w:r>
      </w:hyperlink>
      <w:r>
        <w:rPr>
          <w:i w:val="false"/>
          <w:iCs w:val="false"/>
        </w:rPr>
        <w:t xml:space="preserve"> </w:t>
      </w:r>
    </w:p>
    <w:p>
      <w:pPr>
        <w:pStyle w:val="TextBody"/>
        <w:numPr>
          <w:ilvl w:val="0"/>
          <w:numId w:val="5"/>
        </w:numPr>
        <w:spacing w:lineRule="auto" w:line="360" w:before="0" w:after="140"/>
        <w:jc w:val="left"/>
        <w:rPr/>
      </w:pPr>
      <w:r>
        <w:rPr>
          <w:i/>
          <w:iCs/>
        </w:rPr>
        <w:t>WordNet</w:t>
      </w:r>
      <w:r>
        <w:rPr>
          <w:i w:val="false"/>
          <w:iCs w:val="false"/>
        </w:rPr>
        <w:t xml:space="preserve"> (Skaityta 2019-09-05) </w:t>
      </w:r>
      <w:hyperlink r:id="rId10">
        <w:r>
          <w:rPr>
            <w:rStyle w:val="InternetLink"/>
            <w:i w:val="false"/>
            <w:iCs w:val="false"/>
          </w:rPr>
          <w:t>https://wordnet.princeton.edu/</w:t>
        </w:r>
      </w:hyperlink>
      <w:r>
        <w:rPr>
          <w:i w:val="false"/>
          <w:iCs w:val="false"/>
        </w:rPr>
        <w:t xml:space="preserve"> </w:t>
      </w:r>
    </w:p>
    <w:p>
      <w:pPr>
        <w:pStyle w:val="TextBody"/>
        <w:numPr>
          <w:ilvl w:val="0"/>
          <w:numId w:val="5"/>
        </w:numPr>
        <w:spacing w:lineRule="auto" w:line="360" w:before="0" w:after="140"/>
        <w:jc w:val="left"/>
        <w:rPr/>
      </w:pPr>
      <w:r>
        <w:rPr>
          <w:i/>
          <w:iCs/>
        </w:rPr>
        <w:t>Distributed Representations of Words and Phrases and their Compositionality,</w:t>
      </w:r>
      <w:r>
        <w:rPr>
          <w:i w:val="false"/>
          <w:iCs w:val="false"/>
        </w:rPr>
        <w:t xml:space="preserve"> Mikolov T. et al, (2013) </w:t>
      </w:r>
      <w:hyperlink r:id="rId11">
        <w:r>
          <w:rPr>
            <w:rStyle w:val="InternetLink"/>
            <w:i w:val="false"/>
            <w:iCs w:val="false"/>
          </w:rPr>
          <w:t>https://arxiv.org/abs/1310.4546</w:t>
        </w:r>
      </w:hyperlink>
      <w:r>
        <w:rPr>
          <w:i w:val="false"/>
          <w:iCs w:val="false"/>
        </w:rPr>
        <w:t xml:space="preserve"> </w:t>
      </w:r>
    </w:p>
    <w:p>
      <w:pPr>
        <w:pStyle w:val="TextBody"/>
        <w:numPr>
          <w:ilvl w:val="0"/>
          <w:numId w:val="5"/>
        </w:numPr>
        <w:spacing w:lineRule="auto" w:line="360" w:before="0" w:after="140"/>
        <w:jc w:val="left"/>
        <w:rPr/>
      </w:pPr>
      <w:r>
        <w:rPr>
          <w:i/>
          <w:iCs/>
        </w:rPr>
        <w:t>VerbNet</w:t>
      </w:r>
      <w:r>
        <w:rPr>
          <w:i w:val="false"/>
          <w:iCs w:val="false"/>
        </w:rPr>
        <w:t xml:space="preserve"> (Skaityta 2019-09-05) </w:t>
      </w:r>
      <w:hyperlink r:id="rId12">
        <w:r>
          <w:rPr>
            <w:rStyle w:val="InternetLink"/>
            <w:i w:val="false"/>
            <w:iCs w:val="false"/>
          </w:rPr>
          <w:t>http://verbs.colorado.edu/~mpalmer/projects/verbnet.html</w:t>
        </w:r>
      </w:hyperlink>
      <w:r>
        <w:rPr>
          <w:i w:val="false"/>
          <w:iCs w:val="false"/>
        </w:rPr>
        <w:t xml:space="preserve"> </w:t>
      </w:r>
    </w:p>
    <w:p>
      <w:pPr>
        <w:pStyle w:val="TextBody"/>
        <w:numPr>
          <w:ilvl w:val="0"/>
          <w:numId w:val="5"/>
        </w:numPr>
        <w:spacing w:lineRule="auto" w:line="360" w:before="0" w:after="140"/>
        <w:jc w:val="left"/>
        <w:rPr/>
      </w:pPr>
      <w:r>
        <w:rPr>
          <w:i w:val="false"/>
          <w:iCs w:val="false"/>
        </w:rPr>
        <w:t xml:space="preserve"> </w:t>
      </w:r>
      <w:r>
        <w:rPr>
          <w:i w:val="false"/>
          <w:iCs w:val="false"/>
        </w:rPr>
        <w:t>2018-12-19 ataskaita</w:t>
      </w:r>
    </w:p>
    <w:sectPr>
      <w:headerReference w:type="default" r:id="rId13"/>
      <w:footerReference w:type="default" r:id="rId14"/>
      <w:footnotePr>
        <w:numFmt w:val="decimal"/>
      </w:footnotePr>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 w:name="Fira 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Nebūtinai daiktavardžiai, bet aprašymo paprastinimui naudojam tik juos.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style>
  <w:style w:type="character" w:styleId="ListLabel2">
    <w:name w:val="ListLabel 2"/>
    <w:qFormat/>
    <w:rPr>
      <w:i w:val="false"/>
      <w:iCs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style>
  <w:style w:type="character" w:styleId="ListLabel13">
    <w:name w:val="ListLabel 13"/>
    <w:qFormat/>
    <w:rPr>
      <w:i w:val="false"/>
      <w:iCs w:val="false"/>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tyle>
  <w:style w:type="character" w:styleId="ListLabel24">
    <w:name w:val="ListLabel 24"/>
    <w:qFormat/>
    <w:rPr>
      <w:i w:val="false"/>
      <w:iCs w:val="fals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andFooter">
    <w:name w:val="Header and Footer"/>
    <w:basedOn w:val="Normal"/>
    <w:qFormat/>
    <w:pPr/>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paragraph" w:styleId="Footnote">
    <w:name w:val="Footnote Text"/>
    <w:basedOn w:val="Normal"/>
    <w:pPr>
      <w:suppressLineNumbers/>
      <w:ind w:left="339" w:hanging="339"/>
    </w:pPr>
    <w:rPr>
      <w:sz w:val="20"/>
      <w:szCs w:val="20"/>
    </w:rPr>
  </w:style>
  <w:style w:type="paragraph" w:styleId="TOAHeading1">
    <w:name w:val="TOA Heading"/>
    <w:basedOn w:val="Heading"/>
    <w:qFormat/>
    <w:pPr>
      <w:suppressLineNumbers/>
      <w:ind w:left="0" w:hanging="0"/>
    </w:pPr>
    <w:rPr>
      <w:b/>
      <w:bCs/>
      <w:sz w:val="32"/>
      <w:szCs w:val="32"/>
    </w:rPr>
  </w:style>
  <w:style w:type="paragraph" w:styleId="Contents3">
    <w:name w:val="TOC 3"/>
    <w:basedOn w:val="Index"/>
    <w:pPr>
      <w:tabs>
        <w:tab w:val="clear" w:pos="408"/>
        <w:tab w:val="right" w:pos="9071" w:leader="dot"/>
      </w:tabs>
      <w:ind w:left="566" w:hanging="0"/>
    </w:pPr>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help.shopify.com/en/api/graphql-admin-api/examples/product" TargetMode="External"/><Relationship Id="rId7" Type="http://schemas.openxmlformats.org/officeDocument/2006/relationships/hyperlink" Target="https://verbs.colorado.edu/~mpalmer/projects/verbnet.html" TargetMode="External"/><Relationship Id="rId8" Type="http://schemas.openxmlformats.org/officeDocument/2006/relationships/hyperlink" Target="https://www.martinfowler.com/books/dsl.html" TargetMode="External"/><Relationship Id="rId9" Type="http://schemas.openxmlformats.org/officeDocument/2006/relationships/hyperlink" Target="https://en.wikipedia.org/wiki/S-expression" TargetMode="External"/><Relationship Id="rId10" Type="http://schemas.openxmlformats.org/officeDocument/2006/relationships/hyperlink" Target="https://wordnet.princeton.edu/" TargetMode="External"/><Relationship Id="rId11" Type="http://schemas.openxmlformats.org/officeDocument/2006/relationships/hyperlink" Target="https://arxiv.org/abs/1310.4546" TargetMode="External"/><Relationship Id="rId12" Type="http://schemas.openxmlformats.org/officeDocument/2006/relationships/hyperlink" Target="http://verbs.colorado.edu/~mpalmer/projects/verbnet.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10168</TotalTime>
  <Application>LibreOffice/6.1.6.3$Linux_X86_64 LibreOffice_project/10$Build-3</Application>
  <Pages>15</Pages>
  <Words>2369</Words>
  <Characters>16139</Characters>
  <CharactersWithSpaces>18279</CharactersWithSpaces>
  <Paragraphs>280</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2019-09-09T09:18:28Z</cp:lastPrinted>
  <dcterms:modified xsi:type="dcterms:W3CDTF">2019-09-09T10:32:33Z</dcterms:modified>
  <cp:revision>670</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