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Registre des activités de traitement — CVMatcher</w:t>
      </w:r>
    </w:p>
    <w:p>
      <w:r>
        <w:t>Fiche à compléter par la société de recrutement (responsable de traitement) pour son instance CVMatcher. Les valeurs pré-remplies décrivent le comportement par défaut de l'application (SFG §13) ; les champs entre crochets sont propres au client.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Responsable de traitement</w:t>
            </w:r>
          </w:p>
        </w:tc>
        <w:tc>
          <w:tcPr>
            <w:tcW w:type="dxa" w:w="4320"/>
          </w:tcPr>
          <w:p>
            <w:r>
              <w:t>[Raison sociale, adresse, représentant]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Délégué à la protection des données</w:t>
            </w:r>
          </w:p>
        </w:tc>
        <w:tc>
          <w:tcPr>
            <w:tcW w:type="dxa" w:w="4320"/>
          </w:tcPr>
          <w:p>
            <w:r>
              <w:t>[Nom, contact]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Sous-traitant (hébergement, exploitation)</w:t>
            </w:r>
          </w:p>
        </w:tc>
        <w:tc>
          <w:tcPr>
            <w:tcW w:type="dxa" w:w="4320"/>
          </w:tcPr>
          <w:p>
            <w:r>
              <w:t>Acceliance — instance dédiée [FQDN], hébergement [UE : OVHcloud / Scaleway / VM du client]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Finalités</w:t>
            </w:r>
          </w:p>
        </w:tc>
        <w:tc>
          <w:tcPr>
            <w:tcW w:type="dxa" w:w="4320"/>
          </w:tcPr>
          <w:p>
            <w:r>
              <w:t>Gestion des candidatures et du vivier de candidats ; rapprochement de CV et de fiches de poste ; production de CV et de rapports d'évaluation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 légale</w:t>
            </w:r>
          </w:p>
        </w:tc>
        <w:tc>
          <w:tcPr>
            <w:tcW w:type="dxa" w:w="4320"/>
          </w:tcPr>
          <w:p>
            <w:r>
              <w:t>[Intérêt légitime (paramètre rgpd.baseLegale) ou mesures précontractuelles à la demande du candidat]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Personnes concernées</w:t>
            </w:r>
          </w:p>
        </w:tc>
        <w:tc>
          <w:tcPr>
            <w:tcW w:type="dxa" w:w="4320"/>
          </w:tcPr>
          <w:p>
            <w:r>
              <w:t>Candidats ; utilisateurs de l'application (recruteurs, managers)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Catégories de données</w:t>
            </w:r>
          </w:p>
        </w:tc>
        <w:tc>
          <w:tcPr>
            <w:tcW w:type="dxa" w:w="4320"/>
          </w:tcPr>
          <w:p>
            <w:r>
              <w:t>Identité, coordonnées, parcours professionnel, formations, compétences, langues ; aucune donnée sensible attendue (les CV sont analysés tels qu'ils sont fournis)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Destinataires</w:t>
            </w:r>
          </w:p>
        </w:tc>
        <w:tc>
          <w:tcPr>
            <w:tcW w:type="dxa" w:w="4320"/>
          </w:tcPr>
          <w:p>
            <w:r>
              <w:t>Utilisateurs habilités de la société de recrutement selon leur rôle ; clients destinataires des CV anonymisés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Sous-traitants ultérieurs (IA)</w:t>
            </w:r>
          </w:p>
        </w:tc>
        <w:tc>
          <w:tcPr>
            <w:tcW w:type="dxa" w:w="4320"/>
          </w:tcPr>
          <w:p>
            <w:r>
              <w:t>[Fournisseur IA retenu : Anthropic / OpenAI / Mistral / modèle local] ; le CV est envoyé sans identité pour le scoring (RG-30)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Transferts hors UE</w:t>
            </w:r>
          </w:p>
        </w:tc>
        <w:tc>
          <w:tcPr>
            <w:tcW w:type="dxa" w:w="4320"/>
          </w:tcPr>
          <w:p>
            <w:r>
              <w:t>[Selon le fournisseur IA et sa région de traitement ; aucun si AI_EGRESS_ALLOWED=false]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Durée de conservation</w:t>
            </w:r>
          </w:p>
        </w:tc>
        <w:tc>
          <w:tcPr>
            <w:tcW w:type="dxa" w:w="4320"/>
          </w:tcPr>
          <w:p>
            <w:r>
              <w:t>24 mois après le dernier contact (paramètre retention.candidatMois) ; alerte 30 jours avant l'échéance puis effacement automatique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Droits des personnes</w:t>
            </w:r>
          </w:p>
        </w:tc>
        <w:tc>
          <w:tcPr>
            <w:tcW w:type="dxa" w:w="4320"/>
          </w:tcPr>
          <w:p>
            <w:r>
              <w:t>Accès et portabilité : export ZIP (EF-112) ; effacement en cascade (EF-113) ; rectification dans l'écran de revue du CV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Mesures de sécurité</w:t>
            </w:r>
          </w:p>
        </w:tc>
        <w:tc>
          <w:tcPr>
            <w:tcW w:type="dxa" w:w="4320"/>
          </w:tcPr>
          <w:p>
            <w:r>
              <w:t>Chiffrement TLS ; clés IA chiffrées au repos ; contrôle d'accès par rôle ; journal d'audit sans nom après effacement ; sauvegardes chiffrées hors site ; instance dédiée par client</w:t>
            </w:r>
          </w:p>
        </w:tc>
      </w:tr>
    </w:tbl>
    <w:p/>
    <w:p>
      <w:r>
        <w:t>Date de mise à jour : [AAAA-MM-JJ] — Version : [1]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Registre de traitement RGPD CVMatcher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