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5496"/>
          <w:sz w:val="40"/>
          <w:szCs w:val="40"/>
        </w:rPr>
        <w:t xml:space="preserve">Benchmarking Predictive Methods on TrialBench</w:t>
      </w:r>
    </w:p>
    <w:p>
      <w:pPr>
        <w:spacing w:after="200"/>
      </w:pPr>
      <w:r>
        <w:rPr>
          <w:b/>
          <w:bCs/>
          <w:color w:val="1F3864"/>
          <w:sz w:val="30"/>
          <w:szCs w:val="30"/>
        </w:rPr>
        <w:t xml:space="preserve">Classification Tasks — Project Report</w:t>
      </w:r>
    </w:p>
    <w:p>
      <w:pPr>
        <w:pBdr>
          <w:bottom w:val="single" w:color="2F5496" w:sz="8"/>
        </w:pBdr>
        <w:spacing w:after="40"/>
      </w:pPr>
      <w:r>
        <w:rPr>
          <w:sz w:val="2"/>
          <w:szCs w:val="2"/>
        </w:rPr>
        <w:t xml:space="preserve"/>
      </w:r>
    </w:p>
    <w:p>
      <w:pPr>
        <w:spacing w:after="40" w:before="160"/>
      </w:pPr>
      <w:r>
        <w:rPr>
          <w:b/>
          <w:bCs/>
          <w:color w:val="5A5A5A"/>
          <w:sz w:val="21"/>
          <w:szCs w:val="21"/>
        </w:rPr>
        <w:t xml:space="preserve">Scope: </w:t>
      </w:r>
      <w:r>
        <w:rPr>
          <w:color w:val="5A5A5A"/>
          <w:sz w:val="21"/>
          <w:szCs w:val="21"/>
        </w:rPr>
        <w:t xml:space="preserve">5 classification tasks × 4 trial phases × 16 methods, CPU-only harness</w:t>
      </w:r>
    </w:p>
    <w:p>
      <w:pPr>
        <w:spacing w:after="40"/>
      </w:pPr>
      <w:r>
        <w:rPr>
          <w:b/>
          <w:bCs/>
          <w:color w:val="5A5A5A"/>
          <w:sz w:val="21"/>
          <w:szCs w:val="21"/>
        </w:rPr>
        <w:t xml:space="preserve">Status: </w:t>
      </w:r>
      <w:r>
        <w:rPr>
          <w:color w:val="5A5A5A"/>
          <w:sz w:val="21"/>
          <w:szCs w:val="21"/>
        </w:rPr>
        <w:t xml:space="preserve">Tier A complete (20/20 cells); deep methods partial; leaderboard aggregation needs a fix</w:t>
      </w:r>
    </w:p>
    <w:p>
      <w:pPr>
        <w:spacing w:after="60"/>
      </w:pPr>
      <w:r>
        <w:rPr>
          <w:b/>
          <w:bCs/>
          <w:color w:val="5A5A5A"/>
          <w:sz w:val="21"/>
          <w:szCs w:val="21"/>
        </w:rPr>
        <w:t xml:space="preserve">Date: </w:t>
      </w:r>
      <w:r>
        <w:rPr>
          <w:color w:val="5A5A5A"/>
          <w:sz w:val="21"/>
          <w:szCs w:val="21"/>
        </w:rPr>
        <w:t xml:space="preserve">24 July 2026</w:t>
      </w:r>
    </w:p>
    <w:p>
      <w:r>
        <w:br w:type="page"/>
      </w:r>
    </w:p>
    <w:p>
      <w:pPr>
        <w:spacing w:after="200"/>
      </w:pPr>
      <w:r>
        <w:rPr>
          <w:b/>
          <w:bCs/>
          <w:color w:val="2F5496"/>
          <w:sz w:val="28"/>
          <w:szCs w:val="28"/>
        </w:rPr>
        <w:t xml:space="preserve">Contents</w:t>
      </w:r>
    </w:p>
    <w:p>
      <w:pPr>
        <w:tabs>
          <w:tab w:val="right" w:pos="9360" w:leader="dot"/>
        </w:tabs>
        <w:spacing w:after="140" w:line="276"/>
      </w:pPr>
      <w:r>
        <w:rPr>
          <w:color w:val="202020"/>
          <w:sz w:val="22"/>
          <w:szCs w:val="22"/>
        </w:rPr>
        <w:t xml:space="preserve">Executive Summary</w:t>
      </w:r>
      <w:r>
        <w:tab/>
      </w:r>
      <w:r>
        <w:rPr>
          <w:color w:val="5A5A5A"/>
          <w:sz w:val="22"/>
          <w:szCs w:val="22"/>
        </w:rPr>
        <w:t xml:space="preserve">3</w:t>
      </w:r>
    </w:p>
    <w:p>
      <w:pPr>
        <w:tabs>
          <w:tab w:val="right" w:pos="9360" w:leader="dot"/>
        </w:tabs>
        <w:spacing w:after="140" w:line="276"/>
      </w:pPr>
      <w:r>
        <w:rPr>
          <w:color w:val="202020"/>
          <w:sz w:val="22"/>
          <w:szCs w:val="22"/>
        </w:rPr>
        <w:t xml:space="preserve">1.  What Was Done</w:t>
      </w:r>
      <w:r>
        <w:tab/>
      </w:r>
      <w:r>
        <w:rPr>
          <w:color w:val="5A5A5A"/>
          <w:sz w:val="22"/>
          <w:szCs w:val="22"/>
        </w:rPr>
        <w:t xml:space="preserve">4</w:t>
      </w:r>
    </w:p>
    <w:p>
      <w:pPr>
        <w:tabs>
          <w:tab w:val="right" w:pos="9360" w:leader="dot"/>
        </w:tabs>
        <w:spacing w:after="140" w:line="276"/>
      </w:pPr>
      <w:r>
        <w:rPr>
          <w:color w:val="202020"/>
          <w:sz w:val="22"/>
          <w:szCs w:val="22"/>
        </w:rPr>
        <w:t xml:space="preserve">2.  Overview of Methods and How to Bin Them</w:t>
      </w:r>
      <w:r>
        <w:tab/>
      </w:r>
      <w:r>
        <w:rPr>
          <w:color w:val="5A5A5A"/>
          <w:sz w:val="22"/>
          <w:szCs w:val="22"/>
        </w:rPr>
        <w:t xml:space="preserve">5</w:t>
      </w:r>
    </w:p>
    <w:p>
      <w:pPr>
        <w:tabs>
          <w:tab w:val="right" w:pos="9360" w:leader="dot"/>
        </w:tabs>
        <w:spacing w:after="140" w:line="276"/>
      </w:pPr>
      <w:r>
        <w:rPr>
          <w:color w:val="202020"/>
          <w:sz w:val="22"/>
          <w:szCs w:val="22"/>
        </w:rPr>
        <w:t xml:space="preserve">3.  Review of Performance</w:t>
      </w:r>
      <w:r>
        <w:tab/>
      </w:r>
      <w:r>
        <w:rPr>
          <w:color w:val="5A5A5A"/>
          <w:sz w:val="22"/>
          <w:szCs w:val="22"/>
        </w:rPr>
        <w:t xml:space="preserve">5</w:t>
      </w:r>
    </w:p>
    <w:p>
      <w:pPr>
        <w:tabs>
          <w:tab w:val="right" w:pos="9360" w:leader="dot"/>
        </w:tabs>
        <w:spacing w:after="140" w:line="276"/>
      </w:pPr>
      <w:r>
        <w:rPr>
          <w:color w:val="202020"/>
          <w:sz w:val="22"/>
          <w:szCs w:val="22"/>
        </w:rPr>
        <w:t xml:space="preserve">4.  What Information Are the Models Finding?</w:t>
      </w:r>
      <w:r>
        <w:tab/>
      </w:r>
      <w:r>
        <w:rPr>
          <w:color w:val="5A5A5A"/>
          <w:sz w:val="22"/>
          <w:szCs w:val="22"/>
        </w:rPr>
        <w:t xml:space="preserve">7</w:t>
      </w:r>
    </w:p>
    <w:p>
      <w:pPr>
        <w:tabs>
          <w:tab w:val="right" w:pos="9360" w:leader="dot"/>
        </w:tabs>
        <w:spacing w:after="140" w:line="276"/>
      </w:pPr>
      <w:r>
        <w:rPr>
          <w:color w:val="202020"/>
          <w:sz w:val="22"/>
          <w:szCs w:val="22"/>
        </w:rPr>
        <w:t xml:space="preserve">5.  Deep Dive: The Healthy-Volunteer Story</w:t>
      </w:r>
      <w:r>
        <w:tab/>
      </w:r>
      <w:r>
        <w:rPr>
          <w:color w:val="5A5A5A"/>
          <w:sz w:val="22"/>
          <w:szCs w:val="22"/>
        </w:rPr>
        <w:t xml:space="preserve">8</w:t>
      </w:r>
    </w:p>
    <w:p>
      <w:pPr>
        <w:tabs>
          <w:tab w:val="right" w:pos="9360" w:leader="dot"/>
        </w:tabs>
        <w:spacing w:after="140" w:line="276"/>
      </w:pPr>
      <w:r>
        <w:rPr>
          <w:color w:val="202020"/>
          <w:sz w:val="22"/>
          <w:szCs w:val="22"/>
        </w:rPr>
        <w:t xml:space="preserve">6.  Deep Dive: Deep Tabular vs. Text Models</w:t>
      </w:r>
      <w:r>
        <w:tab/>
      </w:r>
      <w:r>
        <w:rPr>
          <w:color w:val="5A5A5A"/>
          <w:sz w:val="22"/>
          <w:szCs w:val="22"/>
        </w:rPr>
        <w:t xml:space="preserve">10</w:t>
      </w:r>
    </w:p>
    <w:p>
      <w:pPr>
        <w:tabs>
          <w:tab w:val="right" w:pos="9360" w:leader="dot"/>
        </w:tabs>
        <w:spacing w:after="140" w:line="276"/>
      </w:pPr>
      <w:r>
        <w:rPr>
          <w:color w:val="202020"/>
          <w:sz w:val="22"/>
          <w:szCs w:val="22"/>
        </w:rPr>
        <w:t xml:space="preserve">7.  Deep Dive: Assessment of Text Models (Why BERT Underperformed)</w:t>
      </w:r>
      <w:r>
        <w:tab/>
      </w:r>
      <w:r>
        <w:rPr>
          <w:color w:val="5A5A5A"/>
          <w:sz w:val="22"/>
          <w:szCs w:val="22"/>
        </w:rPr>
        <w:t xml:space="preserve">11</w:t>
      </w:r>
    </w:p>
    <w:p>
      <w:pPr>
        <w:tabs>
          <w:tab w:val="right" w:pos="9360" w:leader="dot"/>
        </w:tabs>
        <w:spacing w:after="140" w:line="276"/>
      </w:pPr>
      <w:r>
        <w:rPr>
          <w:color w:val="202020"/>
          <w:sz w:val="22"/>
          <w:szCs w:val="22"/>
        </w:rPr>
        <w:t xml:space="preserve">8.  Deep Dive: Does the Molecule (SMILES) Column Carry Chemical Signal?</w:t>
      </w:r>
      <w:r>
        <w:tab/>
      </w:r>
      <w:r>
        <w:rPr>
          <w:color w:val="5A5A5A"/>
          <w:sz w:val="22"/>
          <w:szCs w:val="22"/>
        </w:rPr>
        <w:t xml:space="preserve">12</w:t>
      </w:r>
    </w:p>
    <w:p>
      <w:pPr>
        <w:tabs>
          <w:tab w:val="right" w:pos="9360" w:leader="dot"/>
        </w:tabs>
        <w:spacing w:after="140" w:line="276"/>
      </w:pPr>
      <w:r>
        <w:rPr>
          <w:color w:val="202020"/>
          <w:sz w:val="22"/>
          <w:szCs w:val="22"/>
        </w:rPr>
        <w:t xml:space="preserve">9.  What's Next</w:t>
      </w:r>
      <w:r>
        <w:tab/>
      </w:r>
      <w:r>
        <w:rPr>
          <w:color w:val="5A5A5A"/>
          <w:sz w:val="22"/>
          <w:szCs w:val="22"/>
        </w:rPr>
        <w:t xml:space="preserve">14</w:t>
      </w:r>
    </w:p>
    <w:p>
      <w:r>
        <w:br w:type="page"/>
      </w:r>
    </w:p>
    <w:p>
      <w:pPr>
        <w:pStyle w:val="Heading1"/>
        <w:spacing w:after="140" w:before="320"/>
      </w:pPr>
      <w:r>
        <w:rPr>
          <w:b/>
          <w:bCs/>
          <w:color w:val="2F5496"/>
          <w:sz w:val="30"/>
          <w:szCs w:val="30"/>
        </w:rPr>
        <w:t xml:space="preserve">Executive Summary</w:t>
      </w:r>
    </w:p>
    <w:p>
      <w:pPr>
        <w:spacing w:after="140" w:line="276"/>
      </w:pPr>
      <w:r>
        <w:rPr>
          <w:color w:val="202020"/>
          <w:sz w:val="22"/>
          <w:szCs w:val="22"/>
        </w:rPr>
        <w:t xml:space="preserve">This project built a reproducible, CPU-only benchmarking harness for the five classification tasks of TrialBench — trial approval/outcome, all-cause mortality, serious adverse event, and patient dropout (all binary), plus multiclass trial-failure-reason identification — each evaluated across trial phases I–IV. Sixteen predictive methods were implemented, spanning classical and linear models, gradient-boosted trees, a text (TF-IDF) baseline, deep-tabular networks (TabNet, a hand-rolled FT-Transformer, and TabPFN), and a frozen clinical-BERT embedding model. Every method is scored on the same leakage-safe features, the same class-imbalance handling, and the same PR-AUC-headline bootstrap protocol used by the TrialBench paper.</w:t>
      </w:r>
    </w:p>
    <w:p>
      <w:pPr>
        <w:spacing w:after="140" w:line="276"/>
      </w:pPr>
      <w:r>
        <w:rPr>
          <w:color w:val="202020"/>
          <w:sz w:val="22"/>
          <w:szCs w:val="22"/>
        </w:rPr>
        <w:t xml:space="preserve">The harness itself is solid: encoders are fit on training data only, class imbalance is handled consistently, and the orchestration is production-grade (resumable, atomic writes, graceful skips, reboot survival). The principal caveat is completeness. The classical/GBM/text tier — 12 methods — ran on all 20 task×phase cells. The three deep methods ran on only part of the grid before the run was cut short, most plausibly by the cost of the clinical-BERT model (≈51 minutes per cell, peaking at 2h10m on CPU). TabPFN never produced a usable result because no license token was configured; it was cleanly recorded as “skipped.”</w:t>
      </w:r>
    </w:p>
    <w:p>
      <w:pPr>
        <w:spacing w:after="140" w:line="276"/>
      </w:pPr>
      <w:r>
        <w:rPr>
          <w:color w:val="202020"/>
          <w:sz w:val="22"/>
          <w:szCs w:val="22"/>
        </w:rPr>
        <w:t xml:space="preserve">That partial coverage matters because the auto-generated leaderboard averages each method only over the cells it happened to finish, which flatters the incomplete methods. It ranks FT-Transformer #1 overall — but only because its 10 completed cells exclude the two hardest tasks entirely. When every method is scored on the </w:t>
      </w:r>
      <w:r>
        <w:rPr>
          <w:i/>
          <w:iCs/>
          <w:color w:val="202020"/>
          <w:sz w:val="22"/>
          <w:szCs w:val="22"/>
        </w:rPr>
        <w:t xml:space="preserve">same</w:t>
      </w:r>
      <w:r>
        <w:rPr>
          <w:color w:val="202020"/>
          <w:sz w:val="22"/>
          <w:szCs w:val="22"/>
        </w:rPr>
        <w:t xml:space="preserve"> cells, the order flips: </w:t>
      </w:r>
      <w:r>
        <w:rPr>
          <w:b/>
          <w:bCs/>
          <w:color w:val="202020"/>
          <w:sz w:val="22"/>
          <w:szCs w:val="22"/>
        </w:rPr>
        <w:t xml:space="preserve">TF-IDF + Logistic Regression is the strongest method (0.760 vs 0.730 PR-AUC), and it is the only strong method with complete coverage across all 20 cells.</w:t>
      </w:r>
      <w:r>
        <w:rPr>
          <w:color w:val="202020"/>
          <w:sz w:val="22"/>
          <w:szCs w:val="22"/>
        </w:rPr>
        <w:t xml:space="preserve"> That is the defensible headline today.</w:t>
      </w:r>
    </w:p>
    <w:p>
      <w:pPr>
        <w:spacing w:after="140" w:line="276"/>
      </w:pPr>
      <w:r>
        <w:rPr>
          <w:color w:val="202020"/>
          <w:sz w:val="22"/>
          <w:szCs w:val="22"/>
        </w:rPr>
        <w:t xml:space="preserve">Four deeper investigations sharpen the picture. First, FT-Transformer's apparent strength is not an architectural edge — on the mortality task a single, easily-encoded eligibility flag (“accepts healthy volunteers”) accounts for over a third of its entire score, and every strong method, including plain TF-IDF, recovers the same signal. Second, the text and tabular views are complementary rather than redundant: where a structured field captures the key distinction, text re-derives it more precisely; where the key distinction is the disease itself (leukemia, transplant, COVID-19 on mechanical ventilation), text carries information the tabular featurizer structurally cannot represent. Third, the expensive frozen clinical-BERT model earns its cost nowhere — it loses to plain TF-IDF in all nine comparable cells, at roughly 1,000× the compute. Fourth, the molecule (SMILES) column does carry real, chemically generalizing signal — but only on the two toxicity endpoints (mortality and serious adverse events), essentially none on operational dropout, and it is redundant with what the tabular view already encodes, so on current evidence it will not move the leaderboard.</w:t>
      </w:r>
    </w:p>
    <w:p>
      <w:pPr>
        <w:spacing w:after="140" w:line="276"/>
      </w:pPr>
      <w:r>
        <w:rPr>
          <w:color w:val="202020"/>
          <w:sz w:val="22"/>
          <w:szCs w:val="22"/>
        </w:rPr>
        <w:t xml:space="preserve">The recommended next steps, in priority order, are to confirm and finish the deep-method grid, fix the leaderboard aggregation to compare only on shared cells, add validation-based thresholding, resolve the clinical-embeddings cost question, apply the validated TabNet fix, and persist per-cell predictions so this analysis no longer requires refitting the models.</w:t>
      </w:r>
    </w:p>
    <w:p>
      <w:r>
        <w:br w:type="page"/>
      </w:r>
    </w:p>
    <w:p>
      <w:pPr>
        <w:pStyle w:val="Heading1"/>
        <w:spacing w:after="140" w:before="320"/>
      </w:pPr>
      <w:r>
        <w:rPr>
          <w:b/>
          <w:bCs/>
          <w:color w:val="2F5496"/>
          <w:sz w:val="30"/>
          <w:szCs w:val="30"/>
        </w:rPr>
        <w:t xml:space="preserve">1. What Was Done</w:t>
      </w:r>
    </w:p>
    <w:p>
      <w:pPr>
        <w:spacing w:after="140" w:line="276"/>
      </w:pPr>
      <w:r>
        <w:rPr>
          <w:color w:val="202020"/>
          <w:sz w:val="22"/>
          <w:szCs w:val="22"/>
        </w:rPr>
        <w:t xml:space="preserve">TrialBench (ML2Health/ML2ClinicalTrials) ships a single deep baseline: a HINT-style multimodal fusion network combining molecule, disease, protocol/eligibility text, tabular, free-text, and MeSH encoders. This project builds a harness that runs a much broader menu of predictive methods on the same data, the same train/validation/test splits, and the same metric definitions, then ranks them against one another and against that baseline.</w:t>
      </w:r>
    </w:p>
    <w:p>
      <w:pPr>
        <w:spacing w:after="140" w:line="276"/>
      </w:pPr>
      <w:r>
        <w:rPr>
          <w:color w:val="202020"/>
          <w:sz w:val="22"/>
          <w:szCs w:val="22"/>
        </w:rPr>
        <w:t xml:space="preserve">Five classification tasks are in scope, each across trial phases I–IV — four binary tasks plus one multiclass task, for up to 20 task×phase settings:</w:t>
      </w:r>
    </w:p>
    <w:tbl>
      <w:tblPr>
        <w:tblW w:type="dxa" w:w="9360"/>
        <w:tblBorders>
          <w:top w:val="single" w:color="BFC7D6" w:sz="4"/>
          <w:left w:val="single" w:color="BFC7D6" w:sz="4"/>
          <w:bottom w:val="single" w:color="BFC7D6" w:sz="4"/>
          <w:right w:val="single" w:color="BFC7D6" w:sz="4"/>
          <w:insideH w:val="single" w:color="BFC7D6" w:sz="2"/>
          <w:insideV w:val="single" w:color="BFC7D6" w:sz="2"/>
        </w:tblBorders>
      </w:tblPr>
      <w:tblGrid>
        <w:gridCol w:w="3200"/>
        <w:gridCol w:w="4360"/>
        <w:gridCol w:w="1800"/>
      </w:tblGrid>
      <w:tr>
        <w:trPr>
          <w:tblHeader/>
        </w:trPr>
        <w:tc>
          <w:tcPr>
            <w:tcW w:type="dxa" w:w="3200"/>
            <w:shd w:fill="2F5496" w:color="auto" w:val="clear"/>
            <w:tcMar>
              <w:top w:type="dxa" w:w="40"/>
              <w:left w:type="dxa" w:w="90"/>
              <w:bottom w:type="dxa" w:w="40"/>
              <w:right w:type="dxa" w:w="90"/>
            </w:tcMar>
          </w:tcPr>
          <w:p>
            <w:pPr>
              <w:spacing w:after="0" w:line="252"/>
              <w:jc w:val="left"/>
            </w:pPr>
            <w:r>
              <w:rPr>
                <w:b/>
                <w:bCs/>
                <w:color w:val="FFFFFF"/>
                <w:sz w:val="19"/>
                <w:szCs w:val="19"/>
              </w:rPr>
              <w:t xml:space="preserve">Task (repo name)</w:t>
            </w:r>
          </w:p>
        </w:tc>
        <w:tc>
          <w:tcPr>
            <w:tcW w:type="dxa" w:w="4360"/>
            <w:shd w:fill="2F5496" w:color="auto" w:val="clear"/>
            <w:tcMar>
              <w:top w:type="dxa" w:w="40"/>
              <w:left w:type="dxa" w:w="90"/>
              <w:bottom w:type="dxa" w:w="40"/>
              <w:right w:type="dxa" w:w="90"/>
            </w:tcMar>
          </w:tcPr>
          <w:p>
            <w:pPr>
              <w:spacing w:after="0" w:line="252"/>
              <w:jc w:val="center"/>
            </w:pPr>
            <w:r>
              <w:rPr>
                <w:b/>
                <w:bCs/>
                <w:color w:val="FFFFFF"/>
                <w:sz w:val="19"/>
                <w:szCs w:val="19"/>
              </w:rPr>
              <w:t xml:space="preserve">Description</w:t>
            </w:r>
          </w:p>
        </w:tc>
        <w:tc>
          <w:tcPr>
            <w:tcW w:type="dxa" w:w="1800"/>
            <w:shd w:fill="2F5496" w:color="auto" w:val="clear"/>
            <w:tcMar>
              <w:top w:type="dxa" w:w="40"/>
              <w:left w:type="dxa" w:w="90"/>
              <w:bottom w:type="dxa" w:w="40"/>
              <w:right w:type="dxa" w:w="90"/>
            </w:tcMar>
          </w:tcPr>
          <w:p>
            <w:pPr>
              <w:spacing w:after="0" w:line="252"/>
              <w:jc w:val="center"/>
            </w:pPr>
            <w:r>
              <w:rPr>
                <w:b/>
                <w:bCs/>
                <w:color w:val="FFFFFF"/>
                <w:sz w:val="19"/>
                <w:szCs w:val="19"/>
              </w:rPr>
              <w:t xml:space="preserve">Type</w:t>
            </w:r>
          </w:p>
        </w:tc>
      </w:tr>
      <w:tr>
        <w:tc>
          <w:tcPr>
            <w:tcW w:type="dxa" w:w="3200"/>
            <w:tcMar>
              <w:top w:type="dxa" w:w="40"/>
              <w:left w:type="dxa" w:w="90"/>
              <w:bottom w:type="dxa" w:w="40"/>
              <w:right w:type="dxa" w:w="90"/>
            </w:tcMar>
          </w:tcPr>
          <w:p>
            <w:pPr>
              <w:spacing w:after="0" w:line="252"/>
              <w:jc w:val="left"/>
            </w:pPr>
            <w:r>
              <w:rPr>
                <w:b w:val="false"/>
                <w:bCs w:val="false"/>
                <w:color w:val="202020"/>
                <w:sz w:val="19"/>
                <w:szCs w:val="19"/>
              </w:rPr>
              <w:t xml:space="preserve">outcome</w:t>
            </w:r>
          </w:p>
        </w:tc>
        <w:tc>
          <w:tcPr>
            <w:tcW w:type="dxa" w:w="4360"/>
            <w:tcMar>
              <w:top w:type="dxa" w:w="40"/>
              <w:left w:type="dxa" w:w="90"/>
              <w:bottom w:type="dxa" w:w="40"/>
              <w:right w:type="dxa" w:w="90"/>
            </w:tcMar>
          </w:tcPr>
          <w:p>
            <w:pPr>
              <w:spacing w:after="0" w:line="252"/>
              <w:jc w:val="center"/>
            </w:pPr>
            <w:r>
              <w:rPr>
                <w:b w:val="false"/>
                <w:bCs w:val="false"/>
                <w:color w:val="202020"/>
                <w:sz w:val="19"/>
                <w:szCs w:val="19"/>
              </w:rPr>
              <w:t xml:space="preserve">Trial approval / outcome prediction</w:t>
            </w:r>
          </w:p>
        </w:tc>
        <w:tc>
          <w:tcPr>
            <w:tcW w:type="dxa" w:w="1800"/>
            <w:tcMar>
              <w:top w:type="dxa" w:w="40"/>
              <w:left w:type="dxa" w:w="90"/>
              <w:bottom w:type="dxa" w:w="40"/>
              <w:right w:type="dxa" w:w="90"/>
            </w:tcMar>
          </w:tcPr>
          <w:p>
            <w:pPr>
              <w:spacing w:after="0" w:line="252"/>
              <w:jc w:val="center"/>
            </w:pPr>
            <w:r>
              <w:rPr>
                <w:b w:val="false"/>
                <w:bCs w:val="false"/>
                <w:color w:val="202020"/>
                <w:sz w:val="19"/>
                <w:szCs w:val="19"/>
              </w:rPr>
              <w:t xml:space="preserve">Binary</w:t>
            </w:r>
          </w:p>
        </w:tc>
      </w:tr>
      <w:tr>
        <w:tc>
          <w:tcPr>
            <w:tcW w:type="dxa" w:w="320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mortality_rate_yn</w:t>
            </w:r>
          </w:p>
        </w:tc>
        <w:tc>
          <w:tcPr>
            <w:tcW w:type="dxa" w:w="436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All-cause mortality event</w:t>
            </w:r>
          </w:p>
        </w:tc>
        <w:tc>
          <w:tcPr>
            <w:tcW w:type="dxa" w:w="18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Binary</w:t>
            </w:r>
          </w:p>
        </w:tc>
      </w:tr>
      <w:tr>
        <w:tc>
          <w:tcPr>
            <w:tcW w:type="dxa" w:w="3200"/>
            <w:tcMar>
              <w:top w:type="dxa" w:w="40"/>
              <w:left w:type="dxa" w:w="90"/>
              <w:bottom w:type="dxa" w:w="40"/>
              <w:right w:type="dxa" w:w="90"/>
            </w:tcMar>
          </w:tcPr>
          <w:p>
            <w:pPr>
              <w:spacing w:after="0" w:line="252"/>
              <w:jc w:val="left"/>
            </w:pPr>
            <w:r>
              <w:rPr>
                <w:b w:val="false"/>
                <w:bCs w:val="false"/>
                <w:color w:val="202020"/>
                <w:sz w:val="19"/>
                <w:szCs w:val="19"/>
              </w:rPr>
              <w:t xml:space="preserve">serious_adverse_rate_yn</w:t>
            </w:r>
          </w:p>
        </w:tc>
        <w:tc>
          <w:tcPr>
            <w:tcW w:type="dxa" w:w="4360"/>
            <w:tcMar>
              <w:top w:type="dxa" w:w="40"/>
              <w:left w:type="dxa" w:w="90"/>
              <w:bottom w:type="dxa" w:w="40"/>
              <w:right w:type="dxa" w:w="90"/>
            </w:tcMar>
          </w:tcPr>
          <w:p>
            <w:pPr>
              <w:spacing w:after="0" w:line="252"/>
              <w:jc w:val="center"/>
            </w:pPr>
            <w:r>
              <w:rPr>
                <w:b w:val="false"/>
                <w:bCs w:val="false"/>
                <w:color w:val="202020"/>
                <w:sz w:val="19"/>
                <w:szCs w:val="19"/>
              </w:rPr>
              <w:t xml:space="preserve">Serious adverse event</w:t>
            </w:r>
          </w:p>
        </w:tc>
        <w:tc>
          <w:tcPr>
            <w:tcW w:type="dxa" w:w="1800"/>
            <w:tcMar>
              <w:top w:type="dxa" w:w="40"/>
              <w:left w:type="dxa" w:w="90"/>
              <w:bottom w:type="dxa" w:w="40"/>
              <w:right w:type="dxa" w:w="90"/>
            </w:tcMar>
          </w:tcPr>
          <w:p>
            <w:pPr>
              <w:spacing w:after="0" w:line="252"/>
              <w:jc w:val="center"/>
            </w:pPr>
            <w:r>
              <w:rPr>
                <w:b w:val="false"/>
                <w:bCs w:val="false"/>
                <w:color w:val="202020"/>
                <w:sz w:val="19"/>
                <w:szCs w:val="19"/>
              </w:rPr>
              <w:t xml:space="preserve">Binary</w:t>
            </w:r>
          </w:p>
        </w:tc>
      </w:tr>
      <w:tr>
        <w:tc>
          <w:tcPr>
            <w:tcW w:type="dxa" w:w="320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patient_dropout_rate_yn</w:t>
            </w:r>
          </w:p>
        </w:tc>
        <w:tc>
          <w:tcPr>
            <w:tcW w:type="dxa" w:w="436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Patient dropout event</w:t>
            </w:r>
          </w:p>
        </w:tc>
        <w:tc>
          <w:tcPr>
            <w:tcW w:type="dxa" w:w="18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Binary</w:t>
            </w:r>
          </w:p>
        </w:tc>
      </w:tr>
      <w:tr>
        <w:tc>
          <w:tcPr>
            <w:tcW w:type="dxa" w:w="3200"/>
            <w:tcMar>
              <w:top w:type="dxa" w:w="40"/>
              <w:left w:type="dxa" w:w="90"/>
              <w:bottom w:type="dxa" w:w="40"/>
              <w:right w:type="dxa" w:w="90"/>
            </w:tcMar>
          </w:tcPr>
          <w:p>
            <w:pPr>
              <w:spacing w:after="0" w:line="252"/>
              <w:jc w:val="left"/>
            </w:pPr>
            <w:r>
              <w:rPr>
                <w:b w:val="false"/>
                <w:bCs w:val="false"/>
                <w:color w:val="202020"/>
                <w:sz w:val="19"/>
                <w:szCs w:val="19"/>
              </w:rPr>
              <w:t xml:space="preserve">failure_reason</w:t>
            </w:r>
          </w:p>
        </w:tc>
        <w:tc>
          <w:tcPr>
            <w:tcW w:type="dxa" w:w="4360"/>
            <w:tcMar>
              <w:top w:type="dxa" w:w="40"/>
              <w:left w:type="dxa" w:w="90"/>
              <w:bottom w:type="dxa" w:w="40"/>
              <w:right w:type="dxa" w:w="90"/>
            </w:tcMar>
          </w:tcPr>
          <w:p>
            <w:pPr>
              <w:spacing w:after="0" w:line="252"/>
              <w:jc w:val="center"/>
            </w:pPr>
            <w:r>
              <w:rPr>
                <w:b w:val="false"/>
                <w:bCs w:val="false"/>
                <w:color w:val="202020"/>
                <w:sz w:val="19"/>
                <w:szCs w:val="19"/>
              </w:rPr>
              <w:t xml:space="preserve">Trial failure-reason identification</w:t>
            </w:r>
          </w:p>
        </w:tc>
        <w:tc>
          <w:tcPr>
            <w:tcW w:type="dxa" w:w="1800"/>
            <w:tcMar>
              <w:top w:type="dxa" w:w="40"/>
              <w:left w:type="dxa" w:w="90"/>
              <w:bottom w:type="dxa" w:w="40"/>
              <w:right w:type="dxa" w:w="90"/>
            </w:tcMar>
          </w:tcPr>
          <w:p>
            <w:pPr>
              <w:spacing w:after="0" w:line="252"/>
              <w:jc w:val="center"/>
            </w:pPr>
            <w:r>
              <w:rPr>
                <w:b w:val="false"/>
                <w:bCs w:val="false"/>
                <w:color w:val="202020"/>
                <w:sz w:val="19"/>
                <w:szCs w:val="19"/>
              </w:rPr>
              <w:t xml:space="preserve">Multiclass</w:t>
            </w:r>
          </w:p>
        </w:tc>
      </w:tr>
    </w:tbl>
    <w:p>
      <w:pPr>
        <w:spacing w:after="180" w:before="60"/>
      </w:pPr>
      <w:r>
        <w:rPr>
          <w:i/>
          <w:iCs/>
          <w:color w:val="5A5A5A"/>
          <w:sz w:val="17"/>
          <w:szCs w:val="17"/>
        </w:rPr>
        <w:t xml:space="preserve">Table 1. The five in-scope classification tasks. Regression and generation tasks were out of scope by request.</w:t>
      </w:r>
    </w:p>
    <w:p>
      <w:pPr>
        <w:spacing w:after="140" w:line="276"/>
      </w:pPr>
      <w:r>
        <w:rPr>
          <w:color w:val="202020"/>
          <w:sz w:val="22"/>
          <w:szCs w:val="22"/>
        </w:rPr>
        <w:t xml:space="preserve">Each task×phase arrives as four CSVs (train/test × features/labels) indexed by NCT ID, with roughly 58 feature columns spanning several modalities — numeric/tabular, categorical, multi-hot, free text, molecule (SMILES), disease (ICD codes), and MeSH ontology embeddings. The loader carves a 20% validation split out of train with a fixed seed, matching the repo. Class imbalance and small folds are expected, which is why PR-AUC is the headline metric and the repo's bootstrap (raised to 1,000 resamples) is kept for confidence intervals.</w:t>
      </w:r>
    </w:p>
    <w:p>
      <w:pPr>
        <w:spacing w:after="140" w:line="276"/>
      </w:pPr>
      <w:r>
        <w:rPr>
          <w:color w:val="202020"/>
          <w:sz w:val="22"/>
          <w:szCs w:val="22"/>
        </w:rPr>
        <w:t xml:space="preserve">The harness is a thin, config-driven pipeline: a YAML grid of tasks × phases × methods × seeds feeds a leakage-safe featurizer, then each method's fit / predict_proba, then a metrics-plus-bootstrap step that writes one JSON record per cell, which an aggregator rolls up into leaderboard.md / leaderboard.csv ranked by PR-AUC. Adding a method is a ~30-line file plus a registry entry. Three qualities of the engineering are worth stating explicitly, because they hold up under review:</w:t>
      </w:r>
    </w:p>
    <w:p>
      <w:pPr>
        <w:pStyle w:val="ListParagraph"/>
        <w:numPr>
          <w:ilvl w:val="0"/>
          <w:numId w:val="2"/>
        </w:numPr>
        <w:spacing w:after="80" w:line="272"/>
      </w:pPr>
      <w:r>
        <w:rPr>
          <w:b/>
          <w:bCs/>
          <w:color w:val="202020"/>
          <w:sz w:val="22"/>
          <w:szCs w:val="22"/>
        </w:rPr>
        <w:t xml:space="preserve">Leakage safety is real. </w:t>
      </w:r>
      <w:r>
        <w:rPr>
          <w:color w:val="202020"/>
          <w:sz w:val="22"/>
          <w:szCs w:val="22"/>
        </w:rPr>
        <w:t xml:space="preserve">Every encoder, scaler, vectorizer, and embedding is fit on the training split only, then applied to validation/test. No test leakage was found.</w:t>
      </w:r>
    </w:p>
    <w:p>
      <w:pPr>
        <w:pStyle w:val="ListParagraph"/>
        <w:numPr>
          <w:ilvl w:val="0"/>
          <w:numId w:val="2"/>
        </w:numPr>
        <w:spacing w:after="80" w:line="272"/>
      </w:pPr>
      <w:r>
        <w:rPr>
          <w:b/>
          <w:bCs/>
          <w:color w:val="202020"/>
          <w:sz w:val="22"/>
          <w:szCs w:val="22"/>
        </w:rPr>
        <w:t xml:space="preserve">Imbalance is handled consistently. </w:t>
      </w:r>
      <w:r>
        <w:rPr>
          <w:color w:val="202020"/>
          <w:sz w:val="22"/>
          <w:szCs w:val="22"/>
        </w:rPr>
        <w:t xml:space="preserve">class_weight=“balanced”, scale_pos_weight, and auto class weights across the linear/tree/GBM families; PR-AUC headline; 1,000-resample bootstrap CIs.</w:t>
      </w:r>
    </w:p>
    <w:p>
      <w:pPr>
        <w:pStyle w:val="ListParagraph"/>
        <w:numPr>
          <w:ilvl w:val="0"/>
          <w:numId w:val="2"/>
        </w:numPr>
        <w:spacing w:after="80" w:line="272"/>
      </w:pPr>
      <w:r>
        <w:rPr>
          <w:b/>
          <w:bCs/>
          <w:color w:val="202020"/>
          <w:sz w:val="22"/>
          <w:szCs w:val="22"/>
        </w:rPr>
        <w:t xml:space="preserve">Orchestration is production-grade. </w:t>
      </w:r>
      <w:r>
        <w:rPr>
          <w:color w:val="202020"/>
          <w:sz w:val="22"/>
          <w:szCs w:val="22"/>
        </w:rPr>
        <w:t xml:space="preserve">Resumable (skip-if-exists), atomic os.replace writes, per-cell try/except that records skips/errors rather than crashing, and a systemd unit for reboot survival on EC2.</w:t>
      </w:r>
    </w:p>
    <w:p>
      <w:pPr>
        <w:spacing w:after="140" w:line="276"/>
      </w:pPr>
      <w:r>
        <w:rPr>
          <w:color w:val="202020"/>
          <w:sz w:val="22"/>
          <w:szCs w:val="22"/>
        </w:rPr>
        <w:t xml:space="preserve">The deliverable, then, is both the harness and a first set of results — with the important qualifier, developed in Section 3, that the results are complete and trustworthy for the classical/GBM/text tier but only partial for the deep methods.</w:t>
      </w:r>
    </w:p>
    <w:p>
      <w:pPr>
        <w:pStyle w:val="Heading1"/>
        <w:spacing w:after="140" w:before="320"/>
      </w:pPr>
      <w:r>
        <w:rPr>
          <w:b/>
          <w:bCs/>
          <w:color w:val="2F5496"/>
          <w:sz w:val="30"/>
          <w:szCs w:val="30"/>
        </w:rPr>
        <w:t xml:space="preserve">2. Overview of Methods and How to Bin Them</w:t>
      </w:r>
    </w:p>
    <w:p>
      <w:pPr>
        <w:spacing w:after="140" w:line="276"/>
      </w:pPr>
      <w:r>
        <w:rPr>
          <w:color w:val="202020"/>
          <w:sz w:val="22"/>
          <w:szCs w:val="22"/>
        </w:rPr>
        <w:t xml:space="preserve">Sixteen methods were implemented and are best understood in four tiers, ordered by computational feasibility on CPU. The tiering is not cosmetic: it is exactly the axis along which coverage — and therefore the trustworthiness of every downstream comparison — breaks down.</w:t>
      </w:r>
    </w:p>
    <w:tbl>
      <w:tblPr>
        <w:tblW w:type="dxa" w:w="9360"/>
        <w:tblBorders>
          <w:top w:val="single" w:color="BFC7D6" w:sz="4"/>
          <w:left w:val="single" w:color="BFC7D6" w:sz="4"/>
          <w:bottom w:val="single" w:color="BFC7D6" w:sz="4"/>
          <w:right w:val="single" w:color="BFC7D6" w:sz="4"/>
          <w:insideH w:val="single" w:color="BFC7D6" w:sz="2"/>
          <w:insideV w:val="single" w:color="BFC7D6" w:sz="2"/>
        </w:tblBorders>
      </w:tblPr>
      <w:tblGrid>
        <w:gridCol w:w="900"/>
        <w:gridCol w:w="2500"/>
        <w:gridCol w:w="4260"/>
        <w:gridCol w:w="1700"/>
      </w:tblGrid>
      <w:tr>
        <w:trPr>
          <w:tblHeader/>
        </w:trPr>
        <w:tc>
          <w:tcPr>
            <w:tcW w:type="dxa" w:w="900"/>
            <w:shd w:fill="2F5496" w:color="auto" w:val="clear"/>
            <w:tcMar>
              <w:top w:type="dxa" w:w="40"/>
              <w:left w:type="dxa" w:w="90"/>
              <w:bottom w:type="dxa" w:w="40"/>
              <w:right w:type="dxa" w:w="90"/>
            </w:tcMar>
          </w:tcPr>
          <w:p>
            <w:pPr>
              <w:spacing w:after="0" w:line="252"/>
              <w:jc w:val="left"/>
            </w:pPr>
            <w:r>
              <w:rPr>
                <w:b/>
                <w:bCs/>
                <w:color w:val="FFFFFF"/>
                <w:sz w:val="19"/>
                <w:szCs w:val="19"/>
              </w:rPr>
              <w:t xml:space="preserve">Tier</w:t>
            </w:r>
          </w:p>
        </w:tc>
        <w:tc>
          <w:tcPr>
            <w:tcW w:type="dxa" w:w="2500"/>
            <w:shd w:fill="2F5496" w:color="auto" w:val="clear"/>
            <w:tcMar>
              <w:top w:type="dxa" w:w="40"/>
              <w:left w:type="dxa" w:w="90"/>
              <w:bottom w:type="dxa" w:w="40"/>
              <w:right w:type="dxa" w:w="90"/>
            </w:tcMar>
          </w:tcPr>
          <w:p>
            <w:pPr>
              <w:spacing w:after="0" w:line="252"/>
              <w:jc w:val="center"/>
            </w:pPr>
            <w:r>
              <w:rPr>
                <w:b/>
                <w:bCs/>
                <w:color w:val="FFFFFF"/>
                <w:sz w:val="19"/>
                <w:szCs w:val="19"/>
              </w:rPr>
              <w:t xml:space="preserve">Family</w:t>
            </w:r>
          </w:p>
        </w:tc>
        <w:tc>
          <w:tcPr>
            <w:tcW w:type="dxa" w:w="4260"/>
            <w:shd w:fill="2F5496" w:color="auto" w:val="clear"/>
            <w:tcMar>
              <w:top w:type="dxa" w:w="40"/>
              <w:left w:type="dxa" w:w="90"/>
              <w:bottom w:type="dxa" w:w="40"/>
              <w:right w:type="dxa" w:w="90"/>
            </w:tcMar>
          </w:tcPr>
          <w:p>
            <w:pPr>
              <w:spacing w:after="0" w:line="252"/>
              <w:jc w:val="center"/>
            </w:pPr>
            <w:r>
              <w:rPr>
                <w:b/>
                <w:bCs/>
                <w:color w:val="FFFFFF"/>
                <w:sz w:val="19"/>
                <w:szCs w:val="19"/>
              </w:rPr>
              <w:t xml:space="preserve">Methods</w:t>
            </w:r>
          </w:p>
        </w:tc>
        <w:tc>
          <w:tcPr>
            <w:tcW w:type="dxa" w:w="1700"/>
            <w:shd w:fill="2F5496" w:color="auto" w:val="clear"/>
            <w:tcMar>
              <w:top w:type="dxa" w:w="40"/>
              <w:left w:type="dxa" w:w="90"/>
              <w:bottom w:type="dxa" w:w="40"/>
              <w:right w:type="dxa" w:w="90"/>
            </w:tcMar>
          </w:tcPr>
          <w:p>
            <w:pPr>
              <w:spacing w:after="0" w:line="252"/>
              <w:jc w:val="center"/>
            </w:pPr>
            <w:r>
              <w:rPr>
                <w:b/>
                <w:bCs/>
                <w:color w:val="FFFFFF"/>
                <w:sz w:val="19"/>
                <w:szCs w:val="19"/>
              </w:rPr>
              <w:t xml:space="preserve">Feature view</w:t>
            </w:r>
          </w:p>
        </w:tc>
      </w:tr>
      <w:tr>
        <w:tc>
          <w:tcPr>
            <w:tcW w:type="dxa" w:w="900"/>
            <w:tcMar>
              <w:top w:type="dxa" w:w="40"/>
              <w:left w:type="dxa" w:w="90"/>
              <w:bottom w:type="dxa" w:w="40"/>
              <w:right w:type="dxa" w:w="90"/>
            </w:tcMar>
          </w:tcPr>
          <w:p>
            <w:pPr>
              <w:spacing w:after="0" w:line="252"/>
              <w:jc w:val="left"/>
            </w:pPr>
            <w:r>
              <w:rPr>
                <w:b/>
                <w:bCs/>
                <w:color w:val="202020"/>
                <w:sz w:val="19"/>
                <w:szCs w:val="19"/>
              </w:rPr>
              <w:t xml:space="preserve">A</w:t>
            </w:r>
          </w:p>
        </w:tc>
        <w:tc>
          <w:tcPr>
            <w:tcW w:type="dxa" w:w="2500"/>
            <w:tcMar>
              <w:top w:type="dxa" w:w="40"/>
              <w:left w:type="dxa" w:w="90"/>
              <w:bottom w:type="dxa" w:w="40"/>
              <w:right w:type="dxa" w:w="90"/>
            </w:tcMar>
          </w:tcPr>
          <w:p>
            <w:pPr>
              <w:spacing w:after="0" w:line="252"/>
              <w:jc w:val="center"/>
            </w:pPr>
            <w:r>
              <w:rPr>
                <w:b w:val="false"/>
                <w:bCs w:val="false"/>
                <w:color w:val="202020"/>
                <w:sz w:val="19"/>
                <w:szCs w:val="19"/>
              </w:rPr>
              <w:t xml:space="preserve">Classical / linear / GBM / text</w:t>
            </w:r>
          </w:p>
        </w:tc>
        <w:tc>
          <w:tcPr>
            <w:tcW w:type="dxa" w:w="4260"/>
            <w:tcMar>
              <w:top w:type="dxa" w:w="40"/>
              <w:left w:type="dxa" w:w="90"/>
              <w:bottom w:type="dxa" w:w="40"/>
              <w:right w:type="dxa" w:w="90"/>
            </w:tcMar>
          </w:tcPr>
          <w:p>
            <w:pPr>
              <w:spacing w:after="0" w:line="252"/>
              <w:jc w:val="center"/>
            </w:pPr>
            <w:r>
              <w:rPr>
                <w:b w:val="false"/>
                <w:bCs w:val="false"/>
                <w:color w:val="202020"/>
                <w:sz w:val="19"/>
                <w:szCs w:val="19"/>
              </w:rPr>
              <w:t xml:space="preserve">majority, logreg_l1, logreg_l2, svm_linear, knn, random_forest, extra_trees, hist_gbm, xgboost, lightgbm, catboost, tfidf_logreg</w:t>
            </w:r>
          </w:p>
        </w:tc>
        <w:tc>
          <w:tcPr>
            <w:tcW w:type="dxa" w:w="1700"/>
            <w:tcMar>
              <w:top w:type="dxa" w:w="40"/>
              <w:left w:type="dxa" w:w="90"/>
              <w:bottom w:type="dxa" w:w="40"/>
              <w:right w:type="dxa" w:w="90"/>
            </w:tcMar>
          </w:tcPr>
          <w:p>
            <w:pPr>
              <w:spacing w:after="0" w:line="252"/>
              <w:jc w:val="center"/>
            </w:pPr>
            <w:r>
              <w:rPr>
                <w:b w:val="false"/>
                <w:bCs w:val="false"/>
                <w:color w:val="202020"/>
                <w:sz w:val="19"/>
                <w:szCs w:val="19"/>
              </w:rPr>
              <w:t xml:space="preserve">Tabular + TF-IDF</w:t>
            </w:r>
          </w:p>
        </w:tc>
      </w:tr>
      <w:tr>
        <w:tc>
          <w:tcPr>
            <w:tcW w:type="dxa" w:w="900"/>
            <w:shd w:fill="EEF2F8" w:color="auto" w:val="clear"/>
            <w:tcMar>
              <w:top w:type="dxa" w:w="40"/>
              <w:left w:type="dxa" w:w="90"/>
              <w:bottom w:type="dxa" w:w="40"/>
              <w:right w:type="dxa" w:w="90"/>
            </w:tcMar>
          </w:tcPr>
          <w:p>
            <w:pPr>
              <w:spacing w:after="0" w:line="252"/>
              <w:jc w:val="left"/>
            </w:pPr>
            <w:r>
              <w:rPr>
                <w:b/>
                <w:bCs/>
                <w:color w:val="202020"/>
                <w:sz w:val="19"/>
                <w:szCs w:val="19"/>
              </w:rPr>
              <w:t xml:space="preserve">B</w:t>
            </w:r>
          </w:p>
        </w:tc>
        <w:tc>
          <w:tcPr>
            <w:tcW w:type="dxa" w:w="25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Deep tabular</w:t>
            </w:r>
          </w:p>
        </w:tc>
        <w:tc>
          <w:tcPr>
            <w:tcW w:type="dxa" w:w="426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tabnet, ft_transformer, tabpfn</w:t>
            </w:r>
          </w:p>
        </w:tc>
        <w:tc>
          <w:tcPr>
            <w:tcW w:type="dxa" w:w="17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Tabular</w:t>
            </w:r>
          </w:p>
        </w:tc>
      </w:tr>
      <w:tr>
        <w:tc>
          <w:tcPr>
            <w:tcW w:type="dxa" w:w="900"/>
            <w:tcMar>
              <w:top w:type="dxa" w:w="40"/>
              <w:left w:type="dxa" w:w="90"/>
              <w:bottom w:type="dxa" w:w="40"/>
              <w:right w:type="dxa" w:w="90"/>
            </w:tcMar>
          </w:tcPr>
          <w:p>
            <w:pPr>
              <w:spacing w:after="0" w:line="252"/>
              <w:jc w:val="left"/>
            </w:pPr>
            <w:r>
              <w:rPr>
                <w:b/>
                <w:bCs/>
                <w:color w:val="202020"/>
                <w:sz w:val="19"/>
                <w:szCs w:val="19"/>
              </w:rPr>
              <w:t xml:space="preserve">C</w:t>
            </w:r>
          </w:p>
        </w:tc>
        <w:tc>
          <w:tcPr>
            <w:tcW w:type="dxa" w:w="2500"/>
            <w:tcMar>
              <w:top w:type="dxa" w:w="40"/>
              <w:left w:type="dxa" w:w="90"/>
              <w:bottom w:type="dxa" w:w="40"/>
              <w:right w:type="dxa" w:w="90"/>
            </w:tcMar>
          </w:tcPr>
          <w:p>
            <w:pPr>
              <w:spacing w:after="0" w:line="252"/>
              <w:jc w:val="center"/>
            </w:pPr>
            <w:r>
              <w:rPr>
                <w:b w:val="false"/>
                <w:bCs w:val="false"/>
                <w:color w:val="202020"/>
                <w:sz w:val="19"/>
                <w:szCs w:val="19"/>
              </w:rPr>
              <w:t xml:space="preserve">Clinical NLP</w:t>
            </w:r>
          </w:p>
        </w:tc>
        <w:tc>
          <w:tcPr>
            <w:tcW w:type="dxa" w:w="4260"/>
            <w:tcMar>
              <w:top w:type="dxa" w:w="40"/>
              <w:left w:type="dxa" w:w="90"/>
              <w:bottom w:type="dxa" w:w="40"/>
              <w:right w:type="dxa" w:w="90"/>
            </w:tcMar>
          </w:tcPr>
          <w:p>
            <w:pPr>
              <w:spacing w:after="0" w:line="252"/>
              <w:jc w:val="center"/>
            </w:pPr>
            <w:r>
              <w:rPr>
                <w:b w:val="false"/>
                <w:bCs w:val="false"/>
                <w:color w:val="202020"/>
                <w:sz w:val="19"/>
                <w:szCs w:val="19"/>
              </w:rPr>
              <w:t xml:space="preserve">clinical_embeddings (frozen Bio_ClinicalBERT)</w:t>
            </w:r>
          </w:p>
        </w:tc>
        <w:tc>
          <w:tcPr>
            <w:tcW w:type="dxa" w:w="1700"/>
            <w:tcMar>
              <w:top w:type="dxa" w:w="40"/>
              <w:left w:type="dxa" w:w="90"/>
              <w:bottom w:type="dxa" w:w="40"/>
              <w:right w:type="dxa" w:w="90"/>
            </w:tcMar>
          </w:tcPr>
          <w:p>
            <w:pPr>
              <w:spacing w:after="0" w:line="252"/>
              <w:jc w:val="center"/>
            </w:pPr>
            <w:r>
              <w:rPr>
                <w:b w:val="false"/>
                <w:bCs w:val="false"/>
                <w:color w:val="202020"/>
                <w:sz w:val="19"/>
                <w:szCs w:val="19"/>
              </w:rPr>
              <w:t xml:space="preserve">Raw text</w:t>
            </w:r>
          </w:p>
        </w:tc>
      </w:tr>
      <w:tr>
        <w:tc>
          <w:tcPr>
            <w:tcW w:type="dxa" w:w="900"/>
            <w:shd w:fill="EEF2F8" w:color="auto" w:val="clear"/>
            <w:tcMar>
              <w:top w:type="dxa" w:w="40"/>
              <w:left w:type="dxa" w:w="90"/>
              <w:bottom w:type="dxa" w:w="40"/>
              <w:right w:type="dxa" w:w="90"/>
            </w:tcMar>
          </w:tcPr>
          <w:p>
            <w:pPr>
              <w:spacing w:after="0" w:line="252"/>
              <w:jc w:val="left"/>
            </w:pPr>
            <w:r>
              <w:rPr>
                <w:b/>
                <w:bCs/>
                <w:color w:val="202020"/>
                <w:sz w:val="19"/>
                <w:szCs w:val="19"/>
              </w:rPr>
              <w:t xml:space="preserve">D</w:t>
            </w:r>
          </w:p>
        </w:tc>
        <w:tc>
          <w:tcPr>
            <w:tcW w:type="dxa" w:w="25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Multimodal / LLM</w:t>
            </w:r>
          </w:p>
        </w:tc>
        <w:tc>
          <w:tcPr>
            <w:tcW w:type="dxa" w:w="426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fingerprint_fusion, hint_reference, llm_fewshot (stubs)</w:t>
            </w:r>
          </w:p>
        </w:tc>
        <w:tc>
          <w:tcPr>
            <w:tcW w:type="dxa" w:w="17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Raw / multimodal</w:t>
            </w:r>
          </w:p>
        </w:tc>
      </w:tr>
    </w:tbl>
    <w:p>
      <w:pPr>
        <w:spacing w:after="180" w:before="60"/>
      </w:pPr>
      <w:r>
        <w:rPr>
          <w:i/>
          <w:iCs/>
          <w:color w:val="5A5A5A"/>
          <w:sz w:val="17"/>
          <w:szCs w:val="17"/>
        </w:rPr>
        <w:t xml:space="preserve">Table 2. Method menu by tier. Tier A is the CPU-native core; Tiers B–D were added opportunistically.</w:t>
      </w:r>
    </w:p>
    <w:p>
      <w:pPr>
        <w:pStyle w:val="Heading2"/>
        <w:spacing w:after="100" w:before="220"/>
      </w:pPr>
      <w:r>
        <w:rPr>
          <w:b/>
          <w:bCs/>
          <w:color w:val="1F3864"/>
          <w:sz w:val="24"/>
          <w:szCs w:val="24"/>
        </w:rPr>
        <w:t xml:space="preserve">The useful way to bin them</w:t>
      </w:r>
    </w:p>
    <w:p>
      <w:pPr>
        <w:spacing w:after="140" w:line="276"/>
      </w:pPr>
      <w:r>
        <w:rPr>
          <w:color w:val="202020"/>
          <w:sz w:val="22"/>
          <w:szCs w:val="22"/>
        </w:rPr>
        <w:t xml:space="preserve">For interpreting results, two cross-cutting groupings matter more than the tiers themselves.</w:t>
      </w:r>
    </w:p>
    <w:p>
      <w:pPr>
        <w:spacing w:after="140" w:line="276"/>
      </w:pPr>
      <w:r>
        <w:rPr>
          <w:b/>
          <w:bCs/>
          <w:color w:val="202020"/>
          <w:sz w:val="22"/>
          <w:szCs w:val="22"/>
        </w:rPr>
        <w:t xml:space="preserve">By feature space. </w:t>
      </w:r>
      <w:r>
        <w:rPr>
          <w:color w:val="202020"/>
          <w:sz w:val="22"/>
          <w:szCs w:val="22"/>
        </w:rPr>
        <w:t xml:space="preserve">Most methods (all of Tier A except tfidf_logreg, plus all of Tier B) operate on the same ≈38–43 engineered tabular columns produced by the shared featurizer. tfidf_logreg operates on a disjoint space of ≈50k TF-IDF tokens over concatenated free text. clinical_embeddings operates on a third space: 768-dim frozen BERT vectors. These spaces are not directly comparable feature-by-feature, so “do methods find the same signal?” has to be answered at the level of predictions, not coefficients (Section 4).</w:t>
      </w:r>
    </w:p>
    <w:p>
      <w:pPr>
        <w:spacing w:after="140" w:line="276"/>
      </w:pPr>
      <w:r>
        <w:rPr>
          <w:b/>
          <w:bCs/>
          <w:color w:val="202020"/>
          <w:sz w:val="22"/>
          <w:szCs w:val="22"/>
        </w:rPr>
        <w:t xml:space="preserve">By what they can even see. </w:t>
      </w:r>
      <w:r>
        <w:rPr>
          <w:color w:val="202020"/>
          <w:sz w:val="22"/>
          <w:szCs w:val="22"/>
        </w:rPr>
        <w:t xml:space="preserve">This is the sharpest and most consequential bin. The tabular featurizer is entirely administrative/logistical — arm counts, masking flags, ages, sponsor and allocation type. It deliberately excludes the free-text, SMILES, ICD, and MeSH columns. So every tabular method (classical, GBM, and both deep-tabular networks) is structurally blind to the disease being studied, while the text methods are not. That single fact drives much of Sections 5–7.</w:t>
      </w:r>
    </w:p>
    <w:p>
      <w:pPr>
        <w:spacing w:after="140" w:line="276"/>
      </w:pPr>
      <w:r>
        <w:rPr>
          <w:color w:val="202020"/>
          <w:sz w:val="22"/>
          <w:szCs w:val="22"/>
        </w:rPr>
        <w:t xml:space="preserve">A note on baselines and skips: majority is the prior/all-negative reference used to calibrate every other method. TabPFN is in Tier B but produced no usable result — it requires a one-time free license token that was not configured, so all of its cells recorded a graceful “skipped” rather than an error. That is by design, but it means Tier B is effectively just TabNet and FT-Transformer in the current results.</w:t>
      </w:r>
    </w:p>
    <w:p>
      <w:pPr>
        <w:pStyle w:val="Heading1"/>
        <w:spacing w:after="140" w:before="320"/>
      </w:pPr>
      <w:r>
        <w:rPr>
          <w:b/>
          <w:bCs/>
          <w:color w:val="2F5496"/>
          <w:sz w:val="30"/>
          <w:szCs w:val="30"/>
        </w:rPr>
        <w:t xml:space="preserve">3. Review of Performance</w:t>
      </w:r>
    </w:p>
    <w:p>
      <w:pPr>
        <w:spacing w:after="140" w:line="276"/>
      </w:pPr>
      <w:r>
        <w:rPr>
          <w:color w:val="202020"/>
          <w:sz w:val="22"/>
          <w:szCs w:val="22"/>
        </w:rPr>
        <w:t xml:space="preserve">The single most important thing to understand about the current results is that they are complete for Tier A and only partial for the deep methods — and the published leaderboard does not correct for that.</w:t>
      </w:r>
    </w:p>
    <w:p>
      <w:pPr>
        <w:pStyle w:val="Heading2"/>
        <w:spacing w:after="100" w:before="220"/>
      </w:pPr>
      <w:r>
        <w:rPr>
          <w:b/>
          <w:bCs/>
          <w:color w:val="1F3864"/>
          <w:sz w:val="24"/>
          <w:szCs w:val="24"/>
        </w:rPr>
        <w:t xml:space="preserve">3.1 Coverage: the deep methods are missing about half the grid</w:t>
      </w:r>
    </w:p>
    <w:p>
      <w:pPr>
        <w:spacing w:after="140" w:line="276"/>
      </w:pPr>
      <w:r>
        <w:rPr>
          <w:color w:val="202020"/>
          <w:sz w:val="22"/>
          <w:szCs w:val="22"/>
        </w:rPr>
        <w:t xml:space="preserve">The full grid is 5 tasks × 4 phases × 16 methods × 1 seed = 320 cells. On disk there are 279 run records — 269 ok, 10 skipped, 0 error, 0 no_data. Coverage per method, out of the 20 task×phase cells:</w:t>
      </w:r>
    </w:p>
    <w:tbl>
      <w:tblPr>
        <w:tblW w:type="dxa" w:w="9360"/>
        <w:tblBorders>
          <w:top w:val="single" w:color="BFC7D6" w:sz="4"/>
          <w:left w:val="single" w:color="BFC7D6" w:sz="4"/>
          <w:bottom w:val="single" w:color="BFC7D6" w:sz="4"/>
          <w:right w:val="single" w:color="BFC7D6" w:sz="4"/>
          <w:insideH w:val="single" w:color="BFC7D6" w:sz="2"/>
          <w:insideV w:val="single" w:color="BFC7D6" w:sz="2"/>
        </w:tblBorders>
      </w:tblPr>
      <w:tblGrid>
        <w:gridCol w:w="3400"/>
        <w:gridCol w:w="2600"/>
        <w:gridCol w:w="3360"/>
      </w:tblGrid>
      <w:tr>
        <w:trPr>
          <w:tblHeader/>
        </w:trPr>
        <w:tc>
          <w:tcPr>
            <w:tcW w:type="dxa" w:w="3400"/>
            <w:shd w:fill="2F5496" w:color="auto" w:val="clear"/>
            <w:tcMar>
              <w:top w:type="dxa" w:w="40"/>
              <w:left w:type="dxa" w:w="90"/>
              <w:bottom w:type="dxa" w:w="40"/>
              <w:right w:type="dxa" w:w="90"/>
            </w:tcMar>
          </w:tcPr>
          <w:p>
            <w:pPr>
              <w:spacing w:after="0" w:line="252"/>
              <w:jc w:val="left"/>
            </w:pPr>
            <w:r>
              <w:rPr>
                <w:b/>
                <w:bCs/>
                <w:color w:val="FFFFFF"/>
                <w:sz w:val="19"/>
                <w:szCs w:val="19"/>
              </w:rPr>
              <w:t xml:space="preserve">Methods</w:t>
            </w:r>
          </w:p>
        </w:tc>
        <w:tc>
          <w:tcPr>
            <w:tcW w:type="dxa" w:w="2600"/>
            <w:shd w:fill="2F5496" w:color="auto" w:val="clear"/>
            <w:tcMar>
              <w:top w:type="dxa" w:w="40"/>
              <w:left w:type="dxa" w:w="90"/>
              <w:bottom w:type="dxa" w:w="40"/>
              <w:right w:type="dxa" w:w="90"/>
            </w:tcMar>
          </w:tcPr>
          <w:p>
            <w:pPr>
              <w:spacing w:after="0" w:line="252"/>
              <w:jc w:val="center"/>
            </w:pPr>
            <w:r>
              <w:rPr>
                <w:b/>
                <w:bCs/>
                <w:color w:val="FFFFFF"/>
                <w:sz w:val="19"/>
                <w:szCs w:val="19"/>
              </w:rPr>
              <w:t xml:space="preserve">Cells completed</w:t>
            </w:r>
          </w:p>
        </w:tc>
        <w:tc>
          <w:tcPr>
            <w:tcW w:type="dxa" w:w="3360"/>
            <w:shd w:fill="2F5496" w:color="auto" w:val="clear"/>
            <w:tcMar>
              <w:top w:type="dxa" w:w="40"/>
              <w:left w:type="dxa" w:w="90"/>
              <w:bottom w:type="dxa" w:w="40"/>
              <w:right w:type="dxa" w:w="90"/>
            </w:tcMar>
          </w:tcPr>
          <w:p>
            <w:pPr>
              <w:spacing w:after="0" w:line="252"/>
              <w:jc w:val="center"/>
            </w:pPr>
            <w:r>
              <w:rPr>
                <w:b/>
                <w:bCs/>
                <w:color w:val="FFFFFF"/>
                <w:sz w:val="19"/>
                <w:szCs w:val="19"/>
              </w:rPr>
              <w:t xml:space="preserve">Status</w:t>
            </w:r>
          </w:p>
        </w:tc>
      </w:tr>
      <w:tr>
        <w:tc>
          <w:tcPr>
            <w:tcW w:type="dxa" w:w="3400"/>
            <w:tcMar>
              <w:top w:type="dxa" w:w="40"/>
              <w:left w:type="dxa" w:w="90"/>
              <w:bottom w:type="dxa" w:w="40"/>
              <w:right w:type="dxa" w:w="90"/>
            </w:tcMar>
          </w:tcPr>
          <w:p>
            <w:pPr>
              <w:spacing w:after="0" w:line="252"/>
              <w:jc w:val="left"/>
            </w:pPr>
            <w:r>
              <w:rPr>
                <w:b w:val="false"/>
                <w:bCs w:val="false"/>
                <w:color w:val="202020"/>
                <w:sz w:val="19"/>
                <w:szCs w:val="19"/>
              </w:rPr>
              <w:t xml:space="preserve">All 12 Tier A methods</w:t>
            </w:r>
          </w:p>
        </w:tc>
        <w:tc>
          <w:tcPr>
            <w:tcW w:type="dxa" w:w="2600"/>
            <w:tcMar>
              <w:top w:type="dxa" w:w="40"/>
              <w:left w:type="dxa" w:w="90"/>
              <w:bottom w:type="dxa" w:w="40"/>
              <w:right w:type="dxa" w:w="90"/>
            </w:tcMar>
          </w:tcPr>
          <w:p>
            <w:pPr>
              <w:spacing w:after="0" w:line="252"/>
              <w:jc w:val="center"/>
            </w:pPr>
            <w:r>
              <w:rPr>
                <w:b/>
                <w:bCs/>
                <w:color w:val="202020"/>
                <w:sz w:val="19"/>
                <w:szCs w:val="19"/>
              </w:rPr>
              <w:t xml:space="preserve">20 / 20</w:t>
            </w:r>
          </w:p>
        </w:tc>
        <w:tc>
          <w:tcPr>
            <w:tcW w:type="dxa" w:w="3360"/>
            <w:tcMar>
              <w:top w:type="dxa" w:w="40"/>
              <w:left w:type="dxa" w:w="90"/>
              <w:bottom w:type="dxa" w:w="40"/>
              <w:right w:type="dxa" w:w="90"/>
            </w:tcMar>
          </w:tcPr>
          <w:p>
            <w:pPr>
              <w:spacing w:after="0" w:line="252"/>
              <w:jc w:val="center"/>
            </w:pPr>
            <w:r>
              <w:rPr>
                <w:b w:val="false"/>
                <w:bCs w:val="false"/>
                <w:color w:val="202020"/>
                <w:sz w:val="19"/>
                <w:szCs w:val="19"/>
              </w:rPr>
              <w:t xml:space="preserve">Complete</w:t>
            </w:r>
          </w:p>
        </w:tc>
      </w:tr>
      <w:tr>
        <w:tc>
          <w:tcPr>
            <w:tcW w:type="dxa" w:w="340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ft_transformer, tabnet</w:t>
            </w:r>
          </w:p>
        </w:tc>
        <w:tc>
          <w:tcPr>
            <w:tcW w:type="dxa" w:w="26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10 / 20</w:t>
            </w:r>
          </w:p>
        </w:tc>
        <w:tc>
          <w:tcPr>
            <w:tcW w:type="dxa" w:w="336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Partial</w:t>
            </w:r>
          </w:p>
        </w:tc>
      </w:tr>
      <w:tr>
        <w:tc>
          <w:tcPr>
            <w:tcW w:type="dxa" w:w="3400"/>
            <w:tcMar>
              <w:top w:type="dxa" w:w="40"/>
              <w:left w:type="dxa" w:w="90"/>
              <w:bottom w:type="dxa" w:w="40"/>
              <w:right w:type="dxa" w:w="90"/>
            </w:tcMar>
          </w:tcPr>
          <w:p>
            <w:pPr>
              <w:spacing w:after="0" w:line="252"/>
              <w:jc w:val="left"/>
            </w:pPr>
            <w:r>
              <w:rPr>
                <w:b w:val="false"/>
                <w:bCs w:val="false"/>
                <w:color w:val="202020"/>
                <w:sz w:val="19"/>
                <w:szCs w:val="19"/>
              </w:rPr>
              <w:t xml:space="preserve">clinical_embeddings</w:t>
            </w:r>
          </w:p>
        </w:tc>
        <w:tc>
          <w:tcPr>
            <w:tcW w:type="dxa" w:w="2600"/>
            <w:tcMar>
              <w:top w:type="dxa" w:w="40"/>
              <w:left w:type="dxa" w:w="90"/>
              <w:bottom w:type="dxa" w:w="40"/>
              <w:right w:type="dxa" w:w="90"/>
            </w:tcMar>
          </w:tcPr>
          <w:p>
            <w:pPr>
              <w:spacing w:after="0" w:line="252"/>
              <w:jc w:val="center"/>
            </w:pPr>
            <w:r>
              <w:rPr>
                <w:b w:val="false"/>
                <w:bCs w:val="false"/>
                <w:color w:val="202020"/>
                <w:sz w:val="19"/>
                <w:szCs w:val="19"/>
              </w:rPr>
              <w:t xml:space="preserve">9 / 20</w:t>
            </w:r>
          </w:p>
        </w:tc>
        <w:tc>
          <w:tcPr>
            <w:tcW w:type="dxa" w:w="3360"/>
            <w:tcMar>
              <w:top w:type="dxa" w:w="40"/>
              <w:left w:type="dxa" w:w="90"/>
              <w:bottom w:type="dxa" w:w="40"/>
              <w:right w:type="dxa" w:w="90"/>
            </w:tcMar>
          </w:tcPr>
          <w:p>
            <w:pPr>
              <w:spacing w:after="0" w:line="252"/>
              <w:jc w:val="center"/>
            </w:pPr>
            <w:r>
              <w:rPr>
                <w:b w:val="false"/>
                <w:bCs w:val="false"/>
                <w:color w:val="202020"/>
                <w:sz w:val="19"/>
                <w:szCs w:val="19"/>
              </w:rPr>
              <w:t xml:space="preserve">Partial</w:t>
            </w:r>
          </w:p>
        </w:tc>
      </w:tr>
      <w:tr>
        <w:tc>
          <w:tcPr>
            <w:tcW w:type="dxa" w:w="340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tabpfn</w:t>
            </w:r>
          </w:p>
        </w:tc>
        <w:tc>
          <w:tcPr>
            <w:tcW w:type="dxa" w:w="26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 usable</w:t>
            </w:r>
          </w:p>
        </w:tc>
        <w:tc>
          <w:tcPr>
            <w:tcW w:type="dxa" w:w="336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All skipped (no license token)</w:t>
            </w:r>
          </w:p>
        </w:tc>
      </w:tr>
    </w:tbl>
    <w:p>
      <w:pPr>
        <w:spacing w:after="180" w:before="60"/>
      </w:pPr>
      <w:r>
        <w:rPr>
          <w:i/>
          <w:iCs/>
          <w:color w:val="5A5A5A"/>
          <w:sz w:val="17"/>
          <w:szCs w:val="17"/>
        </w:rPr>
        <w:t xml:space="preserve">Table 3. Completed cells per method. The three deep methods ran only on outcome and mortality (all four phases) and serious_adverse (Phase 1–2 only); they are entirely absent from patient_dropout and failure_reason.</w:t>
      </w:r>
    </w:p>
    <w:p>
      <w:pPr>
        <w:spacing w:after="140" w:line="276"/>
      </w:pPr>
      <w:r>
        <w:rPr>
          <w:color w:val="202020"/>
          <w:sz w:val="22"/>
          <w:szCs w:val="22"/>
        </w:rPr>
        <w:t xml:space="preserve">The absence is diagnostic. The runner writes a JSON record for every cell it reaches — even skips and errors. Cells with no file at all were never reached, which means the Tier B/C pass was cut off partway through serious_adverse and never got to the last two tasks. The most likely cause is wall-clock cost: clinical_embeddings averaged ≈51 minutes per cell (peak 2h10m) doing Bio_ClinicalBERT inference on CPU, versus ~1–2 seconds for the Tier A models. A related trap: the .benchmark_complete marker on disk is stale — it was written when an earlier, smaller Tier-A-only grid finished and does not mean the current 16-method grid completed. Completeness must be measured by counting run files, not by the marker.</w:t>
      </w:r>
    </w:p>
    <w:p>
      <w:pPr>
        <w:pStyle w:val="Heading2"/>
        <w:spacing w:after="100" w:before="220"/>
      </w:pPr>
      <w:r>
        <w:rPr>
          <w:b/>
          <w:bCs/>
          <w:color w:val="1F3864"/>
          <w:sz w:val="24"/>
          <w:szCs w:val="24"/>
        </w:rPr>
        <w:t xml:space="preserve">3.2 The published “Overall” ranking is not apples-to-apples</w:t>
      </w:r>
    </w:p>
    <w:p>
      <w:pPr>
        <w:spacing w:after="140" w:line="276"/>
      </w:pPr>
      <w:r>
        <w:rPr>
          <w:color w:val="202020"/>
          <w:sz w:val="22"/>
          <w:szCs w:val="22"/>
        </w:rPr>
        <w:t xml:space="preserve">The aggregator builds per-task and overall means with pandas, which skips NaN by default — so each method is averaged over only the cells it actually ran. Combined with the coverage gap, this invalidates the cross-method ranking. FT-Transformer is ranked #1 overall at 0.730, but that average is over only its 10 completed cells, which exclude failure_reason (the hardest task, mean PR-AUC ≈ 0.30 for everyone) and all of patient_dropout. When every method is scored on the same 10 cells FT-Transformer actually ran, the top two swap:</w:t>
      </w:r>
    </w:p>
    <w:tbl>
      <w:tblPr>
        <w:tblW w:type="dxa" w:w="9360"/>
        <w:tblBorders>
          <w:top w:val="single" w:color="BFC7D6" w:sz="4"/>
          <w:left w:val="single" w:color="BFC7D6" w:sz="4"/>
          <w:bottom w:val="single" w:color="BFC7D6" w:sz="4"/>
          <w:right w:val="single" w:color="BFC7D6" w:sz="4"/>
          <w:insideH w:val="single" w:color="BFC7D6" w:sz="2"/>
          <w:insideV w:val="single" w:color="BFC7D6" w:sz="2"/>
        </w:tblBorders>
      </w:tblPr>
      <w:tblGrid>
        <w:gridCol w:w="3000"/>
        <w:gridCol w:w="1360"/>
        <w:gridCol w:w="3000"/>
        <w:gridCol w:w="1200"/>
        <w:gridCol w:w="800"/>
      </w:tblGrid>
      <w:tr>
        <w:trPr>
          <w:tblHeader/>
        </w:trPr>
        <w:tc>
          <w:tcPr>
            <w:tcW w:type="dxa" w:w="3000"/>
            <w:shd w:fill="2F5496" w:color="auto" w:val="clear"/>
            <w:tcMar>
              <w:top w:type="dxa" w:w="40"/>
              <w:left w:type="dxa" w:w="90"/>
              <w:bottom w:type="dxa" w:w="40"/>
              <w:right w:type="dxa" w:w="90"/>
            </w:tcMar>
          </w:tcPr>
          <w:p>
            <w:pPr>
              <w:spacing w:after="0" w:line="252"/>
              <w:jc w:val="left"/>
            </w:pPr>
            <w:r>
              <w:rPr>
                <w:b/>
                <w:bCs/>
                <w:color w:val="FFFFFF"/>
                <w:sz w:val="19"/>
                <w:szCs w:val="19"/>
              </w:rPr>
              <w:t xml:space="preserve">Fair — same 10 cells</w:t>
            </w:r>
          </w:p>
        </w:tc>
        <w:tc>
          <w:tcPr>
            <w:tcW w:type="dxa" w:w="1360"/>
            <w:shd w:fill="2F5496" w:color="auto" w:val="clear"/>
            <w:tcMar>
              <w:top w:type="dxa" w:w="40"/>
              <w:left w:type="dxa" w:w="90"/>
              <w:bottom w:type="dxa" w:w="40"/>
              <w:right w:type="dxa" w:w="90"/>
            </w:tcMar>
          </w:tcPr>
          <w:p>
            <w:pPr>
              <w:spacing w:after="0" w:line="252"/>
              <w:jc w:val="center"/>
            </w:pPr>
            <w:r>
              <w:rPr>
                <w:b/>
                <w:bCs/>
                <w:color w:val="FFFFFF"/>
                <w:sz w:val="19"/>
                <w:szCs w:val="19"/>
              </w:rPr>
              <w:t xml:space="preserve">PR-AUC</w:t>
            </w:r>
          </w:p>
        </w:tc>
        <w:tc>
          <w:tcPr>
            <w:tcW w:type="dxa" w:w="3000"/>
            <w:shd w:fill="2F5496" w:color="auto" w:val="clear"/>
            <w:tcMar>
              <w:top w:type="dxa" w:w="40"/>
              <w:left w:type="dxa" w:w="90"/>
              <w:bottom w:type="dxa" w:w="40"/>
              <w:right w:type="dxa" w:w="90"/>
            </w:tcMar>
          </w:tcPr>
          <w:p>
            <w:pPr>
              <w:spacing w:after="0" w:line="252"/>
              <w:jc w:val="center"/>
            </w:pPr>
            <w:r>
              <w:rPr>
                <w:b/>
                <w:bCs/>
                <w:color w:val="FFFFFF"/>
                <w:sz w:val="19"/>
                <w:szCs w:val="19"/>
              </w:rPr>
              <w:t xml:space="preserve">As-published “Overall”</w:t>
            </w:r>
          </w:p>
        </w:tc>
        <w:tc>
          <w:tcPr>
            <w:tcW w:type="dxa" w:w="1200"/>
            <w:shd w:fill="2F5496" w:color="auto" w:val="clear"/>
            <w:tcMar>
              <w:top w:type="dxa" w:w="40"/>
              <w:left w:type="dxa" w:w="90"/>
              <w:bottom w:type="dxa" w:w="40"/>
              <w:right w:type="dxa" w:w="90"/>
            </w:tcMar>
          </w:tcPr>
          <w:p>
            <w:pPr>
              <w:spacing w:after="0" w:line="252"/>
              <w:jc w:val="center"/>
            </w:pPr>
            <w:r>
              <w:rPr>
                <w:b/>
                <w:bCs/>
                <w:color w:val="FFFFFF"/>
                <w:sz w:val="19"/>
                <w:szCs w:val="19"/>
              </w:rPr>
              <w:t xml:space="preserve">PR-AUC</w:t>
            </w:r>
          </w:p>
        </w:tc>
        <w:tc>
          <w:tcPr>
            <w:tcW w:type="dxa" w:w="800"/>
            <w:shd w:fill="2F5496" w:color="auto" w:val="clear"/>
            <w:tcMar>
              <w:top w:type="dxa" w:w="40"/>
              <w:left w:type="dxa" w:w="90"/>
              <w:bottom w:type="dxa" w:w="40"/>
              <w:right w:type="dxa" w:w="90"/>
            </w:tcMar>
          </w:tcPr>
          <w:p>
            <w:pPr>
              <w:spacing w:after="0" w:line="252"/>
              <w:jc w:val="center"/>
            </w:pPr>
            <w:r>
              <w:rPr>
                <w:b/>
                <w:bCs/>
                <w:color w:val="FFFFFF"/>
                <w:sz w:val="19"/>
                <w:szCs w:val="19"/>
              </w:rPr>
              <w:t xml:space="preserve">Cells</w:t>
            </w:r>
          </w:p>
        </w:tc>
      </w:tr>
      <w:tr>
        <w:tc>
          <w:tcPr>
            <w:tcW w:type="dxa" w:w="3000"/>
            <w:tcMar>
              <w:top w:type="dxa" w:w="40"/>
              <w:left w:type="dxa" w:w="90"/>
              <w:bottom w:type="dxa" w:w="40"/>
              <w:right w:type="dxa" w:w="90"/>
            </w:tcMar>
          </w:tcPr>
          <w:p>
            <w:pPr>
              <w:spacing w:after="0" w:line="252"/>
              <w:jc w:val="left"/>
            </w:pPr>
            <w:r>
              <w:rPr>
                <w:b/>
                <w:bCs/>
                <w:color w:val="202020"/>
                <w:sz w:val="19"/>
                <w:szCs w:val="19"/>
              </w:rPr>
              <w:t xml:space="preserve">tfidf_logreg</w:t>
            </w:r>
          </w:p>
        </w:tc>
        <w:tc>
          <w:tcPr>
            <w:tcW w:type="dxa" w:w="1360"/>
            <w:tcMar>
              <w:top w:type="dxa" w:w="40"/>
              <w:left w:type="dxa" w:w="90"/>
              <w:bottom w:type="dxa" w:w="40"/>
              <w:right w:type="dxa" w:w="90"/>
            </w:tcMar>
          </w:tcPr>
          <w:p>
            <w:pPr>
              <w:spacing w:after="0" w:line="252"/>
              <w:jc w:val="center"/>
            </w:pPr>
            <w:r>
              <w:rPr>
                <w:b/>
                <w:bCs/>
                <w:color w:val="202020"/>
                <w:sz w:val="19"/>
                <w:szCs w:val="19"/>
              </w:rPr>
              <w:t xml:space="preserve">0.760</w:t>
            </w:r>
          </w:p>
        </w:tc>
        <w:tc>
          <w:tcPr>
            <w:tcW w:type="dxa" w:w="3000"/>
            <w:tcMar>
              <w:top w:type="dxa" w:w="40"/>
              <w:left w:type="dxa" w:w="90"/>
              <w:bottom w:type="dxa" w:w="40"/>
              <w:right w:type="dxa" w:w="90"/>
            </w:tcMar>
          </w:tcPr>
          <w:p>
            <w:pPr>
              <w:spacing w:after="0" w:line="252"/>
              <w:jc w:val="center"/>
            </w:pPr>
            <w:r>
              <w:rPr>
                <w:b w:val="false"/>
                <w:bCs w:val="false"/>
                <w:color w:val="202020"/>
                <w:sz w:val="19"/>
                <w:szCs w:val="19"/>
              </w:rPr>
              <w:t xml:space="preserve">ft_transformer</w:t>
            </w:r>
          </w:p>
        </w:tc>
        <w:tc>
          <w:tcPr>
            <w:tcW w:type="dxa" w:w="1200"/>
            <w:tcMar>
              <w:top w:type="dxa" w:w="40"/>
              <w:left w:type="dxa" w:w="90"/>
              <w:bottom w:type="dxa" w:w="40"/>
              <w:right w:type="dxa" w:w="90"/>
            </w:tcMar>
          </w:tcPr>
          <w:p>
            <w:pPr>
              <w:spacing w:after="0" w:line="252"/>
              <w:jc w:val="center"/>
            </w:pPr>
            <w:r>
              <w:rPr>
                <w:b w:val="false"/>
                <w:bCs w:val="false"/>
                <w:color w:val="202020"/>
                <w:sz w:val="19"/>
                <w:szCs w:val="19"/>
              </w:rPr>
              <w:t xml:space="preserve">0.730</w:t>
            </w:r>
          </w:p>
        </w:tc>
        <w:tc>
          <w:tcPr>
            <w:tcW w:type="dxa" w:w="800"/>
            <w:tcMar>
              <w:top w:type="dxa" w:w="40"/>
              <w:left w:type="dxa" w:w="90"/>
              <w:bottom w:type="dxa" w:w="40"/>
              <w:right w:type="dxa" w:w="90"/>
            </w:tcMar>
          </w:tcPr>
          <w:p>
            <w:pPr>
              <w:spacing w:after="0" w:line="252"/>
              <w:jc w:val="center"/>
            </w:pPr>
            <w:r>
              <w:rPr>
                <w:b w:val="false"/>
                <w:bCs w:val="false"/>
                <w:color w:val="202020"/>
                <w:sz w:val="19"/>
                <w:szCs w:val="19"/>
              </w:rPr>
              <w:t xml:space="preserve">10</w:t>
            </w:r>
          </w:p>
        </w:tc>
      </w:tr>
      <w:tr>
        <w:tc>
          <w:tcPr>
            <w:tcW w:type="dxa" w:w="300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ft_transformer</w:t>
            </w:r>
          </w:p>
        </w:tc>
        <w:tc>
          <w:tcPr>
            <w:tcW w:type="dxa" w:w="136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0.730</w:t>
            </w:r>
          </w:p>
        </w:tc>
        <w:tc>
          <w:tcPr>
            <w:tcW w:type="dxa" w:w="30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tfidf_logreg</w:t>
            </w:r>
          </w:p>
        </w:tc>
        <w:tc>
          <w:tcPr>
            <w:tcW w:type="dxa" w:w="12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0.711</w:t>
            </w:r>
          </w:p>
        </w:tc>
        <w:tc>
          <w:tcPr>
            <w:tcW w:type="dxa" w:w="8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20</w:t>
            </w:r>
          </w:p>
        </w:tc>
      </w:tr>
      <w:tr>
        <w:tc>
          <w:tcPr>
            <w:tcW w:type="dxa" w:w="3000"/>
            <w:tcMar>
              <w:top w:type="dxa" w:w="40"/>
              <w:left w:type="dxa" w:w="90"/>
              <w:bottom w:type="dxa" w:w="40"/>
              <w:right w:type="dxa" w:w="90"/>
            </w:tcMar>
          </w:tcPr>
          <w:p>
            <w:pPr>
              <w:spacing w:after="0" w:line="252"/>
              <w:jc w:val="left"/>
            </w:pPr>
            <w:r>
              <w:rPr>
                <w:b w:val="false"/>
                <w:bCs w:val="false"/>
                <w:color w:val="202020"/>
                <w:sz w:val="19"/>
                <w:szCs w:val="19"/>
              </w:rPr>
              <w:t xml:space="preserve">xgboost</w:t>
            </w:r>
          </w:p>
        </w:tc>
        <w:tc>
          <w:tcPr>
            <w:tcW w:type="dxa" w:w="1360"/>
            <w:tcMar>
              <w:top w:type="dxa" w:w="40"/>
              <w:left w:type="dxa" w:w="90"/>
              <w:bottom w:type="dxa" w:w="40"/>
              <w:right w:type="dxa" w:w="90"/>
            </w:tcMar>
          </w:tcPr>
          <w:p>
            <w:pPr>
              <w:spacing w:after="0" w:line="252"/>
              <w:jc w:val="center"/>
            </w:pPr>
            <w:r>
              <w:rPr>
                <w:b w:val="false"/>
                <w:bCs w:val="false"/>
                <w:color w:val="202020"/>
                <w:sz w:val="19"/>
                <w:szCs w:val="19"/>
              </w:rPr>
              <w:t xml:space="preserve">0.687</w:t>
            </w:r>
          </w:p>
        </w:tc>
        <w:tc>
          <w:tcPr>
            <w:tcW w:type="dxa" w:w="3000"/>
            <w:tcMar>
              <w:top w:type="dxa" w:w="40"/>
              <w:left w:type="dxa" w:w="90"/>
              <w:bottom w:type="dxa" w:w="40"/>
              <w:right w:type="dxa" w:w="90"/>
            </w:tcMar>
          </w:tcPr>
          <w:p>
            <w:pPr>
              <w:spacing w:after="0" w:line="252"/>
              <w:jc w:val="center"/>
            </w:pPr>
            <w:r>
              <w:rPr>
                <w:b w:val="false"/>
                <w:bCs w:val="false"/>
                <w:color w:val="202020"/>
                <w:sz w:val="19"/>
                <w:szCs w:val="19"/>
              </w:rPr>
              <w:t xml:space="preserve">xgboost</w:t>
            </w:r>
          </w:p>
        </w:tc>
        <w:tc>
          <w:tcPr>
            <w:tcW w:type="dxa" w:w="1200"/>
            <w:tcMar>
              <w:top w:type="dxa" w:w="40"/>
              <w:left w:type="dxa" w:w="90"/>
              <w:bottom w:type="dxa" w:w="40"/>
              <w:right w:type="dxa" w:w="90"/>
            </w:tcMar>
          </w:tcPr>
          <w:p>
            <w:pPr>
              <w:spacing w:after="0" w:line="252"/>
              <w:jc w:val="center"/>
            </w:pPr>
            <w:r>
              <w:rPr>
                <w:b w:val="false"/>
                <w:bCs w:val="false"/>
                <w:color w:val="202020"/>
                <w:sz w:val="19"/>
                <w:szCs w:val="19"/>
              </w:rPr>
              <w:t xml:space="preserve">0.646</w:t>
            </w:r>
          </w:p>
        </w:tc>
        <w:tc>
          <w:tcPr>
            <w:tcW w:type="dxa" w:w="800"/>
            <w:tcMar>
              <w:top w:type="dxa" w:w="40"/>
              <w:left w:type="dxa" w:w="90"/>
              <w:bottom w:type="dxa" w:w="40"/>
              <w:right w:type="dxa" w:w="90"/>
            </w:tcMar>
          </w:tcPr>
          <w:p>
            <w:pPr>
              <w:spacing w:after="0" w:line="252"/>
              <w:jc w:val="center"/>
            </w:pPr>
            <w:r>
              <w:rPr>
                <w:b w:val="false"/>
                <w:bCs w:val="false"/>
                <w:color w:val="202020"/>
                <w:sz w:val="19"/>
                <w:szCs w:val="19"/>
              </w:rPr>
              <w:t xml:space="preserve">20</w:t>
            </w:r>
          </w:p>
        </w:tc>
      </w:tr>
      <w:tr>
        <w:tc>
          <w:tcPr>
            <w:tcW w:type="dxa" w:w="300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lightgbm</w:t>
            </w:r>
          </w:p>
        </w:tc>
        <w:tc>
          <w:tcPr>
            <w:tcW w:type="dxa" w:w="136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0.675</w:t>
            </w:r>
          </w:p>
        </w:tc>
        <w:tc>
          <w:tcPr>
            <w:tcW w:type="dxa" w:w="30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logreg_l2</w:t>
            </w:r>
          </w:p>
        </w:tc>
        <w:tc>
          <w:tcPr>
            <w:tcW w:type="dxa" w:w="12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0.640</w:t>
            </w:r>
          </w:p>
        </w:tc>
        <w:tc>
          <w:tcPr>
            <w:tcW w:type="dxa" w:w="8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20</w:t>
            </w:r>
          </w:p>
        </w:tc>
      </w:tr>
    </w:tbl>
    <w:p>
      <w:pPr>
        <w:spacing w:after="180" w:before="60"/>
      </w:pPr>
      <w:r>
        <w:rPr>
          <w:i/>
          <w:iCs/>
          <w:color w:val="5A5A5A"/>
          <w:sz w:val="17"/>
          <w:szCs w:val="17"/>
        </w:rPr>
        <w:t xml:space="preserve">Table 4. Like-for-like vs. as-published. The published leaderboard inverts the true top two; the honest headline is tfidf_logreg.</w:t>
      </w:r>
    </w:p>
    <w:p>
      <w:pPr>
        <w:spacing w:after="140" w:line="276"/>
      </w:pPr>
      <w:r>
        <w:rPr>
          <w:color w:val="202020"/>
          <w:sz w:val="22"/>
          <w:szCs w:val="22"/>
        </w:rPr>
        <w:t xml:space="preserve">The fix is to rank only over cells shared by the compared methods, and to flag partial-coverage methods explicitly rather than mixing them into one ranking.</w:t>
      </w:r>
    </w:p>
    <w:p>
      <w:pPr>
        <w:pStyle w:val="Heading2"/>
        <w:spacing w:after="100" w:before="220"/>
      </w:pPr>
      <w:r>
        <w:rPr>
          <w:b/>
          <w:bCs/>
          <w:color w:val="1F3864"/>
          <w:sz w:val="24"/>
          <w:szCs w:val="24"/>
        </w:rPr>
        <w:t xml:space="preserve">3.3 Per-task picture</w:t>
      </w:r>
    </w:p>
    <w:p>
      <w:pPr>
        <w:spacing w:after="140" w:line="276"/>
      </w:pPr>
      <w:r>
        <w:rPr>
          <w:color w:val="202020"/>
          <w:sz w:val="22"/>
          <w:szCs w:val="22"/>
        </w:rPr>
        <w:t xml:space="preserve">Read with coverage in mind, the per-task results are consistent: tfidf_logreg is the best or tied-best method on every task with complete coverage, and the deep methods look competitive only where they happen to have run.</w:t>
      </w:r>
    </w:p>
    <w:tbl>
      <w:tblPr>
        <w:tblW w:type="dxa" w:w="9360"/>
        <w:tblBorders>
          <w:top w:val="single" w:color="BFC7D6" w:sz="4"/>
          <w:left w:val="single" w:color="BFC7D6" w:sz="4"/>
          <w:bottom w:val="single" w:color="BFC7D6" w:sz="4"/>
          <w:right w:val="single" w:color="BFC7D6" w:sz="4"/>
          <w:insideH w:val="single" w:color="BFC7D6" w:sz="2"/>
          <w:insideV w:val="single" w:color="BFC7D6" w:sz="2"/>
        </w:tblBorders>
      </w:tblPr>
      <w:tblGrid>
        <w:gridCol w:w="2500"/>
        <w:gridCol w:w="3400"/>
        <w:gridCol w:w="1160"/>
        <w:gridCol w:w="2300"/>
      </w:tblGrid>
      <w:tr>
        <w:trPr>
          <w:tblHeader/>
        </w:trPr>
        <w:tc>
          <w:tcPr>
            <w:tcW w:type="dxa" w:w="2500"/>
            <w:shd w:fill="2F5496" w:color="auto" w:val="clear"/>
            <w:tcMar>
              <w:top w:type="dxa" w:w="40"/>
              <w:left w:type="dxa" w:w="90"/>
              <w:bottom w:type="dxa" w:w="40"/>
              <w:right w:type="dxa" w:w="90"/>
            </w:tcMar>
          </w:tcPr>
          <w:p>
            <w:pPr>
              <w:spacing w:after="0" w:line="252"/>
              <w:jc w:val="left"/>
            </w:pPr>
            <w:r>
              <w:rPr>
                <w:b/>
                <w:bCs/>
                <w:color w:val="FFFFFF"/>
                <w:sz w:val="19"/>
                <w:szCs w:val="19"/>
              </w:rPr>
              <w:t xml:space="preserve">Task</w:t>
            </w:r>
          </w:p>
        </w:tc>
        <w:tc>
          <w:tcPr>
            <w:tcW w:type="dxa" w:w="3400"/>
            <w:shd w:fill="2F5496" w:color="auto" w:val="clear"/>
            <w:tcMar>
              <w:top w:type="dxa" w:w="40"/>
              <w:left w:type="dxa" w:w="90"/>
              <w:bottom w:type="dxa" w:w="40"/>
              <w:right w:type="dxa" w:w="90"/>
            </w:tcMar>
          </w:tcPr>
          <w:p>
            <w:pPr>
              <w:spacing w:after="0" w:line="252"/>
              <w:jc w:val="center"/>
            </w:pPr>
            <w:r>
              <w:rPr>
                <w:b/>
                <w:bCs/>
                <w:color w:val="FFFFFF"/>
                <w:sz w:val="19"/>
                <w:szCs w:val="19"/>
              </w:rPr>
              <w:t xml:space="preserve">Best method (full-coverage view)</w:t>
            </w:r>
          </w:p>
        </w:tc>
        <w:tc>
          <w:tcPr>
            <w:tcW w:type="dxa" w:w="1160"/>
            <w:shd w:fill="2F5496" w:color="auto" w:val="clear"/>
            <w:tcMar>
              <w:top w:type="dxa" w:w="40"/>
              <w:left w:type="dxa" w:w="90"/>
              <w:bottom w:type="dxa" w:w="40"/>
              <w:right w:type="dxa" w:w="90"/>
            </w:tcMar>
          </w:tcPr>
          <w:p>
            <w:pPr>
              <w:spacing w:after="0" w:line="252"/>
              <w:jc w:val="center"/>
            </w:pPr>
            <w:r>
              <w:rPr>
                <w:b/>
                <w:bCs/>
                <w:color w:val="FFFFFF"/>
                <w:sz w:val="19"/>
                <w:szCs w:val="19"/>
              </w:rPr>
              <w:t xml:space="preserve">PR-AUC</w:t>
            </w:r>
          </w:p>
        </w:tc>
        <w:tc>
          <w:tcPr>
            <w:tcW w:type="dxa" w:w="2300"/>
            <w:shd w:fill="2F5496" w:color="auto" w:val="clear"/>
            <w:tcMar>
              <w:top w:type="dxa" w:w="40"/>
              <w:left w:type="dxa" w:w="90"/>
              <w:bottom w:type="dxa" w:w="40"/>
              <w:right w:type="dxa" w:w="90"/>
            </w:tcMar>
          </w:tcPr>
          <w:p>
            <w:pPr>
              <w:spacing w:after="0" w:line="252"/>
              <w:jc w:val="center"/>
            </w:pPr>
            <w:r>
              <w:rPr>
                <w:b/>
                <w:bCs/>
                <w:color w:val="FFFFFF"/>
                <w:sz w:val="19"/>
                <w:szCs w:val="19"/>
              </w:rPr>
              <w:t xml:space="preserve">Note</w:t>
            </w:r>
          </w:p>
        </w:tc>
      </w:tr>
      <w:tr>
        <w:tc>
          <w:tcPr>
            <w:tcW w:type="dxa" w:w="2500"/>
            <w:tcMar>
              <w:top w:type="dxa" w:w="40"/>
              <w:left w:type="dxa" w:w="90"/>
              <w:bottom w:type="dxa" w:w="40"/>
              <w:right w:type="dxa" w:w="90"/>
            </w:tcMar>
          </w:tcPr>
          <w:p>
            <w:pPr>
              <w:spacing w:after="0" w:line="252"/>
              <w:jc w:val="left"/>
            </w:pPr>
            <w:r>
              <w:rPr>
                <w:b w:val="false"/>
                <w:bCs w:val="false"/>
                <w:color w:val="202020"/>
                <w:sz w:val="19"/>
                <w:szCs w:val="19"/>
              </w:rPr>
              <w:t xml:space="preserve">patient_dropout_rate_yn</w:t>
            </w:r>
          </w:p>
        </w:tc>
        <w:tc>
          <w:tcPr>
            <w:tcW w:type="dxa" w:w="3400"/>
            <w:tcMar>
              <w:top w:type="dxa" w:w="40"/>
              <w:left w:type="dxa" w:w="90"/>
              <w:bottom w:type="dxa" w:w="40"/>
              <w:right w:type="dxa" w:w="90"/>
            </w:tcMar>
          </w:tcPr>
          <w:p>
            <w:pPr>
              <w:spacing w:after="0" w:line="252"/>
              <w:jc w:val="center"/>
            </w:pPr>
            <w:r>
              <w:rPr>
                <w:b w:val="false"/>
                <w:bCs w:val="false"/>
                <w:color w:val="202020"/>
                <w:sz w:val="19"/>
                <w:szCs w:val="19"/>
              </w:rPr>
              <w:t xml:space="preserve">tfidf_logreg</w:t>
            </w:r>
          </w:p>
        </w:tc>
        <w:tc>
          <w:tcPr>
            <w:tcW w:type="dxa" w:w="1160"/>
            <w:tcMar>
              <w:top w:type="dxa" w:w="40"/>
              <w:left w:type="dxa" w:w="90"/>
              <w:bottom w:type="dxa" w:w="40"/>
              <w:right w:type="dxa" w:w="90"/>
            </w:tcMar>
          </w:tcPr>
          <w:p>
            <w:pPr>
              <w:spacing w:after="0" w:line="252"/>
              <w:jc w:val="center"/>
            </w:pPr>
            <w:r>
              <w:rPr>
                <w:b w:val="false"/>
                <w:bCs w:val="false"/>
                <w:color w:val="202020"/>
                <w:sz w:val="19"/>
                <w:szCs w:val="19"/>
              </w:rPr>
              <w:t xml:space="preserve">0.874</w:t>
            </w:r>
          </w:p>
        </w:tc>
        <w:tc>
          <w:tcPr>
            <w:tcW w:type="dxa" w:w="2300"/>
            <w:tcMar>
              <w:top w:type="dxa" w:w="40"/>
              <w:left w:type="dxa" w:w="90"/>
              <w:bottom w:type="dxa" w:w="40"/>
              <w:right w:type="dxa" w:w="90"/>
            </w:tcMar>
          </w:tcPr>
          <w:p>
            <w:pPr>
              <w:spacing w:after="0" w:line="252"/>
              <w:jc w:val="center"/>
            </w:pPr>
            <w:r>
              <w:rPr>
                <w:b w:val="false"/>
                <w:bCs w:val="false"/>
                <w:color w:val="202020"/>
                <w:sz w:val="19"/>
                <w:szCs w:val="19"/>
              </w:rPr>
              <w:t xml:space="preserve">Deep methods absent entirely</w:t>
            </w:r>
          </w:p>
        </w:tc>
      </w:tr>
      <w:tr>
        <w:tc>
          <w:tcPr>
            <w:tcW w:type="dxa" w:w="250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mortality_rate_yn</w:t>
            </w:r>
          </w:p>
        </w:tc>
        <w:tc>
          <w:tcPr>
            <w:tcW w:type="dxa" w:w="34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tfidf_logreg</w:t>
            </w:r>
          </w:p>
        </w:tc>
        <w:tc>
          <w:tcPr>
            <w:tcW w:type="dxa" w:w="116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0.766</w:t>
            </w:r>
          </w:p>
        </w:tc>
        <w:tc>
          <w:tcPr>
            <w:tcW w:type="dxa" w:w="23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Beats ft_transformer 0.688 (partial)</w:t>
            </w:r>
          </w:p>
        </w:tc>
      </w:tr>
      <w:tr>
        <w:tc>
          <w:tcPr>
            <w:tcW w:type="dxa" w:w="2500"/>
            <w:tcMar>
              <w:top w:type="dxa" w:w="40"/>
              <w:left w:type="dxa" w:w="90"/>
              <w:bottom w:type="dxa" w:w="40"/>
              <w:right w:type="dxa" w:w="90"/>
            </w:tcMar>
          </w:tcPr>
          <w:p>
            <w:pPr>
              <w:spacing w:after="0" w:line="252"/>
              <w:jc w:val="left"/>
            </w:pPr>
            <w:r>
              <w:rPr>
                <w:b w:val="false"/>
                <w:bCs w:val="false"/>
                <w:color w:val="202020"/>
                <w:sz w:val="19"/>
                <w:szCs w:val="19"/>
              </w:rPr>
              <w:t xml:space="preserve">serious_adverse_rate_yn</w:t>
            </w:r>
          </w:p>
        </w:tc>
        <w:tc>
          <w:tcPr>
            <w:tcW w:type="dxa" w:w="3400"/>
            <w:tcMar>
              <w:top w:type="dxa" w:w="40"/>
              <w:left w:type="dxa" w:w="90"/>
              <w:bottom w:type="dxa" w:w="40"/>
              <w:right w:type="dxa" w:w="90"/>
            </w:tcMar>
          </w:tcPr>
          <w:p>
            <w:pPr>
              <w:spacing w:after="0" w:line="252"/>
              <w:jc w:val="center"/>
            </w:pPr>
            <w:r>
              <w:rPr>
                <w:b w:val="false"/>
                <w:bCs w:val="false"/>
                <w:color w:val="202020"/>
                <w:sz w:val="19"/>
                <w:szCs w:val="19"/>
              </w:rPr>
              <w:t xml:space="preserve">tfidf_logreg</w:t>
            </w:r>
          </w:p>
        </w:tc>
        <w:tc>
          <w:tcPr>
            <w:tcW w:type="dxa" w:w="1160"/>
            <w:tcMar>
              <w:top w:type="dxa" w:w="40"/>
              <w:left w:type="dxa" w:w="90"/>
              <w:bottom w:type="dxa" w:w="40"/>
              <w:right w:type="dxa" w:w="90"/>
            </w:tcMar>
          </w:tcPr>
          <w:p>
            <w:pPr>
              <w:spacing w:after="0" w:line="252"/>
              <w:jc w:val="center"/>
            </w:pPr>
            <w:r>
              <w:rPr>
                <w:b w:val="false"/>
                <w:bCs w:val="false"/>
                <w:color w:val="202020"/>
                <w:sz w:val="19"/>
                <w:szCs w:val="19"/>
              </w:rPr>
              <w:t xml:space="preserve">0.875</w:t>
            </w:r>
          </w:p>
        </w:tc>
        <w:tc>
          <w:tcPr>
            <w:tcW w:type="dxa" w:w="2300"/>
            <w:tcMar>
              <w:top w:type="dxa" w:w="40"/>
              <w:left w:type="dxa" w:w="90"/>
              <w:bottom w:type="dxa" w:w="40"/>
              <w:right w:type="dxa" w:w="90"/>
            </w:tcMar>
          </w:tcPr>
          <w:p>
            <w:pPr>
              <w:spacing w:after="0" w:line="252"/>
              <w:jc w:val="center"/>
            </w:pPr>
            <w:r>
              <w:rPr>
                <w:b w:val="false"/>
                <w:bCs w:val="false"/>
                <w:color w:val="202020"/>
                <w:sz w:val="19"/>
                <w:szCs w:val="19"/>
              </w:rPr>
              <w:t xml:space="preserve">ft 0.895 but only Phase 1–2</w:t>
            </w:r>
          </w:p>
        </w:tc>
      </w:tr>
      <w:tr>
        <w:tc>
          <w:tcPr>
            <w:tcW w:type="dxa" w:w="250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outcome</w:t>
            </w:r>
          </w:p>
        </w:tc>
        <w:tc>
          <w:tcPr>
            <w:tcW w:type="dxa" w:w="34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ft_transformer / xgboost / tfidf</w:t>
            </w:r>
          </w:p>
        </w:tc>
        <w:tc>
          <w:tcPr>
            <w:tcW w:type="dxa" w:w="116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≈0.68</w:t>
            </w:r>
          </w:p>
        </w:tc>
        <w:tc>
          <w:tcPr>
            <w:tcW w:type="dxa" w:w="23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Tight pack; ft partial</w:t>
            </w:r>
          </w:p>
        </w:tc>
      </w:tr>
      <w:tr>
        <w:tc>
          <w:tcPr>
            <w:tcW w:type="dxa" w:w="2500"/>
            <w:tcMar>
              <w:top w:type="dxa" w:w="40"/>
              <w:left w:type="dxa" w:w="90"/>
              <w:bottom w:type="dxa" w:w="40"/>
              <w:right w:type="dxa" w:w="90"/>
            </w:tcMar>
          </w:tcPr>
          <w:p>
            <w:pPr>
              <w:spacing w:after="0" w:line="252"/>
              <w:jc w:val="left"/>
            </w:pPr>
            <w:r>
              <w:rPr>
                <w:b w:val="false"/>
                <w:bCs w:val="false"/>
                <w:color w:val="202020"/>
                <w:sz w:val="19"/>
                <w:szCs w:val="19"/>
              </w:rPr>
              <w:t xml:space="preserve">failure_reason</w:t>
            </w:r>
          </w:p>
        </w:tc>
        <w:tc>
          <w:tcPr>
            <w:tcW w:type="dxa" w:w="3400"/>
            <w:tcMar>
              <w:top w:type="dxa" w:w="40"/>
              <w:left w:type="dxa" w:w="90"/>
              <w:bottom w:type="dxa" w:w="40"/>
              <w:right w:type="dxa" w:w="90"/>
            </w:tcMar>
          </w:tcPr>
          <w:p>
            <w:pPr>
              <w:spacing w:after="0" w:line="252"/>
              <w:jc w:val="center"/>
            </w:pPr>
            <w:r>
              <w:rPr>
                <w:b w:val="false"/>
                <w:bCs w:val="false"/>
                <w:color w:val="202020"/>
                <w:sz w:val="19"/>
                <w:szCs w:val="19"/>
              </w:rPr>
              <w:t xml:space="preserve">tfidf_logreg</w:t>
            </w:r>
          </w:p>
        </w:tc>
        <w:tc>
          <w:tcPr>
            <w:tcW w:type="dxa" w:w="1160"/>
            <w:tcMar>
              <w:top w:type="dxa" w:w="40"/>
              <w:left w:type="dxa" w:w="90"/>
              <w:bottom w:type="dxa" w:w="40"/>
              <w:right w:type="dxa" w:w="90"/>
            </w:tcMar>
          </w:tcPr>
          <w:p>
            <w:pPr>
              <w:spacing w:after="0" w:line="252"/>
              <w:jc w:val="center"/>
            </w:pPr>
            <w:r>
              <w:rPr>
                <w:b w:val="false"/>
                <w:bCs w:val="false"/>
                <w:color w:val="202020"/>
                <w:sz w:val="19"/>
                <w:szCs w:val="19"/>
              </w:rPr>
              <w:t xml:space="preserve">0.365</w:t>
            </w:r>
          </w:p>
        </w:tc>
        <w:tc>
          <w:tcPr>
            <w:tcW w:type="dxa" w:w="2300"/>
            <w:tcMar>
              <w:top w:type="dxa" w:w="40"/>
              <w:left w:type="dxa" w:w="90"/>
              <w:bottom w:type="dxa" w:w="40"/>
              <w:right w:type="dxa" w:w="90"/>
            </w:tcMar>
          </w:tcPr>
          <w:p>
            <w:pPr>
              <w:spacing w:after="0" w:line="252"/>
              <w:jc w:val="center"/>
            </w:pPr>
            <w:r>
              <w:rPr>
                <w:b w:val="false"/>
                <w:bCs w:val="false"/>
                <w:color w:val="202020"/>
                <w:sz w:val="19"/>
                <w:szCs w:val="19"/>
              </w:rPr>
              <w:t xml:space="preserve">Hardest task; all near 0.25–0.30 prior</w:t>
            </w:r>
          </w:p>
        </w:tc>
      </w:tr>
    </w:tbl>
    <w:p>
      <w:pPr>
        <w:spacing w:after="180" w:before="60"/>
      </w:pPr>
      <w:r>
        <w:rPr>
          <w:i/>
          <w:iCs/>
          <w:color w:val="5A5A5A"/>
          <w:sz w:val="17"/>
          <w:szCs w:val="17"/>
        </w:rPr>
        <w:t xml:space="preserve">Table 5. Best method per task, PR-AUC. tfidf_logreg leads four of five tasks and is complete on all of them.</w:t>
      </w:r>
    </w:p>
    <w:p>
      <w:pPr>
        <w:pStyle w:val="Heading2"/>
        <w:spacing w:after="100" w:before="220"/>
      </w:pPr>
      <w:r>
        <w:rPr>
          <w:b/>
          <w:bCs/>
          <w:color w:val="1F3864"/>
          <w:sz w:val="24"/>
          <w:szCs w:val="24"/>
        </w:rPr>
        <w:t xml:space="preserve">3.4 A caveat on threshold-dependent metrics</w:t>
      </w:r>
    </w:p>
    <w:p>
      <w:pPr>
        <w:spacing w:after="140" w:line="276"/>
      </w:pPr>
      <w:r>
        <w:rPr>
          <w:color w:val="202020"/>
          <w:sz w:val="22"/>
          <w:szCs w:val="22"/>
        </w:rPr>
        <w:t xml:space="preserve">The headline (PR-AUC, AUROC) is threshold-free and unaffected. But the F1 / precision / recall / specificity columns are computed at a fixed 0.5 threshold, and on these imbalanced tasks the models often never emit a score ≥ 0.5 — so they predict all-negative. 43 of 221 binary cells (19%) report F1 = precision = recall = 0 with specificity = 1.0. This contradicts the stated protocol (thresholding should use validation only) and means those columns are currently not meaningful; they should either be recomputed with a validation-tuned threshold or dropped.</w:t>
      </w:r>
    </w:p>
    <w:p>
      <w:pPr>
        <w:pStyle w:val="Heading1"/>
        <w:spacing w:after="140" w:before="320"/>
      </w:pPr>
      <w:r>
        <w:rPr>
          <w:b/>
          <w:bCs/>
          <w:color w:val="2F5496"/>
          <w:sz w:val="30"/>
          <w:szCs w:val="30"/>
        </w:rPr>
        <w:t xml:space="preserve">4. What Information Are the Models Finding?</w:t>
      </w:r>
    </w:p>
    <w:p>
      <w:pPr>
        <w:spacing w:after="140" w:line="276"/>
      </w:pPr>
      <w:r>
        <w:rPr>
          <w:color w:val="202020"/>
          <w:sz w:val="22"/>
          <w:szCs w:val="22"/>
        </w:rPr>
        <w:t xml:space="preserve">A structural gap first: nothing about what the models use was ever persisted. Every saved record is metrics-only — no coefficients, no feature importances, no stored predictions. So the analysis below was regenerated by refitting from the raw data through the repo's own leakage-safe loader and featurizer (touching nothing in results/), using permutation importance on the test set (scored by PR-AUC) for attribution and Spearman correlation of predicted P(y=1) for cross-method agreement. Scope of this first cut: two representative binary cells, outcome/Phase1 and mortality/Phase1, single seed, Tier A + tfidf.</w:t>
      </w:r>
    </w:p>
    <w:p>
      <w:pPr>
        <w:pStyle w:val="Heading2"/>
        <w:spacing w:after="100" w:before="220"/>
      </w:pPr>
      <w:r>
        <w:rPr>
          <w:b/>
          <w:bCs/>
          <w:color w:val="1F3864"/>
          <w:sz w:val="24"/>
          <w:szCs w:val="24"/>
        </w:rPr>
        <w:t xml:space="preserve">4.1 The signal is task-appropriate</w:t>
      </w:r>
    </w:p>
    <w:p>
      <w:pPr>
        <w:spacing w:after="140" w:line="276"/>
      </w:pPr>
      <w:r>
        <w:rPr>
          <w:color w:val="202020"/>
          <w:sz w:val="22"/>
          <w:szCs w:val="22"/>
        </w:rPr>
        <w:t xml:space="preserve">The tabular methods converge on a small shared core of features that shifts sensibly with the task (“consensus” = how many of the 10 tabular methods place a feature in their own top-12 by permutation importance):</w:t>
      </w:r>
    </w:p>
    <w:tbl>
      <w:tblPr>
        <w:tblW w:type="dxa" w:w="9360"/>
        <w:tblBorders>
          <w:top w:val="single" w:color="BFC7D6" w:sz="4"/>
          <w:left w:val="single" w:color="BFC7D6" w:sz="4"/>
          <w:bottom w:val="single" w:color="BFC7D6" w:sz="4"/>
          <w:right w:val="single" w:color="BFC7D6" w:sz="4"/>
          <w:insideH w:val="single" w:color="BFC7D6" w:sz="2"/>
          <w:insideV w:val="single" w:color="BFC7D6" w:sz="2"/>
        </w:tblBorders>
      </w:tblPr>
      <w:tblGrid>
        <w:gridCol w:w="3200"/>
        <w:gridCol w:w="1480"/>
        <w:gridCol w:w="3200"/>
        <w:gridCol w:w="1480"/>
      </w:tblGrid>
      <w:tr>
        <w:trPr>
          <w:tblHeader/>
        </w:trPr>
        <w:tc>
          <w:tcPr>
            <w:tcW w:type="dxa" w:w="3200"/>
            <w:shd w:fill="2F5496" w:color="auto" w:val="clear"/>
            <w:tcMar>
              <w:top w:type="dxa" w:w="40"/>
              <w:left w:type="dxa" w:w="90"/>
              <w:bottom w:type="dxa" w:w="40"/>
              <w:right w:type="dxa" w:w="90"/>
            </w:tcMar>
          </w:tcPr>
          <w:p>
            <w:pPr>
              <w:spacing w:after="0" w:line="252"/>
              <w:jc w:val="left"/>
            </w:pPr>
            <w:r>
              <w:rPr>
                <w:b/>
                <w:bCs/>
                <w:color w:val="FFFFFF"/>
                <w:sz w:val="19"/>
                <w:szCs w:val="19"/>
              </w:rPr>
              <w:t xml:space="preserve">Trial approval (outcome/P1)</w:t>
            </w:r>
          </w:p>
        </w:tc>
        <w:tc>
          <w:tcPr>
            <w:tcW w:type="dxa" w:w="1480"/>
            <w:shd w:fill="2F5496" w:color="auto" w:val="clear"/>
            <w:tcMar>
              <w:top w:type="dxa" w:w="40"/>
              <w:left w:type="dxa" w:w="90"/>
              <w:bottom w:type="dxa" w:w="40"/>
              <w:right w:type="dxa" w:w="90"/>
            </w:tcMar>
          </w:tcPr>
          <w:p>
            <w:pPr>
              <w:spacing w:after="0" w:line="252"/>
              <w:jc w:val="center"/>
            </w:pPr>
            <w:r>
              <w:rPr>
                <w:b/>
                <w:bCs/>
                <w:color w:val="FFFFFF"/>
                <w:sz w:val="19"/>
                <w:szCs w:val="19"/>
              </w:rPr>
              <w:t xml:space="preserve">Consensus</w:t>
            </w:r>
          </w:p>
        </w:tc>
        <w:tc>
          <w:tcPr>
            <w:tcW w:type="dxa" w:w="3200"/>
            <w:shd w:fill="2F5496" w:color="auto" w:val="clear"/>
            <w:tcMar>
              <w:top w:type="dxa" w:w="40"/>
              <w:left w:type="dxa" w:w="90"/>
              <w:bottom w:type="dxa" w:w="40"/>
              <w:right w:type="dxa" w:w="90"/>
            </w:tcMar>
          </w:tcPr>
          <w:p>
            <w:pPr>
              <w:spacing w:after="0" w:line="252"/>
              <w:jc w:val="center"/>
            </w:pPr>
            <w:r>
              <w:rPr>
                <w:b/>
                <w:bCs/>
                <w:color w:val="FFFFFF"/>
                <w:sz w:val="19"/>
                <w:szCs w:val="19"/>
              </w:rPr>
              <w:t xml:space="preserve">Mortality (mortality/P1)</w:t>
            </w:r>
          </w:p>
        </w:tc>
        <w:tc>
          <w:tcPr>
            <w:tcW w:type="dxa" w:w="1480"/>
            <w:shd w:fill="2F5496" w:color="auto" w:val="clear"/>
            <w:tcMar>
              <w:top w:type="dxa" w:w="40"/>
              <w:left w:type="dxa" w:w="90"/>
              <w:bottom w:type="dxa" w:w="40"/>
              <w:right w:type="dxa" w:w="90"/>
            </w:tcMar>
          </w:tcPr>
          <w:p>
            <w:pPr>
              <w:spacing w:after="0" w:line="252"/>
              <w:jc w:val="center"/>
            </w:pPr>
            <w:r>
              <w:rPr>
                <w:b/>
                <w:bCs/>
                <w:color w:val="FFFFFF"/>
                <w:sz w:val="19"/>
                <w:szCs w:val="19"/>
              </w:rPr>
              <w:t xml:space="preserve">Consensus</w:t>
            </w:r>
          </w:p>
        </w:tc>
      </w:tr>
      <w:tr>
        <w:tc>
          <w:tcPr>
            <w:tcW w:type="dxa" w:w="3200"/>
            <w:tcMar>
              <w:top w:type="dxa" w:w="40"/>
              <w:left w:type="dxa" w:w="90"/>
              <w:bottom w:type="dxa" w:w="40"/>
              <w:right w:type="dxa" w:w="90"/>
            </w:tcMar>
          </w:tcPr>
          <w:p>
            <w:pPr>
              <w:spacing w:after="0" w:line="252"/>
              <w:jc w:val="left"/>
            </w:pPr>
            <w:r>
              <w:rPr>
                <w:b w:val="false"/>
                <w:bCs w:val="false"/>
                <w:color w:val="202020"/>
                <w:sz w:val="19"/>
                <w:szCs w:val="19"/>
              </w:rPr>
              <w:t xml:space="preserve">primary_purpose (target-enc.)</w:t>
            </w:r>
          </w:p>
        </w:tc>
        <w:tc>
          <w:tcPr>
            <w:tcW w:type="dxa" w:w="1480"/>
            <w:tcMar>
              <w:top w:type="dxa" w:w="40"/>
              <w:left w:type="dxa" w:w="90"/>
              <w:bottom w:type="dxa" w:w="40"/>
              <w:right w:type="dxa" w:w="90"/>
            </w:tcMar>
          </w:tcPr>
          <w:p>
            <w:pPr>
              <w:spacing w:after="0" w:line="252"/>
              <w:jc w:val="center"/>
            </w:pPr>
            <w:r>
              <w:rPr>
                <w:b w:val="false"/>
                <w:bCs w:val="false"/>
                <w:color w:val="202020"/>
                <w:sz w:val="19"/>
                <w:szCs w:val="19"/>
              </w:rPr>
              <w:t xml:space="preserve">10 / 10</w:t>
            </w:r>
          </w:p>
        </w:tc>
        <w:tc>
          <w:tcPr>
            <w:tcW w:type="dxa" w:w="3200"/>
            <w:tcMar>
              <w:top w:type="dxa" w:w="40"/>
              <w:left w:type="dxa" w:w="90"/>
              <w:bottom w:type="dxa" w:w="40"/>
              <w:right w:type="dxa" w:w="90"/>
            </w:tcMar>
          </w:tcPr>
          <w:p>
            <w:pPr>
              <w:spacing w:after="0" w:line="252"/>
              <w:jc w:val="center"/>
            </w:pPr>
            <w:r>
              <w:rPr>
                <w:b w:val="false"/>
                <w:bCs w:val="false"/>
                <w:color w:val="202020"/>
                <w:sz w:val="19"/>
                <w:szCs w:val="19"/>
              </w:rPr>
              <w:t xml:space="preserve">maximum_age (target-enc.)</w:t>
            </w:r>
          </w:p>
        </w:tc>
        <w:tc>
          <w:tcPr>
            <w:tcW w:type="dxa" w:w="1480"/>
            <w:tcMar>
              <w:top w:type="dxa" w:w="40"/>
              <w:left w:type="dxa" w:w="90"/>
              <w:bottom w:type="dxa" w:w="40"/>
              <w:right w:type="dxa" w:w="90"/>
            </w:tcMar>
          </w:tcPr>
          <w:p>
            <w:pPr>
              <w:spacing w:after="0" w:line="252"/>
              <w:jc w:val="center"/>
            </w:pPr>
            <w:r>
              <w:rPr>
                <w:b w:val="false"/>
                <w:bCs w:val="false"/>
                <w:color w:val="202020"/>
                <w:sz w:val="19"/>
                <w:szCs w:val="19"/>
              </w:rPr>
              <w:t xml:space="preserve">10 / 10</w:t>
            </w:r>
          </w:p>
        </w:tc>
      </w:tr>
      <w:tr>
        <w:tc>
          <w:tcPr>
            <w:tcW w:type="dxa" w:w="320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enrollment (trial size)</w:t>
            </w:r>
          </w:p>
        </w:tc>
        <w:tc>
          <w:tcPr>
            <w:tcW w:type="dxa" w:w="148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9 / 10</w:t>
            </w:r>
          </w:p>
        </w:tc>
        <w:tc>
          <w:tcPr>
            <w:tcW w:type="dxa" w:w="32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facility city (target-enc.)</w:t>
            </w:r>
          </w:p>
        </w:tc>
        <w:tc>
          <w:tcPr>
            <w:tcW w:type="dxa" w:w="148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9 / 10</w:t>
            </w:r>
          </w:p>
        </w:tc>
      </w:tr>
      <w:tr>
        <w:tc>
          <w:tcPr>
            <w:tcW w:type="dxa" w:w="3200"/>
            <w:tcMar>
              <w:top w:type="dxa" w:w="40"/>
              <w:left w:type="dxa" w:w="90"/>
              <w:bottom w:type="dxa" w:w="40"/>
              <w:right w:type="dxa" w:w="90"/>
            </w:tcMar>
          </w:tcPr>
          <w:p>
            <w:pPr>
              <w:spacing w:after="0" w:line="252"/>
              <w:jc w:val="left"/>
            </w:pPr>
            <w:r>
              <w:rPr>
                <w:b w:val="false"/>
                <w:bCs w:val="false"/>
                <w:color w:val="202020"/>
                <w:sz w:val="19"/>
                <w:szCs w:val="19"/>
              </w:rPr>
              <w:t xml:space="preserve">facility city (target-enc.)</w:t>
            </w:r>
          </w:p>
        </w:tc>
        <w:tc>
          <w:tcPr>
            <w:tcW w:type="dxa" w:w="1480"/>
            <w:tcMar>
              <w:top w:type="dxa" w:w="40"/>
              <w:left w:type="dxa" w:w="90"/>
              <w:bottom w:type="dxa" w:w="40"/>
              <w:right w:type="dxa" w:w="90"/>
            </w:tcMar>
          </w:tcPr>
          <w:p>
            <w:pPr>
              <w:spacing w:after="0" w:line="252"/>
              <w:jc w:val="center"/>
            </w:pPr>
            <w:r>
              <w:rPr>
                <w:b w:val="false"/>
                <w:bCs w:val="false"/>
                <w:color w:val="202020"/>
                <w:sz w:val="19"/>
                <w:szCs w:val="19"/>
              </w:rPr>
              <w:t xml:space="preserve">9 / 10</w:t>
            </w:r>
          </w:p>
        </w:tc>
        <w:tc>
          <w:tcPr>
            <w:tcW w:type="dxa" w:w="3200"/>
            <w:tcMar>
              <w:top w:type="dxa" w:w="40"/>
              <w:left w:type="dxa" w:w="90"/>
              <w:bottom w:type="dxa" w:w="40"/>
              <w:right w:type="dxa" w:w="90"/>
            </w:tcMar>
          </w:tcPr>
          <w:p>
            <w:pPr>
              <w:spacing w:after="0" w:line="252"/>
              <w:jc w:val="center"/>
            </w:pPr>
            <w:r>
              <w:rPr>
                <w:b w:val="false"/>
                <w:bCs w:val="false"/>
                <w:color w:val="202020"/>
                <w:sz w:val="19"/>
                <w:szCs w:val="19"/>
              </w:rPr>
              <w:t xml:space="preserve">healthy_volunteers</w:t>
            </w:r>
          </w:p>
        </w:tc>
        <w:tc>
          <w:tcPr>
            <w:tcW w:type="dxa" w:w="1480"/>
            <w:tcMar>
              <w:top w:type="dxa" w:w="40"/>
              <w:left w:type="dxa" w:w="90"/>
              <w:bottom w:type="dxa" w:w="40"/>
              <w:right w:type="dxa" w:w="90"/>
            </w:tcMar>
          </w:tcPr>
          <w:p>
            <w:pPr>
              <w:spacing w:after="0" w:line="252"/>
              <w:jc w:val="center"/>
            </w:pPr>
            <w:r>
              <w:rPr>
                <w:b w:val="false"/>
                <w:bCs w:val="false"/>
                <w:color w:val="202020"/>
                <w:sz w:val="19"/>
                <w:szCs w:val="19"/>
              </w:rPr>
              <w:t xml:space="preserve">7 / 10</w:t>
            </w:r>
          </w:p>
        </w:tc>
      </w:tr>
      <w:tr>
        <w:tc>
          <w:tcPr>
            <w:tcW w:type="dxa" w:w="320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intervention_model (target-enc.)</w:t>
            </w:r>
          </w:p>
        </w:tc>
        <w:tc>
          <w:tcPr>
            <w:tcW w:type="dxa" w:w="148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9 / 10</w:t>
            </w:r>
          </w:p>
        </w:tc>
        <w:tc>
          <w:tcPr>
            <w:tcW w:type="dxa" w:w="32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primary_purpose</w:t>
            </w:r>
          </w:p>
        </w:tc>
        <w:tc>
          <w:tcPr>
            <w:tcW w:type="dxa" w:w="148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7 / 10</w:t>
            </w:r>
          </w:p>
        </w:tc>
      </w:tr>
      <w:tr>
        <w:tc>
          <w:tcPr>
            <w:tcW w:type="dxa" w:w="3200"/>
            <w:tcMar>
              <w:top w:type="dxa" w:w="40"/>
              <w:left w:type="dxa" w:w="90"/>
              <w:bottom w:type="dxa" w:w="40"/>
              <w:right w:type="dxa" w:w="90"/>
            </w:tcMar>
          </w:tcPr>
          <w:p>
            <w:pPr>
              <w:spacing w:after="0" w:line="252"/>
              <w:jc w:val="left"/>
            </w:pPr>
            <w:r>
              <w:rPr>
                <w:b w:val="false"/>
                <w:bCs w:val="false"/>
                <w:color w:val="202020"/>
                <w:sz w:val="19"/>
                <w:szCs w:val="19"/>
              </w:rPr>
              <w:t xml:space="preserve">sponsor agency_class</w:t>
            </w:r>
          </w:p>
        </w:tc>
        <w:tc>
          <w:tcPr>
            <w:tcW w:type="dxa" w:w="1480"/>
            <w:tcMar>
              <w:top w:type="dxa" w:w="40"/>
              <w:left w:type="dxa" w:w="90"/>
              <w:bottom w:type="dxa" w:w="40"/>
              <w:right w:type="dxa" w:w="90"/>
            </w:tcMar>
          </w:tcPr>
          <w:p>
            <w:pPr>
              <w:spacing w:after="0" w:line="252"/>
              <w:jc w:val="center"/>
            </w:pPr>
            <w:r>
              <w:rPr>
                <w:b w:val="false"/>
                <w:bCs w:val="false"/>
                <w:color w:val="202020"/>
                <w:sz w:val="19"/>
                <w:szCs w:val="19"/>
              </w:rPr>
              <w:t xml:space="preserve">8 / 10</w:t>
            </w:r>
          </w:p>
        </w:tc>
        <w:tc>
          <w:tcPr>
            <w:tcW w:type="dxa" w:w="3200"/>
            <w:tcMar>
              <w:top w:type="dxa" w:w="40"/>
              <w:left w:type="dxa" w:w="90"/>
              <w:bottom w:type="dxa" w:w="40"/>
              <w:right w:type="dxa" w:w="90"/>
            </w:tcMar>
          </w:tcPr>
          <w:p>
            <w:pPr>
              <w:spacing w:after="0" w:line="252"/>
              <w:jc w:val="center"/>
            </w:pPr>
            <w:r>
              <w:rPr>
                <w:b w:val="false"/>
                <w:bCs w:val="false"/>
                <w:color w:val="202020"/>
                <w:sz w:val="19"/>
                <w:szCs w:val="19"/>
              </w:rPr>
              <w:t xml:space="preserve">enrollment, intervention counts, …</w:t>
            </w:r>
          </w:p>
        </w:tc>
        <w:tc>
          <w:tcPr>
            <w:tcW w:type="dxa" w:w="1480"/>
            <w:tcMar>
              <w:top w:type="dxa" w:w="40"/>
              <w:left w:type="dxa" w:w="90"/>
              <w:bottom w:type="dxa" w:w="40"/>
              <w:right w:type="dxa" w:w="90"/>
            </w:tcMar>
          </w:tcPr>
          <w:p>
            <w:pPr>
              <w:spacing w:after="0" w:line="252"/>
              <w:jc w:val="center"/>
            </w:pPr>
            <w:r>
              <w:rPr>
                <w:b w:val="false"/>
                <w:bCs w:val="false"/>
                <w:color w:val="202020"/>
                <w:sz w:val="19"/>
                <w:szCs w:val="19"/>
              </w:rPr>
              <w:t xml:space="preserve">6 / 10</w:t>
            </w:r>
          </w:p>
        </w:tc>
      </w:tr>
    </w:tbl>
    <w:p>
      <w:pPr>
        <w:spacing w:after="180" w:before="60"/>
      </w:pPr>
      <w:r>
        <w:rPr>
          <w:i/>
          <w:iCs/>
          <w:color w:val="5A5A5A"/>
          <w:sz w:val="17"/>
          <w:szCs w:val="17"/>
        </w:rPr>
        <w:t xml:space="preserve">Table 6. Consensus top features. Approval keys on scale/design/sponsor; mortality keys on age and healthy-volunteer status — clinically plausible and clearly different cores.</w:t>
      </w:r>
    </w:p>
    <w:p>
      <w:pPr>
        <w:spacing w:after="140" w:line="276"/>
      </w:pPr>
      <w:r>
        <w:rPr>
          <w:color w:val="202020"/>
          <w:sz w:val="22"/>
          <w:szCs w:val="22"/>
        </w:rPr>
        <w:t xml:space="preserve">One feature deserves scrutiny: the target-encoded facility city is highly important in both tasks. For a high-cardinality target-encoded field, that smells like an encoding artifact (or leakage) rather than a real causal signal, and warrants a dedicated check.</w:t>
      </w:r>
    </w:p>
    <w:p>
      <w:pPr>
        <w:pStyle w:val="Heading2"/>
        <w:spacing w:after="100" w:before="220"/>
      </w:pPr>
      <w:r>
        <w:rPr>
          <w:b/>
          <w:bCs/>
          <w:color w:val="1F3864"/>
          <w:sz w:val="24"/>
          <w:szCs w:val="24"/>
        </w:rPr>
        <w:t xml:space="preserve">4.2 The tabular methods are largely redundant with one another</w:t>
      </w:r>
    </w:p>
    <w:p>
      <w:pPr>
        <w:spacing w:after="140" w:line="276"/>
      </w:pPr>
      <w:r>
        <w:rPr>
          <w:color w:val="202020"/>
          <w:sz w:val="22"/>
          <w:szCs w:val="22"/>
        </w:rPr>
        <w:t xml:space="preserve">At the very top of the importance ranking the methods agree strongly, but the fuller ranking diverges (mean pairwise Spearman of importance vectors is only 0.26 on approval, 0.22 on mortality). At the prediction level the picture is clearer: the gradient-boosted trees rank the same trials high (score correlations of 0.7–0.9 on approval). They are mostly finding the same signal. Where a method correlates weakly with everything — logreg_l1 and svm_linear on approval, catboost on mortality — that is degeneracy, not insight: those methods' PR-AUC collapses to roughly the base rate. Low correlation there signals failure, not a unique source of information.</w:t>
      </w:r>
    </w:p>
    <w:p>
      <w:pPr>
        <w:pStyle w:val="Heading2"/>
        <w:spacing w:after="100" w:before="220"/>
      </w:pPr>
      <w:r>
        <w:rPr>
          <w:b/>
          <w:bCs/>
          <w:color w:val="1F3864"/>
          <w:sz w:val="24"/>
          <w:szCs w:val="24"/>
        </w:rPr>
        <w:t xml:space="preserve">4.3 Text is a distinct, additive source</w:t>
      </w:r>
    </w:p>
    <w:p>
      <w:pPr>
        <w:spacing w:after="140" w:line="276"/>
      </w:pPr>
      <w:r>
        <w:rPr>
          <w:color w:val="202020"/>
          <w:sz w:val="22"/>
          <w:szCs w:val="22"/>
        </w:rPr>
        <w:t xml:space="preserve">tfidf_logreg works on a feature space completely disjoint from the tabular columns, yet is competitive on approval (0.658) and the single best method on mortality (0.856). It is meaningfully decorrelated from the tabular pack, and — the decisive test — fusing it with a tabular consensus (blend weight tuned on validation, scored on test) beats the best single source on both cells:</w:t>
      </w:r>
    </w:p>
    <w:tbl>
      <w:tblPr>
        <w:tblW w:type="dxa" w:w="9360"/>
        <w:tblBorders>
          <w:top w:val="single" w:color="BFC7D6" w:sz="4"/>
          <w:left w:val="single" w:color="BFC7D6" w:sz="4"/>
          <w:bottom w:val="single" w:color="BFC7D6" w:sz="4"/>
          <w:right w:val="single" w:color="BFC7D6" w:sz="4"/>
          <w:insideH w:val="single" w:color="BFC7D6" w:sz="2"/>
          <w:insideV w:val="single" w:color="BFC7D6" w:sz="2"/>
        </w:tblBorders>
      </w:tblPr>
      <w:tblGrid>
        <w:gridCol w:w="1700"/>
        <w:gridCol w:w="2100"/>
        <w:gridCol w:w="1500"/>
        <w:gridCol w:w="2860"/>
        <w:gridCol w:w="1200"/>
      </w:tblGrid>
      <w:tr>
        <w:trPr>
          <w:tblHeader/>
        </w:trPr>
        <w:tc>
          <w:tcPr>
            <w:tcW w:type="dxa" w:w="1700"/>
            <w:shd w:fill="2F5496" w:color="auto" w:val="clear"/>
            <w:tcMar>
              <w:top w:type="dxa" w:w="40"/>
              <w:left w:type="dxa" w:w="90"/>
              <w:bottom w:type="dxa" w:w="40"/>
              <w:right w:type="dxa" w:w="90"/>
            </w:tcMar>
          </w:tcPr>
          <w:p>
            <w:pPr>
              <w:spacing w:after="0" w:line="252"/>
              <w:jc w:val="left"/>
            </w:pPr>
            <w:r>
              <w:rPr>
                <w:b/>
                <w:bCs/>
                <w:color w:val="FFFFFF"/>
                <w:sz w:val="19"/>
                <w:szCs w:val="19"/>
              </w:rPr>
              <w:t xml:space="preserve">Cell</w:t>
            </w:r>
          </w:p>
        </w:tc>
        <w:tc>
          <w:tcPr>
            <w:tcW w:type="dxa" w:w="2100"/>
            <w:shd w:fill="2F5496" w:color="auto" w:val="clear"/>
            <w:tcMar>
              <w:top w:type="dxa" w:w="40"/>
              <w:left w:type="dxa" w:w="90"/>
              <w:bottom w:type="dxa" w:w="40"/>
              <w:right w:type="dxa" w:w="90"/>
            </w:tcMar>
          </w:tcPr>
          <w:p>
            <w:pPr>
              <w:spacing w:after="0" w:line="252"/>
              <w:jc w:val="center"/>
            </w:pPr>
            <w:r>
              <w:rPr>
                <w:b/>
                <w:bCs/>
                <w:color w:val="FFFFFF"/>
                <w:sz w:val="19"/>
                <w:szCs w:val="19"/>
              </w:rPr>
              <w:t xml:space="preserve">Best single tabular</w:t>
            </w:r>
          </w:p>
        </w:tc>
        <w:tc>
          <w:tcPr>
            <w:tcW w:type="dxa" w:w="1500"/>
            <w:shd w:fill="2F5496" w:color="auto" w:val="clear"/>
            <w:tcMar>
              <w:top w:type="dxa" w:w="40"/>
              <w:left w:type="dxa" w:w="90"/>
              <w:bottom w:type="dxa" w:w="40"/>
              <w:right w:type="dxa" w:w="90"/>
            </w:tcMar>
          </w:tcPr>
          <w:p>
            <w:pPr>
              <w:spacing w:after="0" w:line="252"/>
              <w:jc w:val="center"/>
            </w:pPr>
            <w:r>
              <w:rPr>
                <w:b/>
                <w:bCs/>
                <w:color w:val="FFFFFF"/>
                <w:sz w:val="19"/>
                <w:szCs w:val="19"/>
              </w:rPr>
              <w:t xml:space="preserve">Text (tfidf)</w:t>
            </w:r>
          </w:p>
        </w:tc>
        <w:tc>
          <w:tcPr>
            <w:tcW w:type="dxa" w:w="2860"/>
            <w:shd w:fill="2F5496" w:color="auto" w:val="clear"/>
            <w:tcMar>
              <w:top w:type="dxa" w:w="40"/>
              <w:left w:type="dxa" w:w="90"/>
              <w:bottom w:type="dxa" w:w="40"/>
              <w:right w:type="dxa" w:w="90"/>
            </w:tcMar>
          </w:tcPr>
          <w:p>
            <w:pPr>
              <w:spacing w:after="0" w:line="252"/>
              <w:jc w:val="center"/>
            </w:pPr>
            <w:r>
              <w:rPr>
                <w:b/>
                <w:bCs/>
                <w:color w:val="FFFFFF"/>
                <w:sz w:val="19"/>
                <w:szCs w:val="19"/>
              </w:rPr>
              <w:t xml:space="preserve">Tabular + text blend</w:t>
            </w:r>
          </w:p>
        </w:tc>
        <w:tc>
          <w:tcPr>
            <w:tcW w:type="dxa" w:w="1200"/>
            <w:shd w:fill="2F5496" w:color="auto" w:val="clear"/>
            <w:tcMar>
              <w:top w:type="dxa" w:w="40"/>
              <w:left w:type="dxa" w:w="90"/>
              <w:bottom w:type="dxa" w:w="40"/>
              <w:right w:type="dxa" w:w="90"/>
            </w:tcMar>
          </w:tcPr>
          <w:p>
            <w:pPr>
              <w:spacing w:after="0" w:line="252"/>
              <w:jc w:val="center"/>
            </w:pPr>
            <w:r>
              <w:rPr>
                <w:b/>
                <w:bCs/>
                <w:color w:val="FFFFFF"/>
                <w:sz w:val="19"/>
                <w:szCs w:val="19"/>
              </w:rPr>
              <w:t xml:space="preserve">Lift</w:t>
            </w:r>
          </w:p>
        </w:tc>
      </w:tr>
      <w:tr>
        <w:tc>
          <w:tcPr>
            <w:tcW w:type="dxa" w:w="1700"/>
            <w:tcMar>
              <w:top w:type="dxa" w:w="40"/>
              <w:left w:type="dxa" w:w="90"/>
              <w:bottom w:type="dxa" w:w="40"/>
              <w:right w:type="dxa" w:w="90"/>
            </w:tcMar>
          </w:tcPr>
          <w:p>
            <w:pPr>
              <w:spacing w:after="0" w:line="252"/>
              <w:jc w:val="left"/>
            </w:pPr>
            <w:r>
              <w:rPr>
                <w:b w:val="false"/>
                <w:bCs w:val="false"/>
                <w:color w:val="202020"/>
                <w:sz w:val="19"/>
                <w:szCs w:val="19"/>
              </w:rPr>
              <w:t xml:space="preserve">approval / P1</w:t>
            </w:r>
          </w:p>
        </w:tc>
        <w:tc>
          <w:tcPr>
            <w:tcW w:type="dxa" w:w="2100"/>
            <w:tcMar>
              <w:top w:type="dxa" w:w="40"/>
              <w:left w:type="dxa" w:w="90"/>
              <w:bottom w:type="dxa" w:w="40"/>
              <w:right w:type="dxa" w:w="90"/>
            </w:tcMar>
          </w:tcPr>
          <w:p>
            <w:pPr>
              <w:spacing w:after="0" w:line="252"/>
              <w:jc w:val="center"/>
            </w:pPr>
            <w:r>
              <w:rPr>
                <w:b w:val="false"/>
                <w:bCs w:val="false"/>
                <w:color w:val="202020"/>
                <w:sz w:val="19"/>
                <w:szCs w:val="19"/>
              </w:rPr>
              <w:t xml:space="preserve">0.706</w:t>
            </w:r>
          </w:p>
        </w:tc>
        <w:tc>
          <w:tcPr>
            <w:tcW w:type="dxa" w:w="1500"/>
            <w:tcMar>
              <w:top w:type="dxa" w:w="40"/>
              <w:left w:type="dxa" w:w="90"/>
              <w:bottom w:type="dxa" w:w="40"/>
              <w:right w:type="dxa" w:w="90"/>
            </w:tcMar>
          </w:tcPr>
          <w:p>
            <w:pPr>
              <w:spacing w:after="0" w:line="252"/>
              <w:jc w:val="center"/>
            </w:pPr>
            <w:r>
              <w:rPr>
                <w:b w:val="false"/>
                <w:bCs w:val="false"/>
                <w:color w:val="202020"/>
                <w:sz w:val="19"/>
                <w:szCs w:val="19"/>
              </w:rPr>
              <w:t xml:space="preserve">0.659</w:t>
            </w:r>
          </w:p>
        </w:tc>
        <w:tc>
          <w:tcPr>
            <w:tcW w:type="dxa" w:w="2860"/>
            <w:tcMar>
              <w:top w:type="dxa" w:w="40"/>
              <w:left w:type="dxa" w:w="90"/>
              <w:bottom w:type="dxa" w:w="40"/>
              <w:right w:type="dxa" w:w="90"/>
            </w:tcMar>
          </w:tcPr>
          <w:p>
            <w:pPr>
              <w:spacing w:after="0" w:line="252"/>
              <w:jc w:val="center"/>
            </w:pPr>
            <w:r>
              <w:rPr>
                <w:b/>
                <w:bCs/>
                <w:color w:val="202020"/>
                <w:sz w:val="19"/>
                <w:szCs w:val="19"/>
              </w:rPr>
              <w:t xml:space="preserve">0.736  (0.70 tab / 0.30 text)</w:t>
            </w:r>
          </w:p>
        </w:tc>
        <w:tc>
          <w:tcPr>
            <w:tcW w:type="dxa" w:w="1200"/>
            <w:tcMar>
              <w:top w:type="dxa" w:w="40"/>
              <w:left w:type="dxa" w:w="90"/>
              <w:bottom w:type="dxa" w:w="40"/>
              <w:right w:type="dxa" w:w="90"/>
            </w:tcMar>
          </w:tcPr>
          <w:p>
            <w:pPr>
              <w:spacing w:after="0" w:line="252"/>
              <w:jc w:val="center"/>
            </w:pPr>
            <w:r>
              <w:rPr>
                <w:b/>
                <w:bCs/>
                <w:color w:val="202020"/>
                <w:sz w:val="19"/>
                <w:szCs w:val="19"/>
              </w:rPr>
              <w:t xml:space="preserve">+0.053</w:t>
            </w:r>
          </w:p>
        </w:tc>
      </w:tr>
      <w:tr>
        <w:tc>
          <w:tcPr>
            <w:tcW w:type="dxa" w:w="170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mortality / P1</w:t>
            </w:r>
          </w:p>
        </w:tc>
        <w:tc>
          <w:tcPr>
            <w:tcW w:type="dxa" w:w="21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0.817</w:t>
            </w:r>
          </w:p>
        </w:tc>
        <w:tc>
          <w:tcPr>
            <w:tcW w:type="dxa" w:w="15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0.856</w:t>
            </w:r>
          </w:p>
        </w:tc>
        <w:tc>
          <w:tcPr>
            <w:tcW w:type="dxa" w:w="2860"/>
            <w:shd w:fill="EEF2F8" w:color="auto" w:val="clear"/>
            <w:tcMar>
              <w:top w:type="dxa" w:w="40"/>
              <w:left w:type="dxa" w:w="90"/>
              <w:bottom w:type="dxa" w:w="40"/>
              <w:right w:type="dxa" w:w="90"/>
            </w:tcMar>
          </w:tcPr>
          <w:p>
            <w:pPr>
              <w:spacing w:after="0" w:line="252"/>
              <w:jc w:val="center"/>
            </w:pPr>
            <w:r>
              <w:rPr>
                <w:b/>
                <w:bCs/>
                <w:color w:val="202020"/>
                <w:sz w:val="19"/>
                <w:szCs w:val="19"/>
              </w:rPr>
              <w:t xml:space="preserve">0.874  (0.25 tab / 0.75 text)</w:t>
            </w:r>
          </w:p>
        </w:tc>
        <w:tc>
          <w:tcPr>
            <w:tcW w:type="dxa" w:w="1200"/>
            <w:shd w:fill="EEF2F8" w:color="auto" w:val="clear"/>
            <w:tcMar>
              <w:top w:type="dxa" w:w="40"/>
              <w:left w:type="dxa" w:w="90"/>
              <w:bottom w:type="dxa" w:w="40"/>
              <w:right w:type="dxa" w:w="90"/>
            </w:tcMar>
          </w:tcPr>
          <w:p>
            <w:pPr>
              <w:spacing w:after="0" w:line="252"/>
              <w:jc w:val="center"/>
            </w:pPr>
            <w:r>
              <w:rPr>
                <w:b/>
                <w:bCs/>
                <w:color w:val="202020"/>
                <w:sz w:val="19"/>
                <w:szCs w:val="19"/>
              </w:rPr>
              <w:t xml:space="preserve">+0.018</w:t>
            </w:r>
          </w:p>
        </w:tc>
      </w:tr>
    </w:tbl>
    <w:p>
      <w:pPr>
        <w:spacing w:after="180" w:before="60"/>
      </w:pPr>
      <w:r>
        <w:rPr>
          <w:i/>
          <w:iCs/>
          <w:color w:val="5A5A5A"/>
          <w:sz w:val="17"/>
          <w:szCs w:val="17"/>
        </w:rPr>
        <w:t xml:space="preserve">Table 7. Fusion beats the best single source in both cells, and the optimal mix flips by task — direct evidence that text and tabular carry complementary information.</w:t>
      </w:r>
    </w:p>
    <w:p>
      <w:pPr>
        <w:spacing w:after="140" w:line="276"/>
      </w:pPr>
      <w:r>
        <w:rPr>
          <w:color w:val="202020"/>
          <w:sz w:val="22"/>
          <w:szCs w:val="22"/>
        </w:rPr>
        <w:t xml:space="preserve">In words, the text model encodes therapeutic area, disease severity, and trial modality. Its strongest terms toward mortality are oncology language (tumor, solid, advanced, metastatic, chemotherapy); its strongest terms away from mortality are healthy-volunteer pharmacokinetic boilerplate (healthy, screening, single dose, BMI). That is information the tabular view largely lacks, because the featurizer excludes the free-text, SMILES, ICD, and MeSH columns. The deep-tabular methods (ft_transformer, tabnet) draw from the same tabular pool as the classical models and could not be probed here — torch would not install in the analysis sandbox — but structurally they cannot see the text tokens, so they are very unlikely to be orthogonal to the tabular pack.</w:t>
      </w:r>
    </w:p>
    <w:p>
      <w:pPr>
        <w:pStyle w:val="Heading1"/>
        <w:spacing w:after="140" w:before="320"/>
      </w:pPr>
      <w:r>
        <w:rPr>
          <w:b/>
          <w:bCs/>
          <w:color w:val="2F5496"/>
          <w:sz w:val="30"/>
          <w:szCs w:val="30"/>
        </w:rPr>
        <w:t xml:space="preserve">5. Deep Dive: The Healthy-Volunteer Story</w:t>
      </w:r>
    </w:p>
    <w:p>
      <w:pPr>
        <w:spacing w:after="140" w:line="276"/>
      </w:pPr>
      <w:r>
        <w:rPr>
          <w:color w:val="202020"/>
          <w:sz w:val="22"/>
          <w:szCs w:val="22"/>
        </w:rPr>
        <w:t xml:space="preserve">Section 3 showed that FT-Transformer's #1 rank is an artifact of partial coverage. The natural next question: even on the cells it did run, is its strong score a real architectural capability, or something more mundane? Investigated locally on mortality/Phase1 (FT-Transformer's own strongest-looking cell, PR-AUC 0.8088) with permutation importance and cross-method prediction correlation.</w:t>
      </w:r>
    </w:p>
    <w:p>
      <w:pPr>
        <w:pStyle w:val="Heading2"/>
        <w:spacing w:after="100" w:before="220"/>
      </w:pPr>
      <w:r>
        <w:rPr>
          <w:b/>
          <w:bCs/>
          <w:color w:val="1F3864"/>
          <w:sz w:val="24"/>
          <w:szCs w:val="24"/>
        </w:rPr>
        <w:t xml:space="preserve">5.1 The accuracy is concentrated in one feature</w:t>
      </w:r>
    </w:p>
    <w:tbl>
      <w:tblPr>
        <w:tblW w:type="dxa" w:w="9360"/>
        <w:tblBorders>
          <w:top w:val="single" w:color="BFC7D6" w:sz="4"/>
          <w:left w:val="single" w:color="BFC7D6" w:sz="4"/>
          <w:bottom w:val="single" w:color="BFC7D6" w:sz="4"/>
          <w:right w:val="single" w:color="BFC7D6" w:sz="4"/>
          <w:insideH w:val="single" w:color="BFC7D6" w:sz="2"/>
          <w:insideV w:val="single" w:color="BFC7D6" w:sz="2"/>
        </w:tblBorders>
      </w:tblPr>
      <w:tblGrid>
        <w:gridCol w:w="6360"/>
        <w:gridCol w:w="3000"/>
      </w:tblGrid>
      <w:tr>
        <w:trPr>
          <w:tblHeader/>
        </w:trPr>
        <w:tc>
          <w:tcPr>
            <w:tcW w:type="dxa" w:w="6360"/>
            <w:shd w:fill="2F5496" w:color="auto" w:val="clear"/>
            <w:tcMar>
              <w:top w:type="dxa" w:w="40"/>
              <w:left w:type="dxa" w:w="90"/>
              <w:bottom w:type="dxa" w:w="40"/>
              <w:right w:type="dxa" w:w="90"/>
            </w:tcMar>
          </w:tcPr>
          <w:p>
            <w:pPr>
              <w:spacing w:after="0" w:line="252"/>
              <w:jc w:val="left"/>
            </w:pPr>
            <w:r>
              <w:rPr>
                <w:b/>
                <w:bCs/>
                <w:color w:val="FFFFFF"/>
                <w:sz w:val="19"/>
                <w:szCs w:val="19"/>
              </w:rPr>
              <w:t xml:space="preserve">Feature</w:t>
            </w:r>
          </w:p>
        </w:tc>
        <w:tc>
          <w:tcPr>
            <w:tcW w:type="dxa" w:w="3000"/>
            <w:shd w:fill="2F5496" w:color="auto" w:val="clear"/>
            <w:tcMar>
              <w:top w:type="dxa" w:w="40"/>
              <w:left w:type="dxa" w:w="90"/>
              <w:bottom w:type="dxa" w:w="40"/>
              <w:right w:type="dxa" w:w="90"/>
            </w:tcMar>
          </w:tcPr>
          <w:p>
            <w:pPr>
              <w:spacing w:after="0" w:line="252"/>
              <w:jc w:val="center"/>
            </w:pPr>
            <w:r>
              <w:rPr>
                <w:b/>
                <w:bCs/>
                <w:color w:val="FFFFFF"/>
                <w:sz w:val="19"/>
                <w:szCs w:val="19"/>
              </w:rPr>
              <w:t xml:space="preserve">PR-AUC drop when shuffled</w:t>
            </w:r>
          </w:p>
        </w:tc>
      </w:tr>
      <w:tr>
        <w:tc>
          <w:tcPr>
            <w:tcW w:type="dxa" w:w="6360"/>
            <w:tcMar>
              <w:top w:type="dxa" w:w="40"/>
              <w:left w:type="dxa" w:w="90"/>
              <w:bottom w:type="dxa" w:w="40"/>
              <w:right w:type="dxa" w:w="90"/>
            </w:tcMar>
          </w:tcPr>
          <w:p>
            <w:pPr>
              <w:spacing w:after="0" w:line="252"/>
              <w:jc w:val="left"/>
            </w:pPr>
            <w:r>
              <w:rPr>
                <w:b/>
                <w:bCs/>
                <w:color w:val="202020"/>
                <w:sz w:val="19"/>
                <w:szCs w:val="19"/>
              </w:rPr>
              <w:t xml:space="preserve">eligibility/healthy_volunteers (target-enc.)</w:t>
            </w:r>
          </w:p>
        </w:tc>
        <w:tc>
          <w:tcPr>
            <w:tcW w:type="dxa" w:w="3000"/>
            <w:tcMar>
              <w:top w:type="dxa" w:w="40"/>
              <w:left w:type="dxa" w:w="90"/>
              <w:bottom w:type="dxa" w:w="40"/>
              <w:right w:type="dxa" w:w="90"/>
            </w:tcMar>
          </w:tcPr>
          <w:p>
            <w:pPr>
              <w:spacing w:after="0" w:line="252"/>
              <w:jc w:val="center"/>
            </w:pPr>
            <w:r>
              <w:rPr>
                <w:b/>
                <w:bCs/>
                <w:color w:val="202020"/>
                <w:sz w:val="19"/>
                <w:szCs w:val="19"/>
              </w:rPr>
              <w:t xml:space="preserve">+0.279</w:t>
            </w:r>
          </w:p>
        </w:tc>
      </w:tr>
      <w:tr>
        <w:tc>
          <w:tcPr>
            <w:tcW w:type="dxa" w:w="636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eligibility/maximum_age (target-enc.)</w:t>
            </w:r>
          </w:p>
        </w:tc>
        <w:tc>
          <w:tcPr>
            <w:tcW w:type="dxa" w:w="30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+0.106</w:t>
            </w:r>
          </w:p>
        </w:tc>
      </w:tr>
      <w:tr>
        <w:tc>
          <w:tcPr>
            <w:tcW w:type="dxa" w:w="6360"/>
            <w:tcMar>
              <w:top w:type="dxa" w:w="40"/>
              <w:left w:type="dxa" w:w="90"/>
              <w:bottom w:type="dxa" w:w="40"/>
              <w:right w:type="dxa" w:w="90"/>
            </w:tcMar>
          </w:tcPr>
          <w:p>
            <w:pPr>
              <w:spacing w:after="0" w:line="252"/>
              <w:jc w:val="left"/>
            </w:pPr>
            <w:r>
              <w:rPr>
                <w:b w:val="false"/>
                <w:bCs w:val="false"/>
                <w:color w:val="202020"/>
                <w:sz w:val="19"/>
                <w:szCs w:val="19"/>
              </w:rPr>
              <w:t xml:space="preserve">enrollment</w:t>
            </w:r>
          </w:p>
        </w:tc>
        <w:tc>
          <w:tcPr>
            <w:tcW w:type="dxa" w:w="3000"/>
            <w:tcMar>
              <w:top w:type="dxa" w:w="40"/>
              <w:left w:type="dxa" w:w="90"/>
              <w:bottom w:type="dxa" w:w="40"/>
              <w:right w:type="dxa" w:w="90"/>
            </w:tcMar>
          </w:tcPr>
          <w:p>
            <w:pPr>
              <w:spacing w:after="0" w:line="252"/>
              <w:jc w:val="center"/>
            </w:pPr>
            <w:r>
              <w:rPr>
                <w:b w:val="false"/>
                <w:bCs w:val="false"/>
                <w:color w:val="202020"/>
                <w:sz w:val="19"/>
                <w:szCs w:val="19"/>
              </w:rPr>
              <w:t xml:space="preserve">+0.095</w:t>
            </w:r>
          </w:p>
        </w:tc>
      </w:tr>
      <w:tr>
        <w:tc>
          <w:tcPr>
            <w:tcW w:type="dxa" w:w="636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MaskingType-Investigator</w:t>
            </w:r>
          </w:p>
        </w:tc>
        <w:tc>
          <w:tcPr>
            <w:tcW w:type="dxa" w:w="30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+0.065</w:t>
            </w:r>
          </w:p>
        </w:tc>
      </w:tr>
      <w:tr>
        <w:tc>
          <w:tcPr>
            <w:tcW w:type="dxa" w:w="6360"/>
            <w:tcMar>
              <w:top w:type="dxa" w:w="40"/>
              <w:left w:type="dxa" w:w="90"/>
              <w:bottom w:type="dxa" w:w="40"/>
              <w:right w:type="dxa" w:w="90"/>
            </w:tcMar>
          </w:tcPr>
          <w:p>
            <w:pPr>
              <w:spacing w:after="0" w:line="252"/>
              <w:jc w:val="left"/>
            </w:pPr>
            <w:r>
              <w:rPr>
                <w:b w:val="false"/>
                <w:bCs w:val="false"/>
                <w:color w:val="202020"/>
                <w:sz w:val="19"/>
                <w:szCs w:val="19"/>
              </w:rPr>
              <w:t xml:space="preserve">study_design_info/primary_purpose</w:t>
            </w:r>
          </w:p>
        </w:tc>
        <w:tc>
          <w:tcPr>
            <w:tcW w:type="dxa" w:w="3000"/>
            <w:tcMar>
              <w:top w:type="dxa" w:w="40"/>
              <w:left w:type="dxa" w:w="90"/>
              <w:bottom w:type="dxa" w:w="40"/>
              <w:right w:type="dxa" w:w="90"/>
            </w:tcMar>
          </w:tcPr>
          <w:p>
            <w:pPr>
              <w:spacing w:after="0" w:line="252"/>
              <w:jc w:val="center"/>
            </w:pPr>
            <w:r>
              <w:rPr>
                <w:b w:val="false"/>
                <w:bCs w:val="false"/>
                <w:color w:val="202020"/>
                <w:sz w:val="19"/>
                <w:szCs w:val="19"/>
              </w:rPr>
              <w:t xml:space="preserve">+0.050</w:t>
            </w:r>
          </w:p>
        </w:tc>
      </w:tr>
      <w:tr>
        <w:tc>
          <w:tcPr>
            <w:tcW w:type="dxa" w:w="636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study_design_info/masking_num</w:t>
            </w:r>
          </w:p>
        </w:tc>
        <w:tc>
          <w:tcPr>
            <w:tcW w:type="dxa" w:w="30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+0.043</w:t>
            </w:r>
          </w:p>
        </w:tc>
      </w:tr>
      <w:tr>
        <w:tc>
          <w:tcPr>
            <w:tcW w:type="dxa" w:w="6360"/>
            <w:tcMar>
              <w:top w:type="dxa" w:w="40"/>
              <w:left w:type="dxa" w:w="90"/>
              <w:bottom w:type="dxa" w:w="40"/>
              <w:right w:type="dxa" w:w="90"/>
            </w:tcMar>
          </w:tcPr>
          <w:p>
            <w:pPr>
              <w:spacing w:after="0" w:line="252"/>
              <w:jc w:val="left"/>
            </w:pPr>
            <w:r>
              <w:rPr>
                <w:b w:val="false"/>
                <w:bCs w:val="false"/>
                <w:color w:val="202020"/>
                <w:sz w:val="19"/>
                <w:szCs w:val="19"/>
              </w:rPr>
              <w:t xml:space="preserve">(the remaining 35 features)</w:t>
            </w:r>
          </w:p>
        </w:tc>
        <w:tc>
          <w:tcPr>
            <w:tcW w:type="dxa" w:w="3000"/>
            <w:tcMar>
              <w:top w:type="dxa" w:w="40"/>
              <w:left w:type="dxa" w:w="90"/>
              <w:bottom w:type="dxa" w:w="40"/>
              <w:right w:type="dxa" w:w="90"/>
            </w:tcMar>
          </w:tcPr>
          <w:p>
            <w:pPr>
              <w:spacing w:after="0" w:line="252"/>
              <w:jc w:val="center"/>
            </w:pPr>
            <w:r>
              <w:rPr>
                <w:b w:val="false"/>
                <w:bCs w:val="false"/>
                <w:color w:val="202020"/>
                <w:sz w:val="19"/>
                <w:szCs w:val="19"/>
              </w:rPr>
              <w:t xml:space="preserve">each &lt; 0.004; 30 of 43 are &lt; 0.001</w:t>
            </w:r>
          </w:p>
        </w:tc>
      </w:tr>
    </w:tbl>
    <w:p>
      <w:pPr>
        <w:spacing w:after="180" w:before="60"/>
      </w:pPr>
      <w:r>
        <w:rPr>
          <w:i/>
          <w:iCs/>
          <w:color w:val="5A5A5A"/>
          <w:sz w:val="17"/>
          <w:szCs w:val="17"/>
        </w:rPr>
        <w:t xml:space="preserve">Table 8. Permutation importance for ft_transformer on mortality/Phase1 (mean of 8 repeats).</w:t>
      </w:r>
    </w:p>
    <w:p>
      <w:pPr>
        <w:spacing w:after="140" w:line="276"/>
      </w:pPr>
      <w:r>
        <w:rPr>
          <w:color w:val="202020"/>
          <w:sz w:val="22"/>
          <w:szCs w:val="22"/>
        </w:rPr>
        <w:t xml:space="preserve">One feature — whether the trial accepts healthy volunteers — accounts for more than a third of the model's entire PR-AUC (0.279 of 0.809). The next five features explain most of the rest; the other 30 of 43 inputs contribute almost nothing. This is not the signature of a model exploiting rich multimodal feature interactions; it is one dominant tabular signal carrying the score, with the transformer along for the ride. And because healthy_volunteers is a low-cardinality Yes/No field, its target-mean encoding is essentially “the historical outcome rate for trials with this flag” — a blunt, easily-recovered signal, not something that needs a transformer to find.</w:t>
      </w:r>
    </w:p>
    <w:p>
      <w:pPr>
        <w:pStyle w:val="Heading2"/>
        <w:spacing w:after="100" w:before="220"/>
      </w:pPr>
      <w:r>
        <w:rPr>
          <w:b/>
          <w:bCs/>
          <w:color w:val="1F3864"/>
          <w:sz w:val="24"/>
          <w:szCs w:val="24"/>
        </w:rPr>
        <w:t xml:space="preserve">5.2 Every other strong method finds the same signal</w:t>
      </w:r>
    </w:p>
    <w:tbl>
      <w:tblPr>
        <w:tblW w:type="dxa" w:w="9360"/>
        <w:tblBorders>
          <w:top w:val="single" w:color="BFC7D6" w:sz="4"/>
          <w:left w:val="single" w:color="BFC7D6" w:sz="4"/>
          <w:bottom w:val="single" w:color="BFC7D6" w:sz="4"/>
          <w:right w:val="single" w:color="BFC7D6" w:sz="4"/>
          <w:insideH w:val="single" w:color="BFC7D6" w:sz="2"/>
          <w:insideV w:val="single" w:color="BFC7D6" w:sz="2"/>
        </w:tblBorders>
      </w:tblPr>
      <w:tblGrid>
        <w:gridCol w:w="3360"/>
        <w:gridCol w:w="3000"/>
        <w:gridCol w:w="3000"/>
      </w:tblGrid>
      <w:tr>
        <w:trPr>
          <w:tblHeader/>
        </w:trPr>
        <w:tc>
          <w:tcPr>
            <w:tcW w:type="dxa" w:w="3360"/>
            <w:shd w:fill="2F5496" w:color="auto" w:val="clear"/>
            <w:tcMar>
              <w:top w:type="dxa" w:w="40"/>
              <w:left w:type="dxa" w:w="90"/>
              <w:bottom w:type="dxa" w:w="40"/>
              <w:right w:type="dxa" w:w="90"/>
            </w:tcMar>
          </w:tcPr>
          <w:p>
            <w:pPr>
              <w:spacing w:after="0" w:line="252"/>
              <w:jc w:val="left"/>
            </w:pPr>
            <w:r>
              <w:rPr>
                <w:b/>
                <w:bCs/>
                <w:color w:val="FFFFFF"/>
                <w:sz w:val="19"/>
                <w:szCs w:val="19"/>
              </w:rPr>
              <w:t xml:space="preserve">Method</w:t>
            </w:r>
          </w:p>
        </w:tc>
        <w:tc>
          <w:tcPr>
            <w:tcW w:type="dxa" w:w="3000"/>
            <w:shd w:fill="2F5496" w:color="auto" w:val="clear"/>
            <w:tcMar>
              <w:top w:type="dxa" w:w="40"/>
              <w:left w:type="dxa" w:w="90"/>
              <w:bottom w:type="dxa" w:w="40"/>
              <w:right w:type="dxa" w:w="90"/>
            </w:tcMar>
          </w:tcPr>
          <w:p>
            <w:pPr>
              <w:spacing w:after="0" w:line="252"/>
              <w:jc w:val="center"/>
            </w:pPr>
            <w:r>
              <w:rPr>
                <w:b/>
                <w:bCs/>
                <w:color w:val="FFFFFF"/>
                <w:sz w:val="19"/>
                <w:szCs w:val="19"/>
              </w:rPr>
              <w:t xml:space="preserve">Test PR-AUC</w:t>
            </w:r>
          </w:p>
        </w:tc>
        <w:tc>
          <w:tcPr>
            <w:tcW w:type="dxa" w:w="3000"/>
            <w:shd w:fill="2F5496" w:color="auto" w:val="clear"/>
            <w:tcMar>
              <w:top w:type="dxa" w:w="40"/>
              <w:left w:type="dxa" w:w="90"/>
              <w:bottom w:type="dxa" w:w="40"/>
              <w:right w:type="dxa" w:w="90"/>
            </w:tcMar>
          </w:tcPr>
          <w:p>
            <w:pPr>
              <w:spacing w:after="0" w:line="252"/>
              <w:jc w:val="center"/>
            </w:pPr>
            <w:r>
              <w:rPr>
                <w:b/>
                <w:bCs/>
                <w:color w:val="FFFFFF"/>
                <w:sz w:val="19"/>
                <w:szCs w:val="19"/>
              </w:rPr>
              <w:t xml:space="preserve">Spearman vs. ft_transformer</w:t>
            </w:r>
          </w:p>
        </w:tc>
      </w:tr>
      <w:tr>
        <w:tc>
          <w:tcPr>
            <w:tcW w:type="dxa" w:w="3360"/>
            <w:tcMar>
              <w:top w:type="dxa" w:w="40"/>
              <w:left w:type="dxa" w:w="90"/>
              <w:bottom w:type="dxa" w:w="40"/>
              <w:right w:type="dxa" w:w="90"/>
            </w:tcMar>
          </w:tcPr>
          <w:p>
            <w:pPr>
              <w:spacing w:after="0" w:line="252"/>
              <w:jc w:val="left"/>
            </w:pPr>
            <w:r>
              <w:rPr>
                <w:b w:val="false"/>
                <w:bCs w:val="false"/>
                <w:color w:val="202020"/>
                <w:sz w:val="19"/>
                <w:szCs w:val="19"/>
              </w:rPr>
              <w:t xml:space="preserve">extra_trees</w:t>
            </w:r>
          </w:p>
        </w:tc>
        <w:tc>
          <w:tcPr>
            <w:tcW w:type="dxa" w:w="3000"/>
            <w:tcMar>
              <w:top w:type="dxa" w:w="40"/>
              <w:left w:type="dxa" w:w="90"/>
              <w:bottom w:type="dxa" w:w="40"/>
              <w:right w:type="dxa" w:w="90"/>
            </w:tcMar>
          </w:tcPr>
          <w:p>
            <w:pPr>
              <w:spacing w:after="0" w:line="252"/>
              <w:jc w:val="center"/>
            </w:pPr>
            <w:r>
              <w:rPr>
                <w:b w:val="false"/>
                <w:bCs w:val="false"/>
                <w:color w:val="202020"/>
                <w:sz w:val="19"/>
                <w:szCs w:val="19"/>
              </w:rPr>
              <w:t xml:space="preserve">0.817</w:t>
            </w:r>
          </w:p>
        </w:tc>
        <w:tc>
          <w:tcPr>
            <w:tcW w:type="dxa" w:w="3000"/>
            <w:tcMar>
              <w:top w:type="dxa" w:w="40"/>
              <w:left w:type="dxa" w:w="90"/>
              <w:bottom w:type="dxa" w:w="40"/>
              <w:right w:type="dxa" w:w="90"/>
            </w:tcMar>
          </w:tcPr>
          <w:p>
            <w:pPr>
              <w:spacing w:after="0" w:line="252"/>
              <w:jc w:val="center"/>
            </w:pPr>
            <w:r>
              <w:rPr>
                <w:b w:val="false"/>
                <w:bCs w:val="false"/>
                <w:color w:val="202020"/>
                <w:sz w:val="19"/>
                <w:szCs w:val="19"/>
              </w:rPr>
              <w:t xml:space="preserve">0.728</w:t>
            </w:r>
          </w:p>
        </w:tc>
      </w:tr>
      <w:tr>
        <w:tc>
          <w:tcPr>
            <w:tcW w:type="dxa" w:w="336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random_forest</w:t>
            </w:r>
          </w:p>
        </w:tc>
        <w:tc>
          <w:tcPr>
            <w:tcW w:type="dxa" w:w="30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0.804</w:t>
            </w:r>
          </w:p>
        </w:tc>
        <w:tc>
          <w:tcPr>
            <w:tcW w:type="dxa" w:w="30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0.805</w:t>
            </w:r>
          </w:p>
        </w:tc>
      </w:tr>
      <w:tr>
        <w:tc>
          <w:tcPr>
            <w:tcW w:type="dxa" w:w="3360"/>
            <w:tcMar>
              <w:top w:type="dxa" w:w="40"/>
              <w:left w:type="dxa" w:w="90"/>
              <w:bottom w:type="dxa" w:w="40"/>
              <w:right w:type="dxa" w:w="90"/>
            </w:tcMar>
          </w:tcPr>
          <w:p>
            <w:pPr>
              <w:spacing w:after="0" w:line="252"/>
              <w:jc w:val="left"/>
            </w:pPr>
            <w:r>
              <w:rPr>
                <w:b/>
                <w:bCs/>
                <w:color w:val="202020"/>
                <w:sz w:val="19"/>
                <w:szCs w:val="19"/>
              </w:rPr>
              <w:t xml:space="preserve">tfidf_logreg</w:t>
            </w:r>
          </w:p>
        </w:tc>
        <w:tc>
          <w:tcPr>
            <w:tcW w:type="dxa" w:w="3000"/>
            <w:tcMar>
              <w:top w:type="dxa" w:w="40"/>
              <w:left w:type="dxa" w:w="90"/>
              <w:bottom w:type="dxa" w:w="40"/>
              <w:right w:type="dxa" w:w="90"/>
            </w:tcMar>
          </w:tcPr>
          <w:p>
            <w:pPr>
              <w:spacing w:after="0" w:line="252"/>
              <w:jc w:val="center"/>
            </w:pPr>
            <w:r>
              <w:rPr>
                <w:b/>
                <w:bCs/>
                <w:color w:val="202020"/>
                <w:sz w:val="19"/>
                <w:szCs w:val="19"/>
              </w:rPr>
              <w:t xml:space="preserve">0.855</w:t>
            </w:r>
          </w:p>
        </w:tc>
        <w:tc>
          <w:tcPr>
            <w:tcW w:type="dxa" w:w="3000"/>
            <w:tcMar>
              <w:top w:type="dxa" w:w="40"/>
              <w:left w:type="dxa" w:w="90"/>
              <w:bottom w:type="dxa" w:w="40"/>
              <w:right w:type="dxa" w:w="90"/>
            </w:tcMar>
          </w:tcPr>
          <w:p>
            <w:pPr>
              <w:spacing w:after="0" w:line="252"/>
              <w:jc w:val="center"/>
            </w:pPr>
            <w:r>
              <w:rPr>
                <w:b w:val="false"/>
                <w:bCs w:val="false"/>
                <w:color w:val="202020"/>
                <w:sz w:val="19"/>
                <w:szCs w:val="19"/>
              </w:rPr>
              <w:t xml:space="preserve">0.782</w:t>
            </w:r>
          </w:p>
        </w:tc>
      </w:tr>
    </w:tbl>
    <w:p>
      <w:pPr>
        <w:spacing w:after="180" w:before="60"/>
      </w:pPr>
      <w:r>
        <w:rPr>
          <w:i/>
          <w:iCs/>
          <w:color w:val="5A5A5A"/>
          <w:sz w:val="17"/>
          <w:szCs w:val="17"/>
        </w:rPr>
        <w:t xml:space="preserve">Table 9. All strong methods cluster in the same 0.80–0.86 band and correlate 0.73–0.81 with ft_transformer — and plain TF-IDF scores highest of all.</w:t>
      </w:r>
    </w:p>
    <w:p>
      <w:pPr>
        <w:spacing w:after="140" w:line="276"/>
      </w:pPr>
      <w:r>
        <w:rPr>
          <w:color w:val="202020"/>
          <w:sz w:val="22"/>
          <w:szCs w:val="22"/>
        </w:rPr>
        <w:t xml:space="preserve">All three are highly correlated with FT-Transformer's predictions, and tfidf_logreg — plain TF-IDF plus logistic regression, no deep learning — scores higher than the transformer on this cell. That is consistent with the eligibility text itself (“healthy volunteers,” age ranges) carrying the same signal the target-encoded column carries: every method with any access to it clusters in the same narrow band regardless of sophistication.</w:t>
      </w:r>
    </w:p>
    <w:p>
      <w:pPr>
        <w:spacing w:after="140" w:line="276"/>
      </w:pPr>
      <w:r>
        <w:rPr>
          <w:color w:val="202020"/>
          <w:sz w:val="22"/>
          <w:szCs w:val="22"/>
        </w:rPr>
        <w:t xml:space="preserve">The honest read is that FT-Transformer's strong score is not evidence of a capability edge from the architecture. It is dominated by one strongly-predictive, easily-encoded eligibility flag that trees, linear text models, and the transformer all recover similarly. Caveats: single cell, single seed; permutation importance measures reliance, not causality (a different mortality profile for healthy-volunteer Phase-1 trials may well be real signal — just not one that needed a transformer); and 0.73–0.81 correlation is high but not identity.</w:t>
      </w:r>
    </w:p>
    <w:p>
      <w:pPr>
        <w:pStyle w:val="Heading1"/>
        <w:spacing w:after="140" w:before="320"/>
      </w:pPr>
      <w:r>
        <w:rPr>
          <w:b/>
          <w:bCs/>
          <w:color w:val="2F5496"/>
          <w:sz w:val="30"/>
          <w:szCs w:val="30"/>
        </w:rPr>
        <w:t xml:space="preserve">6. Deep Dive: Deep Tabular vs. Text Models</w:t>
      </w:r>
    </w:p>
    <w:p>
      <w:pPr>
        <w:spacing w:after="140" w:line="276"/>
      </w:pPr>
      <w:r>
        <w:rPr>
          <w:color w:val="202020"/>
          <w:sz w:val="22"/>
          <w:szCs w:val="22"/>
        </w:rPr>
        <w:t xml:space="preserve">Two questions sit under this heading: how the deep-tabular models compare to each other, and how the deep-tabular models compare to the text models. Both have clear answers, and both point away from “buy a bigger tabular architecture.”</w:t>
      </w:r>
    </w:p>
    <w:p>
      <w:pPr>
        <w:pStyle w:val="Heading2"/>
        <w:spacing w:after="100" w:before="220"/>
      </w:pPr>
      <w:r>
        <w:rPr>
          <w:b/>
          <w:bCs/>
          <w:color w:val="1F3864"/>
          <w:sz w:val="24"/>
          <w:szCs w:val="24"/>
        </w:rPr>
        <w:t xml:space="preserve">6.1 TabNet ≪ FT-Transformer is an implementation gap, not an architecture verdict</w:t>
      </w:r>
    </w:p>
    <w:p>
      <w:pPr>
        <w:spacing w:after="140" w:line="276"/>
      </w:pPr>
      <w:r>
        <w:rPr>
          <w:color w:val="202020"/>
          <w:sz w:val="22"/>
          <w:szCs w:val="22"/>
        </w:rPr>
        <w:t xml:space="preserve">Across the 10 cells they share, FT-Transformer averages 0.730 PR-AUC versus TabNet's 0.512 — and TabNet sits within 0.05 of the majority-class prior in 4 of those 10 cells; it is barely learning. Reading the code, the gap traces to three implementation asymmetries, not to TabNet's architecture: FT-Transformer builds inverse-frequency class weights and TabNet gets none; the features are unscaled, which TabNet's attention/batch-norm design tolerates far worse than FT-Transformer's per-column tokenizer + LayerNorm; and TabNet early-stops on an accuracy-like metric that rewards majority-class collapse on imbalanced data.</w:t>
      </w:r>
    </w:p>
    <w:p>
      <w:pPr>
        <w:spacing w:after="140" w:line="276"/>
      </w:pPr>
      <w:r>
        <w:rPr>
          <w:color w:val="202020"/>
          <w:sz w:val="22"/>
          <w:szCs w:val="22"/>
        </w:rPr>
        <w:t xml:space="preserve">This was validated on real data (mortality/Phase1, 3 seeds), applying three fixes together — class weighting, StandardScaler fit on train, and logloss-based early stopping:</w:t>
      </w:r>
    </w:p>
    <w:tbl>
      <w:tblPr>
        <w:tblW w:type="dxa" w:w="9360"/>
        <w:tblBorders>
          <w:top w:val="single" w:color="BFC7D6" w:sz="4"/>
          <w:left w:val="single" w:color="BFC7D6" w:sz="4"/>
          <w:bottom w:val="single" w:color="BFC7D6" w:sz="4"/>
          <w:right w:val="single" w:color="BFC7D6" w:sz="4"/>
          <w:insideH w:val="single" w:color="BFC7D6" w:sz="2"/>
          <w:insideV w:val="single" w:color="BFC7D6" w:sz="2"/>
        </w:tblBorders>
      </w:tblPr>
      <w:tblGrid>
        <w:gridCol w:w="3760"/>
        <w:gridCol w:w="1900"/>
        <w:gridCol w:w="1500"/>
        <w:gridCol w:w="2200"/>
      </w:tblGrid>
      <w:tr>
        <w:trPr>
          <w:tblHeader/>
        </w:trPr>
        <w:tc>
          <w:tcPr>
            <w:tcW w:type="dxa" w:w="3760"/>
            <w:shd w:fill="2F5496" w:color="auto" w:val="clear"/>
            <w:tcMar>
              <w:top w:type="dxa" w:w="40"/>
              <w:left w:type="dxa" w:w="90"/>
              <w:bottom w:type="dxa" w:w="40"/>
              <w:right w:type="dxa" w:w="90"/>
            </w:tcMar>
          </w:tcPr>
          <w:p>
            <w:pPr>
              <w:spacing w:after="0" w:line="252"/>
              <w:jc w:val="left"/>
            </w:pPr>
            <w:r>
              <w:rPr>
                <w:b/>
                <w:bCs/>
                <w:color w:val="FFFFFF"/>
                <w:sz w:val="19"/>
                <w:szCs w:val="19"/>
              </w:rPr>
              <w:t xml:space="preserve">TabNet variant</w:t>
            </w:r>
          </w:p>
        </w:tc>
        <w:tc>
          <w:tcPr>
            <w:tcW w:type="dxa" w:w="1900"/>
            <w:shd w:fill="2F5496" w:color="auto" w:val="clear"/>
            <w:tcMar>
              <w:top w:type="dxa" w:w="40"/>
              <w:left w:type="dxa" w:w="90"/>
              <w:bottom w:type="dxa" w:w="40"/>
              <w:right w:type="dxa" w:w="90"/>
            </w:tcMar>
          </w:tcPr>
          <w:p>
            <w:pPr>
              <w:spacing w:after="0" w:line="252"/>
              <w:jc w:val="center"/>
            </w:pPr>
            <w:r>
              <w:rPr>
                <w:b/>
                <w:bCs/>
                <w:color w:val="FFFFFF"/>
                <w:sz w:val="19"/>
                <w:szCs w:val="19"/>
              </w:rPr>
              <w:t xml:space="preserve">PR-AUC</w:t>
            </w:r>
          </w:p>
        </w:tc>
        <w:tc>
          <w:tcPr>
            <w:tcW w:type="dxa" w:w="1500"/>
            <w:shd w:fill="2F5496" w:color="auto" w:val="clear"/>
            <w:tcMar>
              <w:top w:type="dxa" w:w="40"/>
              <w:left w:type="dxa" w:w="90"/>
              <w:bottom w:type="dxa" w:w="40"/>
              <w:right w:type="dxa" w:w="90"/>
            </w:tcMar>
          </w:tcPr>
          <w:p>
            <w:pPr>
              <w:spacing w:after="0" w:line="252"/>
              <w:jc w:val="center"/>
            </w:pPr>
            <w:r>
              <w:rPr>
                <w:b/>
                <w:bCs/>
                <w:color w:val="FFFFFF"/>
                <w:sz w:val="19"/>
                <w:szCs w:val="19"/>
              </w:rPr>
              <w:t xml:space="preserve">AUROC</w:t>
            </w:r>
          </w:p>
        </w:tc>
        <w:tc>
          <w:tcPr>
            <w:tcW w:type="dxa" w:w="2200"/>
            <w:shd w:fill="2F5496" w:color="auto" w:val="clear"/>
            <w:tcMar>
              <w:top w:type="dxa" w:w="40"/>
              <w:left w:type="dxa" w:w="90"/>
              <w:bottom w:type="dxa" w:w="40"/>
              <w:right w:type="dxa" w:w="90"/>
            </w:tcMar>
          </w:tcPr>
          <w:p>
            <w:pPr>
              <w:spacing w:after="0" w:line="252"/>
              <w:jc w:val="center"/>
            </w:pPr>
            <w:r>
              <w:rPr>
                <w:b/>
                <w:bCs/>
                <w:color w:val="FFFFFF"/>
                <w:sz w:val="19"/>
                <w:szCs w:val="19"/>
              </w:rPr>
              <w:t xml:space="preserve">Fraction predicted positive @0.5</w:t>
            </w:r>
          </w:p>
        </w:tc>
      </w:tr>
      <w:tr>
        <w:tc>
          <w:tcPr>
            <w:tcW w:type="dxa" w:w="3760"/>
            <w:tcMar>
              <w:top w:type="dxa" w:w="40"/>
              <w:left w:type="dxa" w:w="90"/>
              <w:bottom w:type="dxa" w:w="40"/>
              <w:right w:type="dxa" w:w="90"/>
            </w:tcMar>
          </w:tcPr>
          <w:p>
            <w:pPr>
              <w:spacing w:after="0" w:line="252"/>
              <w:jc w:val="left"/>
            </w:pPr>
            <w:r>
              <w:rPr>
                <w:b w:val="false"/>
                <w:bCs w:val="false"/>
                <w:color w:val="202020"/>
                <w:sz w:val="19"/>
                <w:szCs w:val="19"/>
              </w:rPr>
              <w:t xml:space="preserve">majority / prior</w:t>
            </w:r>
          </w:p>
        </w:tc>
        <w:tc>
          <w:tcPr>
            <w:tcW w:type="dxa" w:w="1900"/>
            <w:tcMar>
              <w:top w:type="dxa" w:w="40"/>
              <w:left w:type="dxa" w:w="90"/>
              <w:bottom w:type="dxa" w:w="40"/>
              <w:right w:type="dxa" w:w="90"/>
            </w:tcMar>
          </w:tcPr>
          <w:p>
            <w:pPr>
              <w:spacing w:after="0" w:line="252"/>
              <w:jc w:val="center"/>
            </w:pPr>
            <w:r>
              <w:rPr>
                <w:b w:val="false"/>
                <w:bCs w:val="false"/>
                <w:color w:val="202020"/>
                <w:sz w:val="19"/>
                <w:szCs w:val="19"/>
              </w:rPr>
              <w:t xml:space="preserve">0.270</w:t>
            </w:r>
          </w:p>
        </w:tc>
        <w:tc>
          <w:tcPr>
            <w:tcW w:type="dxa" w:w="1500"/>
            <w:tcMar>
              <w:top w:type="dxa" w:w="40"/>
              <w:left w:type="dxa" w:w="90"/>
              <w:bottom w:type="dxa" w:w="40"/>
              <w:right w:type="dxa" w:w="90"/>
            </w:tcMar>
          </w:tcPr>
          <w:p>
            <w:pPr>
              <w:spacing w:after="0" w:line="252"/>
              <w:jc w:val="center"/>
            </w:pPr>
            <w:r>
              <w:rPr>
                <w:b w:val="false"/>
                <w:bCs w:val="false"/>
                <w:color w:val="202020"/>
                <w:sz w:val="19"/>
                <w:szCs w:val="19"/>
              </w:rPr>
              <w:t xml:space="preserve">—</w:t>
            </w:r>
          </w:p>
        </w:tc>
        <w:tc>
          <w:tcPr>
            <w:tcW w:type="dxa" w:w="2200"/>
            <w:tcMar>
              <w:top w:type="dxa" w:w="40"/>
              <w:left w:type="dxa" w:w="90"/>
              <w:bottom w:type="dxa" w:w="40"/>
              <w:right w:type="dxa" w:w="90"/>
            </w:tcMar>
          </w:tcPr>
          <w:p>
            <w:pPr>
              <w:spacing w:after="0" w:line="252"/>
              <w:jc w:val="center"/>
            </w:pPr>
            <w:r>
              <w:rPr>
                <w:b w:val="false"/>
                <w:bCs w:val="false"/>
                <w:color w:val="202020"/>
                <w:sz w:val="19"/>
                <w:szCs w:val="19"/>
              </w:rPr>
              <w:t xml:space="preserve">—</w:t>
            </w:r>
          </w:p>
        </w:tc>
      </w:tr>
      <w:tr>
        <w:tc>
          <w:tcPr>
            <w:tcW w:type="dxa" w:w="376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original (current code)</w:t>
            </w:r>
          </w:p>
        </w:tc>
        <w:tc>
          <w:tcPr>
            <w:tcW w:type="dxa" w:w="19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0.500 ± 0.038</w:t>
            </w:r>
          </w:p>
        </w:tc>
        <w:tc>
          <w:tcPr>
            <w:tcW w:type="dxa" w:w="15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0.759</w:t>
            </w:r>
          </w:p>
        </w:tc>
        <w:tc>
          <w:tcPr>
            <w:tcW w:type="dxa" w:w="22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0.03  (collapsing)</w:t>
            </w:r>
          </w:p>
        </w:tc>
      </w:tr>
      <w:tr>
        <w:tc>
          <w:tcPr>
            <w:tcW w:type="dxa" w:w="3760"/>
            <w:tcMar>
              <w:top w:type="dxa" w:w="40"/>
              <w:left w:type="dxa" w:w="90"/>
              <w:bottom w:type="dxa" w:w="40"/>
              <w:right w:type="dxa" w:w="90"/>
            </w:tcMar>
          </w:tcPr>
          <w:p>
            <w:pPr>
              <w:spacing w:after="0" w:line="252"/>
              <w:jc w:val="left"/>
            </w:pPr>
            <w:r>
              <w:rPr>
                <w:b/>
                <w:bCs/>
                <w:color w:val="202020"/>
                <w:sz w:val="19"/>
                <w:szCs w:val="19"/>
              </w:rPr>
              <w:t xml:space="preserve">fixed (scaled + weighted + logloss)</w:t>
            </w:r>
          </w:p>
        </w:tc>
        <w:tc>
          <w:tcPr>
            <w:tcW w:type="dxa" w:w="1900"/>
            <w:tcMar>
              <w:top w:type="dxa" w:w="40"/>
              <w:left w:type="dxa" w:w="90"/>
              <w:bottom w:type="dxa" w:w="40"/>
              <w:right w:type="dxa" w:w="90"/>
            </w:tcMar>
          </w:tcPr>
          <w:p>
            <w:pPr>
              <w:spacing w:after="0" w:line="252"/>
              <w:jc w:val="center"/>
            </w:pPr>
            <w:r>
              <w:rPr>
                <w:b/>
                <w:bCs/>
                <w:color w:val="202020"/>
                <w:sz w:val="19"/>
                <w:szCs w:val="19"/>
              </w:rPr>
              <w:t xml:space="preserve">0.555 ± 0.045</w:t>
            </w:r>
          </w:p>
        </w:tc>
        <w:tc>
          <w:tcPr>
            <w:tcW w:type="dxa" w:w="1500"/>
            <w:tcMar>
              <w:top w:type="dxa" w:w="40"/>
              <w:left w:type="dxa" w:w="90"/>
              <w:bottom w:type="dxa" w:w="40"/>
              <w:right w:type="dxa" w:w="90"/>
            </w:tcMar>
          </w:tcPr>
          <w:p>
            <w:pPr>
              <w:spacing w:after="0" w:line="252"/>
              <w:jc w:val="center"/>
            </w:pPr>
            <w:r>
              <w:rPr>
                <w:b/>
                <w:bCs/>
                <w:color w:val="202020"/>
                <w:sz w:val="19"/>
                <w:szCs w:val="19"/>
              </w:rPr>
              <w:t xml:space="preserve">0.798</w:t>
            </w:r>
          </w:p>
        </w:tc>
        <w:tc>
          <w:tcPr>
            <w:tcW w:type="dxa" w:w="2200"/>
            <w:tcMar>
              <w:top w:type="dxa" w:w="40"/>
              <w:left w:type="dxa" w:w="90"/>
              <w:bottom w:type="dxa" w:w="40"/>
              <w:right w:type="dxa" w:w="90"/>
            </w:tcMar>
          </w:tcPr>
          <w:p>
            <w:pPr>
              <w:spacing w:after="0" w:line="252"/>
              <w:jc w:val="center"/>
            </w:pPr>
            <w:r>
              <w:rPr>
                <w:b w:val="false"/>
                <w:bCs w:val="false"/>
                <w:color w:val="202020"/>
                <w:sz w:val="19"/>
                <w:szCs w:val="19"/>
              </w:rPr>
              <w:t xml:space="preserve">0.22  (≈ true rate)</w:t>
            </w:r>
          </w:p>
        </w:tc>
      </w:tr>
    </w:tbl>
    <w:p>
      <w:pPr>
        <w:spacing w:after="180" w:before="60"/>
      </w:pPr>
      <w:r>
        <w:rPr>
          <w:i/>
          <w:iCs/>
          <w:color w:val="5A5A5A"/>
          <w:sz w:val="17"/>
          <w:szCs w:val="17"/>
        </w:rPr>
        <w:t xml:space="preserve">Table 10. The fix adds +0.054 PR-AUC on real data and moves the predicted-positive rate from 3% toward the true ~27%. A synthetic MLP proxy had predicted a larger +0.33; the direction and mechanism held, the magnitude was smaller, as expected.</w:t>
      </w:r>
    </w:p>
    <w:p>
      <w:pPr>
        <w:spacing w:after="140" w:line="276"/>
      </w:pPr>
      <w:r>
        <w:rPr>
          <w:color w:val="202020"/>
          <w:sz w:val="22"/>
          <w:szCs w:val="22"/>
        </w:rPr>
        <w:t xml:space="preserve">The fix closes part of the gap, not all of it — fixed TabNet (0.555) is still well below FT-Transformer's 0.730 on shared cells, and whether the residual is architectural or further-fixable is open. But the takeaway is that the raw TabNet-vs-FT gap in the leaderboard overstates any architectural difference.</w:t>
      </w:r>
    </w:p>
    <w:p>
      <w:pPr>
        <w:pStyle w:val="Heading2"/>
        <w:spacing w:after="100" w:before="220"/>
      </w:pPr>
      <w:r>
        <w:rPr>
          <w:b/>
          <w:bCs/>
          <w:color w:val="1F3864"/>
          <w:sz w:val="24"/>
          <w:szCs w:val="24"/>
        </w:rPr>
        <w:t xml:space="preserve">6.2 Where text beats deep tabular, it is because tabular is structurally blind</w:t>
      </w:r>
    </w:p>
    <w:p>
      <w:pPr>
        <w:spacing w:after="140" w:line="276"/>
      </w:pPr>
      <w:r>
        <w:rPr>
          <w:color w:val="202020"/>
          <w:sz w:val="22"/>
          <w:szCs w:val="22"/>
        </w:rPr>
        <w:t xml:space="preserve">The relationship between text and tabular is cell-dependent, and the mortality task shows both regimes cleanly. On Phase 1, where the healthy-volunteer flag is the dominant tabular feature, text mostly re-derives that same fact — the mean tfidf score is 0.177 for trials that accept healthy volunteers versus 0.584 for those that do not (over 3× apart), and 181 of 419 test rows literally contain the word “healthy.” Text isn't adding new information there; it is re-deriving the same distinction with finer vocabulary.</w:t>
      </w:r>
    </w:p>
    <w:p>
      <w:pPr>
        <w:spacing w:after="140" w:line="276"/>
      </w:pPr>
      <w:r>
        <w:rPr>
          <w:color w:val="202020"/>
          <w:sz w:val="22"/>
          <w:szCs w:val="22"/>
        </w:rPr>
        <w:t xml:space="preserve">On Phase 2 the story changes. This cell has the largest text-vs-deep-tabular gap in the results — tfidf_logreg 0.853 vs. ft_transformer 0.712 vs. tabnet 0.549 — and the healthy-volunteer flag barely applies (only 85 of 1,600 test rows, 5.3%, mention “healthy”). The real driver is which specific disease or acute condition a trial treats: the strongest terms toward mortality are leukemia, transplant, COVID-19, and mechanical ventilation. That is information with no tabular counterpart at all — the 42–43 columns the featurizer produces are purely administrative, and the fields where “leukemia” or “COVID-19” appear (condition, brief_summary, brief_title, keyword) are declared text columns and explicitly excluded from the tabular view.</w:t>
      </w:r>
    </w:p>
    <w:p>
      <w:pPr>
        <w:spacing w:after="140" w:line="276"/>
      </w:pPr>
      <w:r>
        <w:rPr>
          <w:color w:val="202020"/>
          <w:sz w:val="22"/>
          <w:szCs w:val="22"/>
        </w:rPr>
        <w:t xml:space="preserve">So on Phase 2, FT-Transformer and TabNet do not underperform because of an architecture or training deficiency — on that cell they are </w:t>
      </w:r>
      <w:r>
        <w:rPr>
          <w:b/>
          <w:bCs/>
          <w:color w:val="202020"/>
          <w:sz w:val="22"/>
          <w:szCs w:val="22"/>
        </w:rPr>
        <w:t xml:space="preserve">structurally blind</w:t>
      </w:r>
      <w:r>
        <w:rPr>
          <w:color w:val="202020"/>
          <w:sz w:val="22"/>
          <w:szCs w:val="22"/>
        </w:rPr>
        <w:t xml:space="preserve"> to the dominant signal, regardless of architecture, because it was never in their input. This is the concrete, evidence-backed case for a tabular+text fusion entry (the Tier D fingerprint_fusion stub): combining views should help most exactly where the two are complementary rather than redundant, and the current single-view leaderboard cannot distinguish “text and tabular agree” cells from “text sees something tabular can't” cells — both just look like “tfidf wins.”</w:t>
      </w:r>
    </w:p>
    <w:p>
      <w:pPr>
        <w:pStyle w:val="Heading1"/>
        <w:spacing w:after="140" w:before="320"/>
      </w:pPr>
      <w:r>
        <w:rPr>
          <w:b/>
          <w:bCs/>
          <w:color w:val="2F5496"/>
          <w:sz w:val="30"/>
          <w:szCs w:val="30"/>
        </w:rPr>
        <w:t xml:space="preserve">7. Deep Dive: Assessment of Text Models (Why BERT Underperformed)</w:t>
      </w:r>
    </w:p>
    <w:p>
      <w:pPr>
        <w:spacing w:after="140" w:line="276"/>
      </w:pPr>
      <w:r>
        <w:rPr>
          <w:color w:val="202020"/>
          <w:sz w:val="22"/>
          <w:szCs w:val="22"/>
        </w:rPr>
        <w:t xml:space="preserve">There are two text models in the benchmark: tfidf_logreg (Tier A, ~1–2 seconds per cell) and clinical_embeddings (Tier C, frozen Bio_ClinicalBERT, ~51 minutes per cell). Given the cost ratio of roughly 1,000×, the question is whether the BERT path buys anything. Checked against the existing results — every cell where both methods completed (all 9).</w:t>
      </w:r>
    </w:p>
    <w:p>
      <w:pPr>
        <w:pStyle w:val="Heading2"/>
        <w:spacing w:after="100" w:before="220"/>
      </w:pPr>
      <w:r>
        <w:rPr>
          <w:b/>
          <w:bCs/>
          <w:color w:val="1F3864"/>
          <w:sz w:val="24"/>
          <w:szCs w:val="24"/>
        </w:rPr>
        <w:t xml:space="preserve">7.1 Result: zero wins in nine cells</w:t>
      </w:r>
    </w:p>
    <w:tbl>
      <w:tblPr>
        <w:tblW w:type="dxa" w:w="9360"/>
        <w:tblBorders>
          <w:top w:val="single" w:color="BFC7D6" w:sz="4"/>
          <w:left w:val="single" w:color="BFC7D6" w:sz="4"/>
          <w:bottom w:val="single" w:color="BFC7D6" w:sz="4"/>
          <w:right w:val="single" w:color="BFC7D6" w:sz="4"/>
          <w:insideH w:val="single" w:color="BFC7D6" w:sz="2"/>
          <w:insideV w:val="single" w:color="BFC7D6" w:sz="2"/>
        </w:tblBorders>
      </w:tblPr>
      <w:tblGrid>
        <w:gridCol w:w="3360"/>
        <w:gridCol w:w="2000"/>
        <w:gridCol w:w="2500"/>
        <w:gridCol w:w="1500"/>
      </w:tblGrid>
      <w:tr>
        <w:trPr>
          <w:tblHeader/>
        </w:trPr>
        <w:tc>
          <w:tcPr>
            <w:tcW w:type="dxa" w:w="3360"/>
            <w:shd w:fill="2F5496" w:color="auto" w:val="clear"/>
            <w:tcMar>
              <w:top w:type="dxa" w:w="40"/>
              <w:left w:type="dxa" w:w="90"/>
              <w:bottom w:type="dxa" w:w="40"/>
              <w:right w:type="dxa" w:w="90"/>
            </w:tcMar>
          </w:tcPr>
          <w:p>
            <w:pPr>
              <w:spacing w:after="0" w:line="252"/>
              <w:jc w:val="left"/>
            </w:pPr>
            <w:r>
              <w:rPr>
                <w:b/>
                <w:bCs/>
                <w:color w:val="FFFFFF"/>
                <w:sz w:val="19"/>
                <w:szCs w:val="19"/>
              </w:rPr>
              <w:t xml:space="preserve">Task / Phase</w:t>
            </w:r>
          </w:p>
        </w:tc>
        <w:tc>
          <w:tcPr>
            <w:tcW w:type="dxa" w:w="2000"/>
            <w:shd w:fill="2F5496" w:color="auto" w:val="clear"/>
            <w:tcMar>
              <w:top w:type="dxa" w:w="40"/>
              <w:left w:type="dxa" w:w="90"/>
              <w:bottom w:type="dxa" w:w="40"/>
              <w:right w:type="dxa" w:w="90"/>
            </w:tcMar>
          </w:tcPr>
          <w:p>
            <w:pPr>
              <w:spacing w:after="0" w:line="252"/>
              <w:jc w:val="center"/>
            </w:pPr>
            <w:r>
              <w:rPr>
                <w:b/>
                <w:bCs/>
                <w:color w:val="FFFFFF"/>
                <w:sz w:val="19"/>
                <w:szCs w:val="19"/>
              </w:rPr>
              <w:t xml:space="preserve">tfidf_logreg</w:t>
            </w:r>
          </w:p>
        </w:tc>
        <w:tc>
          <w:tcPr>
            <w:tcW w:type="dxa" w:w="2500"/>
            <w:shd w:fill="2F5496" w:color="auto" w:val="clear"/>
            <w:tcMar>
              <w:top w:type="dxa" w:w="40"/>
              <w:left w:type="dxa" w:w="90"/>
              <w:bottom w:type="dxa" w:w="40"/>
              <w:right w:type="dxa" w:w="90"/>
            </w:tcMar>
          </w:tcPr>
          <w:p>
            <w:pPr>
              <w:spacing w:after="0" w:line="252"/>
              <w:jc w:val="center"/>
            </w:pPr>
            <w:r>
              <w:rPr>
                <w:b/>
                <w:bCs/>
                <w:color w:val="FFFFFF"/>
                <w:sz w:val="19"/>
                <w:szCs w:val="19"/>
              </w:rPr>
              <w:t xml:space="preserve">clinical_embeddings</w:t>
            </w:r>
          </w:p>
        </w:tc>
        <w:tc>
          <w:tcPr>
            <w:tcW w:type="dxa" w:w="1500"/>
            <w:shd w:fill="2F5496" w:color="auto" w:val="clear"/>
            <w:tcMar>
              <w:top w:type="dxa" w:w="40"/>
              <w:left w:type="dxa" w:w="90"/>
              <w:bottom w:type="dxa" w:w="40"/>
              <w:right w:type="dxa" w:w="90"/>
            </w:tcMar>
          </w:tcPr>
          <w:p>
            <w:pPr>
              <w:spacing w:after="0" w:line="252"/>
              <w:jc w:val="center"/>
            </w:pPr>
            <w:r>
              <w:rPr>
                <w:b/>
                <w:bCs/>
                <w:color w:val="FFFFFF"/>
                <w:sz w:val="19"/>
                <w:szCs w:val="19"/>
              </w:rPr>
              <w:t xml:space="preserve">Δ (BERT − TF-IDF)</w:t>
            </w:r>
          </w:p>
        </w:tc>
      </w:tr>
      <w:tr>
        <w:tc>
          <w:tcPr>
            <w:tcW w:type="dxa" w:w="3360"/>
            <w:tcMar>
              <w:top w:type="dxa" w:w="40"/>
              <w:left w:type="dxa" w:w="90"/>
              <w:bottom w:type="dxa" w:w="40"/>
              <w:right w:type="dxa" w:w="90"/>
            </w:tcMar>
          </w:tcPr>
          <w:p>
            <w:pPr>
              <w:spacing w:after="0" w:line="252"/>
              <w:jc w:val="left"/>
            </w:pPr>
            <w:r>
              <w:rPr>
                <w:b w:val="false"/>
                <w:bCs w:val="false"/>
                <w:color w:val="202020"/>
                <w:sz w:val="19"/>
                <w:szCs w:val="19"/>
              </w:rPr>
              <w:t xml:space="preserve">serious_adverse / Phase1</w:t>
            </w:r>
          </w:p>
        </w:tc>
        <w:tc>
          <w:tcPr>
            <w:tcW w:type="dxa" w:w="2000"/>
            <w:tcMar>
              <w:top w:type="dxa" w:w="40"/>
              <w:left w:type="dxa" w:w="90"/>
              <w:bottom w:type="dxa" w:w="40"/>
              <w:right w:type="dxa" w:w="90"/>
            </w:tcMar>
          </w:tcPr>
          <w:p>
            <w:pPr>
              <w:spacing w:after="0" w:line="252"/>
              <w:jc w:val="center"/>
            </w:pPr>
            <w:r>
              <w:rPr>
                <w:b w:val="false"/>
                <w:bCs w:val="false"/>
                <w:color w:val="202020"/>
                <w:sz w:val="19"/>
                <w:szCs w:val="19"/>
              </w:rPr>
              <w:t xml:space="preserve">0.909</w:t>
            </w:r>
          </w:p>
        </w:tc>
        <w:tc>
          <w:tcPr>
            <w:tcW w:type="dxa" w:w="2500"/>
            <w:tcMar>
              <w:top w:type="dxa" w:w="40"/>
              <w:left w:type="dxa" w:w="90"/>
              <w:bottom w:type="dxa" w:w="40"/>
              <w:right w:type="dxa" w:w="90"/>
            </w:tcMar>
          </w:tcPr>
          <w:p>
            <w:pPr>
              <w:spacing w:after="0" w:line="252"/>
              <w:jc w:val="center"/>
            </w:pPr>
            <w:r>
              <w:rPr>
                <w:b w:val="false"/>
                <w:bCs w:val="false"/>
                <w:color w:val="202020"/>
                <w:sz w:val="19"/>
                <w:szCs w:val="19"/>
              </w:rPr>
              <w:t xml:space="preserve">0.824</w:t>
            </w:r>
          </w:p>
        </w:tc>
        <w:tc>
          <w:tcPr>
            <w:tcW w:type="dxa" w:w="1500"/>
            <w:tcMar>
              <w:top w:type="dxa" w:w="40"/>
              <w:left w:type="dxa" w:w="90"/>
              <w:bottom w:type="dxa" w:w="40"/>
              <w:right w:type="dxa" w:w="90"/>
            </w:tcMar>
          </w:tcPr>
          <w:p>
            <w:pPr>
              <w:spacing w:after="0" w:line="252"/>
              <w:jc w:val="center"/>
            </w:pPr>
            <w:r>
              <w:rPr>
                <w:b w:val="false"/>
                <w:bCs w:val="false"/>
                <w:color w:val="202020"/>
                <w:sz w:val="19"/>
                <w:szCs w:val="19"/>
              </w:rPr>
              <w:t xml:space="preserve">−0.085</w:t>
            </w:r>
          </w:p>
        </w:tc>
      </w:tr>
      <w:tr>
        <w:tc>
          <w:tcPr>
            <w:tcW w:type="dxa" w:w="336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mortality / Phase1</w:t>
            </w:r>
          </w:p>
        </w:tc>
        <w:tc>
          <w:tcPr>
            <w:tcW w:type="dxa" w:w="20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0.857</w:t>
            </w:r>
          </w:p>
        </w:tc>
        <w:tc>
          <w:tcPr>
            <w:tcW w:type="dxa" w:w="25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0.752</w:t>
            </w:r>
          </w:p>
        </w:tc>
        <w:tc>
          <w:tcPr>
            <w:tcW w:type="dxa" w:w="15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−0.105</w:t>
            </w:r>
          </w:p>
        </w:tc>
      </w:tr>
      <w:tr>
        <w:tc>
          <w:tcPr>
            <w:tcW w:type="dxa" w:w="3360"/>
            <w:tcMar>
              <w:top w:type="dxa" w:w="40"/>
              <w:left w:type="dxa" w:w="90"/>
              <w:bottom w:type="dxa" w:w="40"/>
              <w:right w:type="dxa" w:w="90"/>
            </w:tcMar>
          </w:tcPr>
          <w:p>
            <w:pPr>
              <w:spacing w:after="0" w:line="252"/>
              <w:jc w:val="left"/>
            </w:pPr>
            <w:r>
              <w:rPr>
                <w:b w:val="false"/>
                <w:bCs w:val="false"/>
                <w:color w:val="202020"/>
                <w:sz w:val="19"/>
                <w:szCs w:val="19"/>
              </w:rPr>
              <w:t xml:space="preserve">mortality / Phase2</w:t>
            </w:r>
          </w:p>
        </w:tc>
        <w:tc>
          <w:tcPr>
            <w:tcW w:type="dxa" w:w="2000"/>
            <w:tcMar>
              <w:top w:type="dxa" w:w="40"/>
              <w:left w:type="dxa" w:w="90"/>
              <w:bottom w:type="dxa" w:w="40"/>
              <w:right w:type="dxa" w:w="90"/>
            </w:tcMar>
          </w:tcPr>
          <w:p>
            <w:pPr>
              <w:spacing w:after="0" w:line="252"/>
              <w:jc w:val="center"/>
            </w:pPr>
            <w:r>
              <w:rPr>
                <w:b w:val="false"/>
                <w:bCs w:val="false"/>
                <w:color w:val="202020"/>
                <w:sz w:val="19"/>
                <w:szCs w:val="19"/>
              </w:rPr>
              <w:t xml:space="preserve">0.853</w:t>
            </w:r>
          </w:p>
        </w:tc>
        <w:tc>
          <w:tcPr>
            <w:tcW w:type="dxa" w:w="2500"/>
            <w:tcMar>
              <w:top w:type="dxa" w:w="40"/>
              <w:left w:type="dxa" w:w="90"/>
              <w:bottom w:type="dxa" w:w="40"/>
              <w:right w:type="dxa" w:w="90"/>
            </w:tcMar>
          </w:tcPr>
          <w:p>
            <w:pPr>
              <w:spacing w:after="0" w:line="252"/>
              <w:jc w:val="center"/>
            </w:pPr>
            <w:r>
              <w:rPr>
                <w:b w:val="false"/>
                <w:bCs w:val="false"/>
                <w:color w:val="202020"/>
                <w:sz w:val="19"/>
                <w:szCs w:val="19"/>
              </w:rPr>
              <w:t xml:space="preserve">0.773</w:t>
            </w:r>
          </w:p>
        </w:tc>
        <w:tc>
          <w:tcPr>
            <w:tcW w:type="dxa" w:w="1500"/>
            <w:tcMar>
              <w:top w:type="dxa" w:w="40"/>
              <w:left w:type="dxa" w:w="90"/>
              <w:bottom w:type="dxa" w:w="40"/>
              <w:right w:type="dxa" w:w="90"/>
            </w:tcMar>
          </w:tcPr>
          <w:p>
            <w:pPr>
              <w:spacing w:after="0" w:line="252"/>
              <w:jc w:val="center"/>
            </w:pPr>
            <w:r>
              <w:rPr>
                <w:b w:val="false"/>
                <w:bCs w:val="false"/>
                <w:color w:val="202020"/>
                <w:sz w:val="19"/>
                <w:szCs w:val="19"/>
              </w:rPr>
              <w:t xml:space="preserve">−0.079</w:t>
            </w:r>
          </w:p>
        </w:tc>
      </w:tr>
      <w:tr>
        <w:tc>
          <w:tcPr>
            <w:tcW w:type="dxa" w:w="336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mortality / Phase3</w:t>
            </w:r>
          </w:p>
        </w:tc>
        <w:tc>
          <w:tcPr>
            <w:tcW w:type="dxa" w:w="20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0.852</w:t>
            </w:r>
          </w:p>
        </w:tc>
        <w:tc>
          <w:tcPr>
            <w:tcW w:type="dxa" w:w="25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0.751</w:t>
            </w:r>
          </w:p>
        </w:tc>
        <w:tc>
          <w:tcPr>
            <w:tcW w:type="dxa" w:w="15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−0.101</w:t>
            </w:r>
          </w:p>
        </w:tc>
      </w:tr>
      <w:tr>
        <w:tc>
          <w:tcPr>
            <w:tcW w:type="dxa" w:w="3360"/>
            <w:tcMar>
              <w:top w:type="dxa" w:w="40"/>
              <w:left w:type="dxa" w:w="90"/>
              <w:bottom w:type="dxa" w:w="40"/>
              <w:right w:type="dxa" w:w="90"/>
            </w:tcMar>
          </w:tcPr>
          <w:p>
            <w:pPr>
              <w:spacing w:after="0" w:line="252"/>
              <w:jc w:val="left"/>
            </w:pPr>
            <w:r>
              <w:rPr>
                <w:b w:val="false"/>
                <w:bCs w:val="false"/>
                <w:color w:val="202020"/>
                <w:sz w:val="19"/>
                <w:szCs w:val="19"/>
              </w:rPr>
              <w:t xml:space="preserve">outcome / Phase1</w:t>
            </w:r>
          </w:p>
        </w:tc>
        <w:tc>
          <w:tcPr>
            <w:tcW w:type="dxa" w:w="2000"/>
            <w:tcMar>
              <w:top w:type="dxa" w:w="40"/>
              <w:left w:type="dxa" w:w="90"/>
              <w:bottom w:type="dxa" w:w="40"/>
              <w:right w:type="dxa" w:w="90"/>
            </w:tcMar>
          </w:tcPr>
          <w:p>
            <w:pPr>
              <w:spacing w:after="0" w:line="252"/>
              <w:jc w:val="center"/>
            </w:pPr>
            <w:r>
              <w:rPr>
                <w:b w:val="false"/>
                <w:bCs w:val="false"/>
                <w:color w:val="202020"/>
                <w:sz w:val="19"/>
                <w:szCs w:val="19"/>
              </w:rPr>
              <w:t xml:space="preserve">0.662</w:t>
            </w:r>
          </w:p>
        </w:tc>
        <w:tc>
          <w:tcPr>
            <w:tcW w:type="dxa" w:w="2500"/>
            <w:tcMar>
              <w:top w:type="dxa" w:w="40"/>
              <w:left w:type="dxa" w:w="90"/>
              <w:bottom w:type="dxa" w:w="40"/>
              <w:right w:type="dxa" w:w="90"/>
            </w:tcMar>
          </w:tcPr>
          <w:p>
            <w:pPr>
              <w:spacing w:after="0" w:line="252"/>
              <w:jc w:val="center"/>
            </w:pPr>
            <w:r>
              <w:rPr>
                <w:b w:val="false"/>
                <w:bCs w:val="false"/>
                <w:color w:val="202020"/>
                <w:sz w:val="19"/>
                <w:szCs w:val="19"/>
              </w:rPr>
              <w:t xml:space="preserve">0.520</w:t>
            </w:r>
          </w:p>
        </w:tc>
        <w:tc>
          <w:tcPr>
            <w:tcW w:type="dxa" w:w="1500"/>
            <w:tcMar>
              <w:top w:type="dxa" w:w="40"/>
              <w:left w:type="dxa" w:w="90"/>
              <w:bottom w:type="dxa" w:w="40"/>
              <w:right w:type="dxa" w:w="90"/>
            </w:tcMar>
          </w:tcPr>
          <w:p>
            <w:pPr>
              <w:spacing w:after="0" w:line="252"/>
              <w:jc w:val="center"/>
            </w:pPr>
            <w:r>
              <w:rPr>
                <w:b w:val="false"/>
                <w:bCs w:val="false"/>
                <w:color w:val="202020"/>
                <w:sz w:val="19"/>
                <w:szCs w:val="19"/>
              </w:rPr>
              <w:t xml:space="preserve">−0.142</w:t>
            </w:r>
          </w:p>
        </w:tc>
      </w:tr>
      <w:tr>
        <w:tc>
          <w:tcPr>
            <w:tcW w:type="dxa" w:w="336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outcome / Phase2</w:t>
            </w:r>
          </w:p>
        </w:tc>
        <w:tc>
          <w:tcPr>
            <w:tcW w:type="dxa" w:w="20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0.598</w:t>
            </w:r>
          </w:p>
        </w:tc>
        <w:tc>
          <w:tcPr>
            <w:tcW w:type="dxa" w:w="25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0.497</w:t>
            </w:r>
          </w:p>
        </w:tc>
        <w:tc>
          <w:tcPr>
            <w:tcW w:type="dxa" w:w="15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−0.101</w:t>
            </w:r>
          </w:p>
        </w:tc>
      </w:tr>
      <w:tr>
        <w:tc>
          <w:tcPr>
            <w:tcW w:type="dxa" w:w="3360"/>
            <w:tcMar>
              <w:top w:type="dxa" w:w="40"/>
              <w:left w:type="dxa" w:w="90"/>
              <w:bottom w:type="dxa" w:w="40"/>
              <w:right w:type="dxa" w:w="90"/>
            </w:tcMar>
          </w:tcPr>
          <w:p>
            <w:pPr>
              <w:spacing w:after="0" w:line="252"/>
              <w:jc w:val="left"/>
            </w:pPr>
            <w:r>
              <w:rPr>
                <w:b w:val="false"/>
                <w:bCs w:val="false"/>
                <w:color w:val="202020"/>
                <w:sz w:val="19"/>
                <w:szCs w:val="19"/>
              </w:rPr>
              <w:t xml:space="preserve">outcome / Phase3</w:t>
            </w:r>
          </w:p>
        </w:tc>
        <w:tc>
          <w:tcPr>
            <w:tcW w:type="dxa" w:w="2000"/>
            <w:tcMar>
              <w:top w:type="dxa" w:w="40"/>
              <w:left w:type="dxa" w:w="90"/>
              <w:bottom w:type="dxa" w:w="40"/>
              <w:right w:type="dxa" w:w="90"/>
            </w:tcMar>
          </w:tcPr>
          <w:p>
            <w:pPr>
              <w:spacing w:after="0" w:line="252"/>
              <w:jc w:val="center"/>
            </w:pPr>
            <w:r>
              <w:rPr>
                <w:b w:val="false"/>
                <w:bCs w:val="false"/>
                <w:color w:val="202020"/>
                <w:sz w:val="19"/>
                <w:szCs w:val="19"/>
              </w:rPr>
              <w:t xml:space="preserve">0.824</w:t>
            </w:r>
          </w:p>
        </w:tc>
        <w:tc>
          <w:tcPr>
            <w:tcW w:type="dxa" w:w="2500"/>
            <w:tcMar>
              <w:top w:type="dxa" w:w="40"/>
              <w:left w:type="dxa" w:w="90"/>
              <w:bottom w:type="dxa" w:w="40"/>
              <w:right w:type="dxa" w:w="90"/>
            </w:tcMar>
          </w:tcPr>
          <w:p>
            <w:pPr>
              <w:spacing w:after="0" w:line="252"/>
              <w:jc w:val="center"/>
            </w:pPr>
            <w:r>
              <w:rPr>
                <w:b w:val="false"/>
                <w:bCs w:val="false"/>
                <w:color w:val="202020"/>
                <w:sz w:val="19"/>
                <w:szCs w:val="19"/>
              </w:rPr>
              <w:t xml:space="preserve">0.712</w:t>
            </w:r>
          </w:p>
        </w:tc>
        <w:tc>
          <w:tcPr>
            <w:tcW w:type="dxa" w:w="1500"/>
            <w:tcMar>
              <w:top w:type="dxa" w:w="40"/>
              <w:left w:type="dxa" w:w="90"/>
              <w:bottom w:type="dxa" w:w="40"/>
              <w:right w:type="dxa" w:w="90"/>
            </w:tcMar>
          </w:tcPr>
          <w:p>
            <w:pPr>
              <w:spacing w:after="0" w:line="252"/>
              <w:jc w:val="center"/>
            </w:pPr>
            <w:r>
              <w:rPr>
                <w:b w:val="false"/>
                <w:bCs w:val="false"/>
                <w:color w:val="202020"/>
                <w:sz w:val="19"/>
                <w:szCs w:val="19"/>
              </w:rPr>
              <w:t xml:space="preserve">−0.112</w:t>
            </w:r>
          </w:p>
        </w:tc>
      </w:tr>
      <w:tr>
        <w:tc>
          <w:tcPr>
            <w:tcW w:type="dxa" w:w="336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outcome / Phase4</w:t>
            </w:r>
          </w:p>
        </w:tc>
        <w:tc>
          <w:tcPr>
            <w:tcW w:type="dxa" w:w="20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0.621</w:t>
            </w:r>
          </w:p>
        </w:tc>
        <w:tc>
          <w:tcPr>
            <w:tcW w:type="dxa" w:w="25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0.504</w:t>
            </w:r>
          </w:p>
        </w:tc>
        <w:tc>
          <w:tcPr>
            <w:tcW w:type="dxa" w:w="15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−0.117</w:t>
            </w:r>
          </w:p>
        </w:tc>
      </w:tr>
      <w:tr>
        <w:tc>
          <w:tcPr>
            <w:tcW w:type="dxa" w:w="3360"/>
            <w:tcMar>
              <w:top w:type="dxa" w:w="40"/>
              <w:left w:type="dxa" w:w="90"/>
              <w:bottom w:type="dxa" w:w="40"/>
              <w:right w:type="dxa" w:w="90"/>
            </w:tcMar>
          </w:tcPr>
          <w:p>
            <w:pPr>
              <w:spacing w:after="0" w:line="252"/>
              <w:jc w:val="left"/>
            </w:pPr>
            <w:r>
              <w:rPr>
                <w:b w:val="false"/>
                <w:bCs w:val="false"/>
                <w:color w:val="202020"/>
                <w:sz w:val="19"/>
                <w:szCs w:val="19"/>
              </w:rPr>
              <w:t xml:space="preserve">mortality / Phase4</w:t>
            </w:r>
          </w:p>
        </w:tc>
        <w:tc>
          <w:tcPr>
            <w:tcW w:type="dxa" w:w="2000"/>
            <w:tcMar>
              <w:top w:type="dxa" w:w="40"/>
              <w:left w:type="dxa" w:w="90"/>
              <w:bottom w:type="dxa" w:w="40"/>
              <w:right w:type="dxa" w:w="90"/>
            </w:tcMar>
          </w:tcPr>
          <w:p>
            <w:pPr>
              <w:spacing w:after="0" w:line="252"/>
              <w:jc w:val="center"/>
            </w:pPr>
            <w:r>
              <w:rPr>
                <w:b w:val="false"/>
                <w:bCs w:val="false"/>
                <w:color w:val="202020"/>
                <w:sz w:val="19"/>
                <w:szCs w:val="19"/>
              </w:rPr>
              <w:t xml:space="preserve">0.504</w:t>
            </w:r>
          </w:p>
        </w:tc>
        <w:tc>
          <w:tcPr>
            <w:tcW w:type="dxa" w:w="2500"/>
            <w:tcMar>
              <w:top w:type="dxa" w:w="40"/>
              <w:left w:type="dxa" w:w="90"/>
              <w:bottom w:type="dxa" w:w="40"/>
              <w:right w:type="dxa" w:w="90"/>
            </w:tcMar>
          </w:tcPr>
          <w:p>
            <w:pPr>
              <w:spacing w:after="0" w:line="252"/>
              <w:jc w:val="center"/>
            </w:pPr>
            <w:r>
              <w:rPr>
                <w:b w:val="false"/>
                <w:bCs w:val="false"/>
                <w:color w:val="202020"/>
                <w:sz w:val="19"/>
                <w:szCs w:val="19"/>
              </w:rPr>
              <w:t xml:space="preserve">0.294</w:t>
            </w:r>
          </w:p>
        </w:tc>
        <w:tc>
          <w:tcPr>
            <w:tcW w:type="dxa" w:w="1500"/>
            <w:tcMar>
              <w:top w:type="dxa" w:w="40"/>
              <w:left w:type="dxa" w:w="90"/>
              <w:bottom w:type="dxa" w:w="40"/>
              <w:right w:type="dxa" w:w="90"/>
            </w:tcMar>
          </w:tcPr>
          <w:p>
            <w:pPr>
              <w:spacing w:after="0" w:line="252"/>
              <w:jc w:val="center"/>
            </w:pPr>
            <w:r>
              <w:rPr>
                <w:b w:val="false"/>
                <w:bCs w:val="false"/>
                <w:color w:val="202020"/>
                <w:sz w:val="19"/>
                <w:szCs w:val="19"/>
              </w:rPr>
              <w:t xml:space="preserve">−0.210</w:t>
            </w:r>
          </w:p>
        </w:tc>
      </w:tr>
    </w:tbl>
    <w:p>
      <w:pPr>
        <w:spacing w:after="180" w:before="60"/>
      </w:pPr>
      <w:r>
        <w:rPr>
          <w:i/>
          <w:iCs/>
          <w:color w:val="5A5A5A"/>
          <w:sz w:val="17"/>
          <w:szCs w:val="17"/>
        </w:rPr>
        <w:t xml:space="preserve">Table 11. clinical_embeddings loses to tfidf_logreg in all 9 comparable cells. Mean Δ = −0.117 PR-AUC; best case for BERT is still a −0.079 loss.</w:t>
      </w:r>
    </w:p>
    <w:p>
      <w:pPr>
        <w:spacing w:after="140" w:line="276"/>
      </w:pPr>
      <w:r>
        <w:rPr>
          <w:color w:val="202020"/>
          <w:sz w:val="22"/>
          <w:szCs w:val="22"/>
        </w:rPr>
        <w:t xml:space="preserve">There is no cell anywhere in the current results where the frozen-BERT path beats plain TF-IDF + logistic regression. On the cost side, clinical_embeddings is roughly 1,000–5,000× the wall-clock cost per cell — and it was the direct cause of the Tier B/C grid getting cut off mid-run, so its cost is not a rounding error but the reason the benchmark could not finish.</w:t>
      </w:r>
    </w:p>
    <w:p>
      <w:pPr>
        <w:pStyle w:val="Heading2"/>
        <w:spacing w:after="100" w:before="220"/>
      </w:pPr>
      <w:r>
        <w:rPr>
          <w:b/>
          <w:bCs/>
          <w:color w:val="1F3864"/>
          <w:sz w:val="24"/>
          <w:szCs w:val="24"/>
        </w:rPr>
        <w:t xml:space="preserve">7.2 Why: method–task mismatch, not a fluke</w:t>
      </w:r>
    </w:p>
    <w:p>
      <w:pPr>
        <w:spacing w:after="140" w:line="276"/>
      </w:pPr>
      <w:r>
        <w:rPr>
          <w:color w:val="202020"/>
          <w:sz w:val="22"/>
          <w:szCs w:val="22"/>
        </w:rPr>
        <w:t xml:space="preserve">Three things point the same direction. First, the task's signal is keyword-driven, not contextual — the discriminative tokens are specific disease names and boilerplate phrases (leukemia, metastatic, healthy, single dose, BMI), which is exactly what TF-IDF plus a linear model is built to exploit, assigning each term its own large, task-specific coefficient. Second, the embeddings are frozen and mean-pooled — Bio_ClinicalBERT is never fine-tuned; averaging every token of a long eligibility/summary document into one 768-dim vector dilutes the handful of salient keywords among administrative boilerplate, precisely the information TF-IDF's per-term weighting preserves. Third, there is a domain and data-size mismatch — Bio_ClinicalBERT was pretrained on MIMIC-III ICU discharge notes, stylistically distant from clinicaltrials.gov eligibility criteria, and these are small training sets (hundreds to a few thousand rows), the regime where bag-of-words methods routinely hold their own against frozen, un-fine-tuned embeddings.</w:t>
      </w:r>
    </w:p>
    <w:p>
      <w:pPr>
        <w:spacing w:after="140" w:line="276"/>
      </w:pPr>
      <w:r>
        <w:rPr>
          <w:color w:val="202020"/>
          <w:sz w:val="22"/>
          <w:szCs w:val="22"/>
        </w:rPr>
        <w:t xml:space="preserve">Recommendation, in order of effort: (1) cheapest — drop clinical_embeddings from the default grid or mark it opt-in/experimental, so a normal run isn't gated behind hour-plus cells for a method that never wins; (2) medium — try a lighter, faster embedding model (a MiniLM-scale sentence-transformer) to at least improve the cost side; (3) real fix — the frozen-encoder choice is itself the likeliest culprit, so fine-tuning end-to-end (GPU-preferred) to let the model learn to weight the keywords TF-IDF finds by hand may be the only way a transformer approach beats it here. Caveats: this indicts the specific configuration (frozen Bio_ClinicalBERT, mean pooling, linear head, MAX_LENGTH=256) over 9 cells and a single seed — not clinical embeddings as a category. But at −0.08 to −0.21 with zero wins across 9 independent cells, the direction is not in doubt.</w:t>
      </w:r>
    </w:p>
    <w:p>
      <w:pPr>
        <w:pStyle w:val="Heading1"/>
        <w:spacing w:after="140" w:before="320"/>
      </w:pPr>
      <w:r>
        <w:rPr>
          <w:b/>
          <w:bCs/>
          <w:color w:val="2F5496"/>
          <w:sz w:val="30"/>
          <w:szCs w:val="30"/>
        </w:rPr>
        <w:t xml:space="preserve">8. Deep Dive: Does the Molecule (SMILES) Column Carry Chemical Signal?</w:t>
      </w:r>
    </w:p>
    <w:p>
      <w:pPr>
        <w:spacing w:after="140" w:line="276"/>
      </w:pPr>
      <w:r>
        <w:rPr>
          <w:color w:val="202020"/>
          <w:sz w:val="22"/>
          <w:szCs w:val="22"/>
        </w:rPr>
        <w:t xml:space="preserve">TrialBench gives every trial a smiless column — the SMILES strings of the drugs being tested — that the benchmark has never used: the tabular featurizer deliberately excludes it, and the one method that would consume it (fingerprint_fusion) is still a stub. The question is whether that column actually knows anything, and whether it can be answered cheaply. Both answers are yes: RDKit is a single ~25 MB wheel with no torch dependency, the data is already local, and each cell has only ~450–1,500 unique molecules across thousands of trials, so the full sweep — four binary tasks × four phases, seed 42 — ran on CPU in about eight minutes. (The multiclass failure_reason task is not covered; the probe is binary-only.)</w:t>
      </w:r>
    </w:p>
    <w:p>
      <w:pPr>
        <w:pStyle w:val="Heading2"/>
        <w:spacing w:after="100" w:before="220"/>
      </w:pPr>
      <w:r>
        <w:rPr>
          <w:b/>
          <w:bCs/>
          <w:color w:val="1F3864"/>
          <w:sz w:val="24"/>
          <w:szCs w:val="24"/>
        </w:rPr>
        <w:t xml:space="preserve">8.1 Why a naive fingerprint score is close to meaningless</w:t>
      </w:r>
    </w:p>
    <w:p>
      <w:pPr>
        <w:spacing w:after="140" w:line="276"/>
      </w:pPr>
      <w:r>
        <w:rPr>
          <w:color w:val="202020"/>
          <w:sz w:val="22"/>
          <w:szCs w:val="22"/>
        </w:rPr>
        <w:t xml:space="preserve">The obvious experiment — compute Morgan fingerprints, train a classifier, report PR-AUC — produces a number that looks like chemistry but almost certainly isn't, because of two confounds:</w:t>
      </w:r>
    </w:p>
    <w:p>
      <w:pPr>
        <w:pStyle w:val="ListParagraph"/>
        <w:numPr>
          <w:ilvl w:val="0"/>
          <w:numId w:val="2"/>
        </w:numPr>
        <w:spacing w:after="80" w:line="272"/>
      </w:pPr>
      <w:r>
        <w:rPr>
          <w:b/>
          <w:bCs/>
          <w:color w:val="202020"/>
          <w:sz w:val="22"/>
          <w:szCs w:val="22"/>
        </w:rPr>
        <w:t xml:space="preserve">Presence is informative. </w:t>
      </w:r>
      <w:r>
        <w:rPr>
          <w:color w:val="202020"/>
          <w:sz w:val="22"/>
          <w:szCs w:val="22"/>
        </w:rPr>
        <w:t xml:space="preserve">Only 42.7%–63.0% of test rows have a parseable SMILES, and whether one exists tracks the kind of trial (small-molecule drug vs. device / behavioral / biologic). Any molecule model gets the has_molecule bit for free, so part of the apparent “chemistry” is really “this is a drug trial.”</w:t>
      </w:r>
    </w:p>
    <w:p>
      <w:pPr>
        <w:pStyle w:val="ListParagraph"/>
        <w:numPr>
          <w:ilvl w:val="0"/>
          <w:numId w:val="2"/>
        </w:numPr>
        <w:spacing w:after="80" w:line="272"/>
      </w:pPr>
      <w:r>
        <w:rPr>
          <w:b/>
          <w:bCs/>
          <w:color w:val="202020"/>
          <w:sz w:val="22"/>
          <w:szCs w:val="22"/>
        </w:rPr>
        <w:t xml:space="preserve">The same drugs recur. </w:t>
      </w:r>
      <w:r>
        <w:rPr>
          <w:color w:val="202020"/>
          <w:sz w:val="22"/>
          <w:szCs w:val="22"/>
        </w:rPr>
        <w:t xml:space="preserve">With only ~1,000 unique molecules spread across thousands of trials, a model can score well by recognizing specific drugs rather than reading their structure — a lookup table that tells you nothing about a compound you have not seen, which is the only case worth predicting.</w:t>
      </w:r>
    </w:p>
    <w:p>
      <w:pPr>
        <w:spacing w:after="140" w:line="276"/>
      </w:pPr>
      <w:r>
        <w:rPr>
          <w:color w:val="202020"/>
          <w:sz w:val="22"/>
          <w:szCs w:val="22"/>
        </w:rPr>
        <w:t xml:space="preserve">Each confound therefore gets an explicit control, and a chemical view only counts as informative if it beats both. The sharpest test is a novel-scaffold diagnostic: PR-AUC restricted to test trials whose Bemis–Murcko scaffolds are entirely absent from training, where drug memorization is impossible by construction (the identity control has all-zero features on those rows).</w:t>
      </w:r>
    </w:p>
    <w:tbl>
      <w:tblPr>
        <w:tblW w:type="dxa" w:w="9360"/>
        <w:tblBorders>
          <w:top w:val="single" w:color="BFC7D6" w:sz="4"/>
          <w:left w:val="single" w:color="BFC7D6" w:sz="4"/>
          <w:bottom w:val="single" w:color="BFC7D6" w:sz="4"/>
          <w:right w:val="single" w:color="BFC7D6" w:sz="4"/>
          <w:insideH w:val="single" w:color="BFC7D6" w:sz="2"/>
          <w:insideV w:val="single" w:color="BFC7D6" w:sz="2"/>
        </w:tblBorders>
      </w:tblPr>
      <w:tblGrid>
        <w:gridCol w:w="2100"/>
        <w:gridCol w:w="4260"/>
        <w:gridCol w:w="3000"/>
      </w:tblGrid>
      <w:tr>
        <w:trPr>
          <w:tblHeader/>
        </w:trPr>
        <w:tc>
          <w:tcPr>
            <w:tcW w:type="dxa" w:w="2100"/>
            <w:shd w:fill="2F5496" w:color="auto" w:val="clear"/>
            <w:tcMar>
              <w:top w:type="dxa" w:w="40"/>
              <w:left w:type="dxa" w:w="90"/>
              <w:bottom w:type="dxa" w:w="40"/>
              <w:right w:type="dxa" w:w="90"/>
            </w:tcMar>
          </w:tcPr>
          <w:p>
            <w:pPr>
              <w:spacing w:after="0" w:line="252"/>
              <w:jc w:val="left"/>
            </w:pPr>
            <w:r>
              <w:rPr>
                <w:b/>
                <w:bCs/>
                <w:color w:val="FFFFFF"/>
                <w:sz w:val="19"/>
                <w:szCs w:val="19"/>
              </w:rPr>
              <w:t xml:space="preserve">Block</w:t>
            </w:r>
          </w:p>
        </w:tc>
        <w:tc>
          <w:tcPr>
            <w:tcW w:type="dxa" w:w="4260"/>
            <w:shd w:fill="2F5496" w:color="auto" w:val="clear"/>
            <w:tcMar>
              <w:top w:type="dxa" w:w="40"/>
              <w:left w:type="dxa" w:w="90"/>
              <w:bottom w:type="dxa" w:w="40"/>
              <w:right w:type="dxa" w:w="90"/>
            </w:tcMar>
          </w:tcPr>
          <w:p>
            <w:pPr>
              <w:spacing w:after="0" w:line="252"/>
              <w:jc w:val="center"/>
            </w:pPr>
            <w:r>
              <w:rPr>
                <w:b/>
                <w:bCs/>
                <w:color w:val="FFFFFF"/>
                <w:sz w:val="19"/>
                <w:szCs w:val="19"/>
              </w:rPr>
              <w:t xml:space="preserve">What it sees</w:t>
            </w:r>
          </w:p>
        </w:tc>
        <w:tc>
          <w:tcPr>
            <w:tcW w:type="dxa" w:w="3000"/>
            <w:shd w:fill="2F5496" w:color="auto" w:val="clear"/>
            <w:tcMar>
              <w:top w:type="dxa" w:w="40"/>
              <w:left w:type="dxa" w:w="90"/>
              <w:bottom w:type="dxa" w:w="40"/>
              <w:right w:type="dxa" w:w="90"/>
            </w:tcMar>
          </w:tcPr>
          <w:p>
            <w:pPr>
              <w:spacing w:after="0" w:line="252"/>
              <w:jc w:val="center"/>
            </w:pPr>
            <w:r>
              <w:rPr>
                <w:b/>
                <w:bCs/>
                <w:color w:val="FFFFFF"/>
                <w:sz w:val="19"/>
                <w:szCs w:val="19"/>
              </w:rPr>
              <w:t xml:space="preserve">Role</w:t>
            </w:r>
          </w:p>
        </w:tc>
      </w:tr>
      <w:tr>
        <w:tc>
          <w:tcPr>
            <w:tcW w:type="dxa" w:w="2100"/>
            <w:tcMar>
              <w:top w:type="dxa" w:w="40"/>
              <w:left w:type="dxa" w:w="90"/>
              <w:bottom w:type="dxa" w:w="40"/>
              <w:right w:type="dxa" w:w="90"/>
            </w:tcMar>
          </w:tcPr>
          <w:p>
            <w:pPr>
              <w:spacing w:after="0" w:line="252"/>
              <w:jc w:val="left"/>
            </w:pPr>
            <w:r>
              <w:rPr>
                <w:b w:val="false"/>
                <w:bCs w:val="false"/>
                <w:color w:val="202020"/>
                <w:sz w:val="19"/>
                <w:szCs w:val="19"/>
              </w:rPr>
              <w:t xml:space="preserve">presence (control)</w:t>
            </w:r>
          </w:p>
        </w:tc>
        <w:tc>
          <w:tcPr>
            <w:tcW w:type="dxa" w:w="4260"/>
            <w:tcMar>
              <w:top w:type="dxa" w:w="40"/>
              <w:left w:type="dxa" w:w="90"/>
              <w:bottom w:type="dxa" w:w="40"/>
              <w:right w:type="dxa" w:w="90"/>
            </w:tcMar>
          </w:tcPr>
          <w:p>
            <w:pPr>
              <w:spacing w:after="0" w:line="252"/>
              <w:jc w:val="center"/>
            </w:pPr>
            <w:r>
              <w:rPr>
                <w:b w:val="false"/>
                <w:bCs w:val="false"/>
                <w:color w:val="202020"/>
                <w:sz w:val="19"/>
                <w:szCs w:val="19"/>
              </w:rPr>
              <w:t xml:space="preserve">[has_molecule, n_molecules] only</w:t>
            </w:r>
          </w:p>
        </w:tc>
        <w:tc>
          <w:tcPr>
            <w:tcW w:type="dxa" w:w="3000"/>
            <w:tcMar>
              <w:top w:type="dxa" w:w="40"/>
              <w:left w:type="dxa" w:w="90"/>
              <w:bottom w:type="dxa" w:w="40"/>
              <w:right w:type="dxa" w:w="90"/>
            </w:tcMar>
          </w:tcPr>
          <w:p>
            <w:pPr>
              <w:spacing w:after="0" w:line="252"/>
              <w:jc w:val="center"/>
            </w:pPr>
            <w:r>
              <w:rPr>
                <w:b w:val="false"/>
                <w:bCs w:val="false"/>
                <w:color w:val="202020"/>
                <w:sz w:val="19"/>
                <w:szCs w:val="19"/>
              </w:rPr>
              <w:t xml:space="preserve">Confound 1</w:t>
            </w:r>
          </w:p>
        </w:tc>
      </w:tr>
      <w:tr>
        <w:tc>
          <w:tcPr>
            <w:tcW w:type="dxa" w:w="210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drug_id (control)</w:t>
            </w:r>
          </w:p>
        </w:tc>
        <w:tc>
          <w:tcPr>
            <w:tcW w:type="dxa" w:w="426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multi-hot exact molecule identity</w:t>
            </w:r>
          </w:p>
        </w:tc>
        <w:tc>
          <w:tcPr>
            <w:tcW w:type="dxa" w:w="30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Confound 2</w:t>
            </w:r>
          </w:p>
        </w:tc>
      </w:tr>
      <w:tr>
        <w:tc>
          <w:tcPr>
            <w:tcW w:type="dxa" w:w="2100"/>
            <w:tcMar>
              <w:top w:type="dxa" w:w="40"/>
              <w:left w:type="dxa" w:w="90"/>
              <w:bottom w:type="dxa" w:w="40"/>
              <w:right w:type="dxa" w:w="90"/>
            </w:tcMar>
          </w:tcPr>
          <w:p>
            <w:pPr>
              <w:spacing w:after="0" w:line="252"/>
              <w:jc w:val="left"/>
            </w:pPr>
            <w:r>
              <w:rPr>
                <w:b w:val="false"/>
                <w:bCs w:val="false"/>
                <w:color w:val="202020"/>
                <w:sz w:val="19"/>
                <w:szCs w:val="19"/>
              </w:rPr>
              <w:t xml:space="preserve">descriptors</w:t>
            </w:r>
          </w:p>
        </w:tc>
        <w:tc>
          <w:tcPr>
            <w:tcW w:type="dxa" w:w="4260"/>
            <w:tcMar>
              <w:top w:type="dxa" w:w="40"/>
              <w:left w:type="dxa" w:w="90"/>
              <w:bottom w:type="dxa" w:w="40"/>
              <w:right w:type="dxa" w:w="90"/>
            </w:tcMar>
          </w:tcPr>
          <w:p>
            <w:pPr>
              <w:spacing w:after="0" w:line="252"/>
              <w:jc w:val="center"/>
            </w:pPr>
            <w:r>
              <w:rPr>
                <w:b w:val="false"/>
                <w:bCs w:val="false"/>
                <w:color w:val="202020"/>
                <w:sz w:val="19"/>
                <w:szCs w:val="19"/>
              </w:rPr>
              <w:t xml:space="preserve">presence + 23 physicochemical descriptors</w:t>
            </w:r>
          </w:p>
        </w:tc>
        <w:tc>
          <w:tcPr>
            <w:tcW w:type="dxa" w:w="3000"/>
            <w:tcMar>
              <w:top w:type="dxa" w:w="40"/>
              <w:left w:type="dxa" w:w="90"/>
              <w:bottom w:type="dxa" w:w="40"/>
              <w:right w:type="dxa" w:w="90"/>
            </w:tcMar>
          </w:tcPr>
          <w:p>
            <w:pPr>
              <w:spacing w:after="0" w:line="252"/>
              <w:jc w:val="center"/>
            </w:pPr>
            <w:r>
              <w:rPr>
                <w:b w:val="false"/>
                <w:bCs w:val="false"/>
                <w:color w:val="202020"/>
                <w:sz w:val="19"/>
                <w:szCs w:val="19"/>
              </w:rPr>
              <w:t xml:space="preserve">Chemistry (interpretable)</w:t>
            </w:r>
          </w:p>
        </w:tc>
      </w:tr>
      <w:tr>
        <w:tc>
          <w:tcPr>
            <w:tcW w:type="dxa" w:w="210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morgan_fp</w:t>
            </w:r>
          </w:p>
        </w:tc>
        <w:tc>
          <w:tcPr>
            <w:tcW w:type="dxa" w:w="426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presence + Morgan/ECFP r=2, 1024 bits</w:t>
            </w:r>
          </w:p>
        </w:tc>
        <w:tc>
          <w:tcPr>
            <w:tcW w:type="dxa" w:w="30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Chemistry (substructural)</w:t>
            </w:r>
          </w:p>
        </w:tc>
      </w:tr>
      <w:tr>
        <w:tc>
          <w:tcPr>
            <w:tcW w:type="dxa" w:w="2100"/>
            <w:tcMar>
              <w:top w:type="dxa" w:w="40"/>
              <w:left w:type="dxa" w:w="90"/>
              <w:bottom w:type="dxa" w:w="40"/>
              <w:right w:type="dxa" w:w="90"/>
            </w:tcMar>
          </w:tcPr>
          <w:p>
            <w:pPr>
              <w:spacing w:after="0" w:line="252"/>
              <w:jc w:val="left"/>
            </w:pPr>
            <w:r>
              <w:rPr>
                <w:b w:val="false"/>
                <w:bCs w:val="false"/>
                <w:color w:val="202020"/>
                <w:sz w:val="19"/>
                <w:szCs w:val="19"/>
              </w:rPr>
              <w:t xml:space="preserve">tabular (reference)</w:t>
            </w:r>
          </w:p>
        </w:tc>
        <w:tc>
          <w:tcPr>
            <w:tcW w:type="dxa" w:w="4260"/>
            <w:tcMar>
              <w:top w:type="dxa" w:w="40"/>
              <w:left w:type="dxa" w:w="90"/>
              <w:bottom w:type="dxa" w:w="40"/>
              <w:right w:type="dxa" w:w="90"/>
            </w:tcMar>
          </w:tcPr>
          <w:p>
            <w:pPr>
              <w:spacing w:after="0" w:line="252"/>
              <w:jc w:val="center"/>
            </w:pPr>
            <w:r>
              <w:rPr>
                <w:b w:val="false"/>
                <w:bCs w:val="false"/>
                <w:color w:val="202020"/>
                <w:sz w:val="19"/>
                <w:szCs w:val="19"/>
              </w:rPr>
              <w:t xml:space="preserve">the benchmark's TabularFeaturizer output</w:t>
            </w:r>
          </w:p>
        </w:tc>
        <w:tc>
          <w:tcPr>
            <w:tcW w:type="dxa" w:w="3000"/>
            <w:tcMar>
              <w:top w:type="dxa" w:w="40"/>
              <w:left w:type="dxa" w:w="90"/>
              <w:bottom w:type="dxa" w:w="40"/>
              <w:right w:type="dxa" w:w="90"/>
            </w:tcMar>
          </w:tcPr>
          <w:p>
            <w:pPr>
              <w:spacing w:after="0" w:line="252"/>
              <w:jc w:val="center"/>
            </w:pPr>
            <w:r>
              <w:rPr>
                <w:b w:val="false"/>
                <w:bCs w:val="false"/>
                <w:color w:val="202020"/>
                <w:sz w:val="19"/>
                <w:szCs w:val="19"/>
              </w:rPr>
              <w:t xml:space="preserve">Leaderboard reference</w:t>
            </w:r>
          </w:p>
        </w:tc>
      </w:tr>
    </w:tbl>
    <w:p>
      <w:pPr>
        <w:spacing w:after="180" w:before="60"/>
      </w:pPr>
      <w:r>
        <w:rPr>
          <w:i/>
          <w:iCs/>
          <w:color w:val="5A5A5A"/>
          <w:sz w:val="17"/>
          <w:szCs w:val="17"/>
        </w:rPr>
        <w:t xml:space="preserve">Table 12. The molecule views and their controls. Dense blocks use the benchmark's own lightgbm config; sparse blocks use L2 logistic regression (the standard ECFP baseline). Every conclusion is a within-model-family contrast.</w:t>
      </w:r>
    </w:p>
    <w:p>
      <w:pPr>
        <w:pStyle w:val="Heading2"/>
        <w:spacing w:after="100" w:before="220"/>
      </w:pPr>
      <w:r>
        <w:rPr>
          <w:b/>
          <w:bCs/>
          <w:color w:val="1F3864"/>
          <w:sz w:val="24"/>
          <w:szCs w:val="24"/>
        </w:rPr>
        <w:t xml:space="preserve">8.2 There is real, endpoint-specific signal — but on the full test set it is mostly memorization</w:t>
      </w:r>
    </w:p>
    <w:p>
      <w:pPr>
        <w:spacing w:after="140" w:line="276"/>
      </w:pPr>
      <w:r>
        <w:rPr>
          <w:color w:val="202020"/>
          <w:sz w:val="22"/>
          <w:szCs w:val="22"/>
        </w:rPr>
        <w:t xml:space="preserve">Morgan fingerprints beat the presence control in all 16 cells (mean +0.086 PR-AUC), and the magnitude splits cleanly by endpoint. But comparing fingerprints to the drug-identity control on the full test set, structure buys essentially nothing — mean +0.004 PR-AUC (median −0.000). In other words, on the full test set the fingerprint model is a drug lookup table; anyone reporting the raw fingerprint number without the identity control would be reporting drug recognition and calling it chemistry.</w:t>
      </w:r>
    </w:p>
    <w:p>
      <w:pPr>
        <w:pStyle w:val="Heading2"/>
        <w:spacing w:after="100" w:before="220"/>
      </w:pPr>
      <w:r>
        <w:rPr>
          <w:b/>
          <w:bCs/>
          <w:color w:val="1F3864"/>
          <w:sz w:val="24"/>
          <w:szCs w:val="24"/>
        </w:rPr>
        <w:t xml:space="preserve">8.3 On unseen chemistry, structure genuinely generalizes — on the toxicity endpoints</w:t>
      </w:r>
    </w:p>
    <w:p>
      <w:pPr>
        <w:spacing w:after="140" w:line="276"/>
      </w:pPr>
      <w:r>
        <w:rPr>
          <w:color w:val="202020"/>
          <w:sz w:val="22"/>
          <w:szCs w:val="22"/>
        </w:rPr>
        <w:t xml:space="preserve">Restricted to novel-scaffold test rows (780 rows total; median 40 per cell), where identity features are useless by construction, molecular structure beats the identity control — and the ordering is exactly what pharmacology predicts:</w:t>
      </w:r>
    </w:p>
    <w:tbl>
      <w:tblPr>
        <w:tblW w:type="dxa" w:w="9360"/>
        <w:tblBorders>
          <w:top w:val="single" w:color="BFC7D6" w:sz="4"/>
          <w:left w:val="single" w:color="BFC7D6" w:sz="4"/>
          <w:bottom w:val="single" w:color="BFC7D6" w:sz="4"/>
          <w:right w:val="single" w:color="BFC7D6" w:sz="4"/>
          <w:insideH w:val="single" w:color="BFC7D6" w:sz="2"/>
          <w:insideV w:val="single" w:color="BFC7D6" w:sz="2"/>
        </w:tblBorders>
      </w:tblPr>
      <w:tblGrid>
        <w:gridCol w:w="3360"/>
        <w:gridCol w:w="3200"/>
        <w:gridCol w:w="2800"/>
      </w:tblGrid>
      <w:tr>
        <w:trPr>
          <w:tblHeader/>
        </w:trPr>
        <w:tc>
          <w:tcPr>
            <w:tcW w:type="dxa" w:w="3360"/>
            <w:shd w:fill="2F5496" w:color="auto" w:val="clear"/>
            <w:tcMar>
              <w:top w:type="dxa" w:w="40"/>
              <w:left w:type="dxa" w:w="90"/>
              <w:bottom w:type="dxa" w:w="40"/>
              <w:right w:type="dxa" w:w="90"/>
            </w:tcMar>
          </w:tcPr>
          <w:p>
            <w:pPr>
              <w:spacing w:after="0" w:line="252"/>
              <w:jc w:val="left"/>
            </w:pPr>
            <w:r>
              <w:rPr>
                <w:b/>
                <w:bCs/>
                <w:color w:val="FFFFFF"/>
                <w:sz w:val="19"/>
                <w:szCs w:val="19"/>
              </w:rPr>
              <w:t xml:space="preserve">Task</w:t>
            </w:r>
          </w:p>
        </w:tc>
        <w:tc>
          <w:tcPr>
            <w:tcW w:type="dxa" w:w="3200"/>
            <w:shd w:fill="2F5496" w:color="auto" w:val="clear"/>
            <w:tcMar>
              <w:top w:type="dxa" w:w="40"/>
              <w:left w:type="dxa" w:w="90"/>
              <w:bottom w:type="dxa" w:w="40"/>
              <w:right w:type="dxa" w:w="90"/>
            </w:tcMar>
          </w:tcPr>
          <w:p>
            <w:pPr>
              <w:spacing w:after="0" w:line="252"/>
              <w:jc w:val="center"/>
            </w:pPr>
            <w:r>
              <w:rPr>
                <w:b/>
                <w:bCs/>
                <w:color w:val="FFFFFF"/>
                <w:sz w:val="19"/>
                <w:szCs w:val="19"/>
              </w:rPr>
              <w:t xml:space="preserve">Molecular signal vs. presence (full test)</w:t>
            </w:r>
          </w:p>
        </w:tc>
        <w:tc>
          <w:tcPr>
            <w:tcW w:type="dxa" w:w="2800"/>
            <w:shd w:fill="2F5496" w:color="auto" w:val="clear"/>
            <w:tcMar>
              <w:top w:type="dxa" w:w="40"/>
              <w:left w:type="dxa" w:w="90"/>
              <w:bottom w:type="dxa" w:w="40"/>
              <w:right w:type="dxa" w:w="90"/>
            </w:tcMar>
          </w:tcPr>
          <w:p>
            <w:pPr>
              <w:spacing w:after="0" w:line="252"/>
              <w:jc w:val="center"/>
            </w:pPr>
            <w:r>
              <w:rPr>
                <w:b/>
                <w:bCs/>
                <w:color w:val="FFFFFF"/>
                <w:sz w:val="19"/>
                <w:szCs w:val="19"/>
              </w:rPr>
              <w:t xml:space="preserve">Structure vs. identity, novel scaffolds</w:t>
            </w:r>
          </w:p>
        </w:tc>
      </w:tr>
      <w:tr>
        <w:tc>
          <w:tcPr>
            <w:tcW w:type="dxa" w:w="3360"/>
            <w:tcMar>
              <w:top w:type="dxa" w:w="40"/>
              <w:left w:type="dxa" w:w="90"/>
              <w:bottom w:type="dxa" w:w="40"/>
              <w:right w:type="dxa" w:w="90"/>
            </w:tcMar>
          </w:tcPr>
          <w:p>
            <w:pPr>
              <w:spacing w:after="0" w:line="252"/>
              <w:jc w:val="left"/>
            </w:pPr>
            <w:r>
              <w:rPr>
                <w:b/>
                <w:bCs/>
                <w:color w:val="202020"/>
                <w:sz w:val="19"/>
                <w:szCs w:val="19"/>
              </w:rPr>
              <w:t xml:space="preserve">mortality_rate_yn</w:t>
            </w:r>
          </w:p>
        </w:tc>
        <w:tc>
          <w:tcPr>
            <w:tcW w:type="dxa" w:w="3200"/>
            <w:tcMar>
              <w:top w:type="dxa" w:w="40"/>
              <w:left w:type="dxa" w:w="90"/>
              <w:bottom w:type="dxa" w:w="40"/>
              <w:right w:type="dxa" w:w="90"/>
            </w:tcMar>
          </w:tcPr>
          <w:p>
            <w:pPr>
              <w:spacing w:after="0" w:line="252"/>
              <w:jc w:val="center"/>
            </w:pPr>
            <w:r>
              <w:rPr>
                <w:b/>
                <w:bCs/>
                <w:color w:val="202020"/>
                <w:sz w:val="19"/>
                <w:szCs w:val="19"/>
              </w:rPr>
              <w:t xml:space="preserve">+0.147</w:t>
            </w:r>
          </w:p>
        </w:tc>
        <w:tc>
          <w:tcPr>
            <w:tcW w:type="dxa" w:w="2800"/>
            <w:tcMar>
              <w:top w:type="dxa" w:w="40"/>
              <w:left w:type="dxa" w:w="90"/>
              <w:bottom w:type="dxa" w:w="40"/>
              <w:right w:type="dxa" w:w="90"/>
            </w:tcMar>
          </w:tcPr>
          <w:p>
            <w:pPr>
              <w:spacing w:after="0" w:line="252"/>
              <w:jc w:val="center"/>
            </w:pPr>
            <w:r>
              <w:rPr>
                <w:b/>
                <w:bCs/>
                <w:color w:val="202020"/>
                <w:sz w:val="19"/>
                <w:szCs w:val="19"/>
              </w:rPr>
              <w:t xml:space="preserve">+0.220</w:t>
            </w:r>
          </w:p>
        </w:tc>
      </w:tr>
      <w:tr>
        <w:tc>
          <w:tcPr>
            <w:tcW w:type="dxa" w:w="3360"/>
            <w:shd w:fill="EEF2F8" w:color="auto" w:val="clear"/>
            <w:tcMar>
              <w:top w:type="dxa" w:w="40"/>
              <w:left w:type="dxa" w:w="90"/>
              <w:bottom w:type="dxa" w:w="40"/>
              <w:right w:type="dxa" w:w="90"/>
            </w:tcMar>
          </w:tcPr>
          <w:p>
            <w:pPr>
              <w:spacing w:after="0" w:line="252"/>
              <w:jc w:val="left"/>
            </w:pPr>
            <w:r>
              <w:rPr>
                <w:b/>
                <w:bCs/>
                <w:color w:val="202020"/>
                <w:sz w:val="19"/>
                <w:szCs w:val="19"/>
              </w:rPr>
              <w:t xml:space="preserve">serious_adverse_rate_yn</w:t>
            </w:r>
          </w:p>
        </w:tc>
        <w:tc>
          <w:tcPr>
            <w:tcW w:type="dxa" w:w="3200"/>
            <w:shd w:fill="EEF2F8" w:color="auto" w:val="clear"/>
            <w:tcMar>
              <w:top w:type="dxa" w:w="40"/>
              <w:left w:type="dxa" w:w="90"/>
              <w:bottom w:type="dxa" w:w="40"/>
              <w:right w:type="dxa" w:w="90"/>
            </w:tcMar>
          </w:tcPr>
          <w:p>
            <w:pPr>
              <w:spacing w:after="0" w:line="252"/>
              <w:jc w:val="center"/>
            </w:pPr>
            <w:r>
              <w:rPr>
                <w:b/>
                <w:bCs/>
                <w:color w:val="202020"/>
                <w:sz w:val="19"/>
                <w:szCs w:val="19"/>
              </w:rPr>
              <w:t xml:space="preserve">+0.099</w:t>
            </w:r>
          </w:p>
        </w:tc>
        <w:tc>
          <w:tcPr>
            <w:tcW w:type="dxa" w:w="2800"/>
            <w:shd w:fill="EEF2F8" w:color="auto" w:val="clear"/>
            <w:tcMar>
              <w:top w:type="dxa" w:w="40"/>
              <w:left w:type="dxa" w:w="90"/>
              <w:bottom w:type="dxa" w:w="40"/>
              <w:right w:type="dxa" w:w="90"/>
            </w:tcMar>
          </w:tcPr>
          <w:p>
            <w:pPr>
              <w:spacing w:after="0" w:line="252"/>
              <w:jc w:val="center"/>
            </w:pPr>
            <w:r>
              <w:rPr>
                <w:b/>
                <w:bCs/>
                <w:color w:val="202020"/>
                <w:sz w:val="19"/>
                <w:szCs w:val="19"/>
              </w:rPr>
              <w:t xml:space="preserve">+0.123</w:t>
            </w:r>
          </w:p>
        </w:tc>
      </w:tr>
      <w:tr>
        <w:tc>
          <w:tcPr>
            <w:tcW w:type="dxa" w:w="3360"/>
            <w:tcMar>
              <w:top w:type="dxa" w:w="40"/>
              <w:left w:type="dxa" w:w="90"/>
              <w:bottom w:type="dxa" w:w="40"/>
              <w:right w:type="dxa" w:w="90"/>
            </w:tcMar>
          </w:tcPr>
          <w:p>
            <w:pPr>
              <w:spacing w:after="0" w:line="252"/>
              <w:jc w:val="left"/>
            </w:pPr>
            <w:r>
              <w:rPr>
                <w:b w:val="false"/>
                <w:bCs w:val="false"/>
                <w:color w:val="202020"/>
                <w:sz w:val="19"/>
                <w:szCs w:val="19"/>
              </w:rPr>
              <w:t xml:space="preserve">outcome</w:t>
            </w:r>
          </w:p>
        </w:tc>
        <w:tc>
          <w:tcPr>
            <w:tcW w:type="dxa" w:w="3200"/>
            <w:tcMar>
              <w:top w:type="dxa" w:w="40"/>
              <w:left w:type="dxa" w:w="90"/>
              <w:bottom w:type="dxa" w:w="40"/>
              <w:right w:type="dxa" w:w="90"/>
            </w:tcMar>
          </w:tcPr>
          <w:p>
            <w:pPr>
              <w:spacing w:after="0" w:line="252"/>
              <w:jc w:val="center"/>
            </w:pPr>
            <w:r>
              <w:rPr>
                <w:b w:val="false"/>
                <w:bCs w:val="false"/>
                <w:color w:val="202020"/>
                <w:sz w:val="19"/>
                <w:szCs w:val="19"/>
              </w:rPr>
              <w:t xml:space="preserve">+0.071</w:t>
            </w:r>
          </w:p>
        </w:tc>
        <w:tc>
          <w:tcPr>
            <w:tcW w:type="dxa" w:w="2800"/>
            <w:tcMar>
              <w:top w:type="dxa" w:w="40"/>
              <w:left w:type="dxa" w:w="90"/>
              <w:bottom w:type="dxa" w:w="40"/>
              <w:right w:type="dxa" w:w="90"/>
            </w:tcMar>
          </w:tcPr>
          <w:p>
            <w:pPr>
              <w:spacing w:after="0" w:line="252"/>
              <w:jc w:val="center"/>
            </w:pPr>
            <w:r>
              <w:rPr>
                <w:b w:val="false"/>
                <w:bCs w:val="false"/>
                <w:color w:val="202020"/>
                <w:sz w:val="19"/>
                <w:szCs w:val="19"/>
              </w:rPr>
              <w:t xml:space="preserve">+0.120</w:t>
            </w:r>
          </w:p>
        </w:tc>
      </w:tr>
      <w:tr>
        <w:tc>
          <w:tcPr>
            <w:tcW w:type="dxa" w:w="3360"/>
            <w:shd w:fill="EEF2F8" w:color="auto" w:val="clear"/>
            <w:tcMar>
              <w:top w:type="dxa" w:w="40"/>
              <w:left w:type="dxa" w:w="90"/>
              <w:bottom w:type="dxa" w:w="40"/>
              <w:right w:type="dxa" w:w="90"/>
            </w:tcMar>
          </w:tcPr>
          <w:p>
            <w:pPr>
              <w:spacing w:after="0" w:line="252"/>
              <w:jc w:val="left"/>
            </w:pPr>
            <w:r>
              <w:rPr>
                <w:b w:val="false"/>
                <w:bCs w:val="false"/>
                <w:color w:val="202020"/>
                <w:sz w:val="19"/>
                <w:szCs w:val="19"/>
              </w:rPr>
              <w:t xml:space="preserve">patient_dropout_rate_yn</w:t>
            </w:r>
          </w:p>
        </w:tc>
        <w:tc>
          <w:tcPr>
            <w:tcW w:type="dxa" w:w="32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+0.027</w:t>
            </w:r>
          </w:p>
        </w:tc>
        <w:tc>
          <w:tcPr>
            <w:tcW w:type="dxa" w:w="2800"/>
            <w:shd w:fill="EEF2F8" w:color="auto" w:val="clear"/>
            <w:tcMar>
              <w:top w:type="dxa" w:w="40"/>
              <w:left w:type="dxa" w:w="90"/>
              <w:bottom w:type="dxa" w:w="40"/>
              <w:right w:type="dxa" w:w="90"/>
            </w:tcMar>
          </w:tcPr>
          <w:p>
            <w:pPr>
              <w:spacing w:after="0" w:line="252"/>
              <w:jc w:val="center"/>
            </w:pPr>
            <w:r>
              <w:rPr>
                <w:b w:val="false"/>
                <w:bCs w:val="false"/>
                <w:color w:val="202020"/>
                <w:sz w:val="19"/>
                <w:szCs w:val="19"/>
              </w:rPr>
              <w:t xml:space="preserve">+0.020</w:t>
            </w:r>
          </w:p>
        </w:tc>
      </w:tr>
    </w:tbl>
    <w:p>
      <w:pPr>
        <w:spacing w:after="180" w:before="60"/>
      </w:pPr>
      <w:r>
        <w:rPr>
          <w:i/>
          <w:iCs/>
          <w:color w:val="5A5A5A"/>
          <w:sz w:val="17"/>
          <w:szCs w:val="17"/>
        </w:rPr>
        <w:t xml:space="preserve">Table 13. Mean Δ PR-AUC by endpoint. Left: Morgan FP vs. the presence control on the full test set. Right: Morgan FP minus drug-identity on novel-scaffold rows (positive in 8 of 8 mortality and serious-adverse cells). The two toxicity endpoints carry molecular signal that transfers to unseen chemistry; operational dropout carries almost none — which doubles as a negative control that the probe is not manufacturing signal everywhere it looks.</w:t>
      </w:r>
    </w:p>
    <w:p>
      <w:pPr>
        <w:spacing w:after="140" w:line="276"/>
      </w:pPr>
      <w:r>
        <w:rPr>
          <w:color w:val="202020"/>
          <w:sz w:val="22"/>
          <w:szCs w:val="22"/>
        </w:rPr>
        <w:t xml:space="preserve">The descriptors doing the work are chemically legible: MolLogP (lipophilicity), TPSA (polar surface area), qed (drug-likeness), and FractionCSP3 (saturation) lead the Borda-summed importance ranking — the permeability/ADMET axes a chemist would reach for by hand. (Caveat: LightGBM's split-count importance inflates high-cardinality topological indices, so read this as suggestive, not causal.)</w:t>
      </w:r>
    </w:p>
    <w:p>
      <w:pPr>
        <w:pStyle w:val="Heading2"/>
        <w:spacing w:after="100" w:before="220"/>
      </w:pPr>
      <w:r>
        <w:rPr>
          <w:b/>
          <w:bCs/>
          <w:color w:val="1F3864"/>
          <w:sz w:val="24"/>
          <w:szCs w:val="24"/>
        </w:rPr>
        <w:t xml:space="preserve">8.4 But it does not add over the tabular view</w:t>
      </w:r>
    </w:p>
    <w:p>
      <w:pPr>
        <w:spacing w:after="140" w:line="276"/>
      </w:pPr>
      <w:r>
        <w:rPr>
          <w:color w:val="202020"/>
          <w:sz w:val="22"/>
          <w:szCs w:val="22"/>
        </w:rPr>
        <w:t xml:space="preserve">The bottom line for the leaderboard is negative. Best fusion (molecule features concatenated onto the tabular view) minus the tabular reference is a mean of +0.017 PR-AUC (range −0.017 to +0.082), and the few nominal “wins” land in the cells where standalone chemical signal was weakest, while mortality and serious-adverse — where the chemistry is real — gain only +0.007 and +0.012. That is the opposite of a coherent effect; at 16 tests it is roughly chance. The natural reading is that the chemical signal is real but largely redundant with what the tabular view already encodes: sponsor class, intervention counts, condition, and phase act as proxies for drug class. This echoes the recurring theme of Section 4 — in this dataset, modalities tend to share signal rather than add to it.</w:t>
      </w:r>
    </w:p>
    <w:p>
      <w:pPr>
        <w:spacing w:after="140" w:line="276"/>
      </w:pPr>
      <w:r>
        <w:rPr>
          <w:b/>
          <w:bCs/>
          <w:color w:val="202020"/>
          <w:sz w:val="22"/>
          <w:szCs w:val="22"/>
        </w:rPr>
        <w:t xml:space="preserve">A methodological note worth keeping. </w:t>
      </w:r>
      <w:r>
        <w:rPr>
          <w:color w:val="202020"/>
          <w:sz w:val="22"/>
          <w:szCs w:val="22"/>
        </w:rPr>
        <w:t xml:space="preserve">The probe reproduces the benchmark's own LightGBM PR-AUC to within 0.006 across all 16 cells, and that baseline-integrity check is part of the summary. It earned its place: an earlier version early-stopped on validation PR-AUC (which the benchmark's config does not), which quietly collapsed the tabular baseline in 4 of 16 cells and showed fusion gains of +0.26 and +0.33 that were not real. A baseline you have not verified against a known number can invent an effect larger than the one you are measuring.</w:t>
      </w:r>
    </w:p>
    <w:p>
      <w:pPr>
        <w:spacing w:after="140" w:line="276"/>
      </w:pPr>
      <w:r>
        <w:rPr>
          <w:b/>
          <w:bCs/>
          <w:color w:val="202020"/>
          <w:sz w:val="22"/>
          <w:szCs w:val="22"/>
        </w:rPr>
        <w:t xml:space="preserve">What this means for the benchmark. </w:t>
      </w:r>
      <w:r>
        <w:rPr>
          <w:color w:val="202020"/>
          <w:sz w:val="22"/>
          <w:szCs w:val="22"/>
        </w:rPr>
        <w:t xml:space="preserve">Do not expect a leaderboard gain from fingerprint_fusion; it is still worth building for completeness against the HINT baseline, but it should be framed as a modality ablation, not a contender. The result worth reporting is the ablation itself — molecular structure carries genuine, chemically generalizing signal on the two toxicity endpoints, essentially none on dropout, and it is redundant with the tabular view. That is a defensible claim about TrialBench, not about a model, and it survives push-back because the controls are there. Limitations: single seed and split; small novel-scaffold subsets (25–87 rows per cell); descriptors mean-aggregated across a trial's drugs (which blurs combination therapy); failure_reason not covered; and fusion tested only as plain concatenation, so a tuned late-fusion could plausibly do better.</w:t>
      </w:r>
    </w:p>
    <w:p>
      <w:pPr>
        <w:pStyle w:val="Heading1"/>
        <w:spacing w:after="140" w:before="320"/>
      </w:pPr>
      <w:r>
        <w:rPr>
          <w:b/>
          <w:bCs/>
          <w:color w:val="2F5496"/>
          <w:sz w:val="30"/>
          <w:szCs w:val="30"/>
        </w:rPr>
        <w:t xml:space="preserve">9. What's Next</w:t>
      </w:r>
    </w:p>
    <w:p>
      <w:pPr>
        <w:spacing w:after="140" w:line="276"/>
      </w:pPr>
      <w:r>
        <w:rPr>
          <w:color w:val="202020"/>
          <w:sz w:val="22"/>
          <w:szCs w:val="22"/>
        </w:rPr>
        <w:t xml:space="preserve">The work divides into finishing the benchmark so the comparison is valid, then extending it. In rough priority order:</w:t>
      </w:r>
    </w:p>
    <w:p>
      <w:pPr>
        <w:pStyle w:val="ListParagraph"/>
        <w:numPr>
          <w:ilvl w:val="0"/>
          <w:numId w:val="3"/>
        </w:numPr>
        <w:spacing w:after="100" w:line="272"/>
      </w:pPr>
      <w:r>
        <w:rPr>
          <w:b/>
          <w:bCs/>
          <w:color w:val="202020"/>
          <w:sz w:val="22"/>
          <w:szCs w:val="22"/>
        </w:rPr>
        <w:t xml:space="preserve">Confirm the EC2 job's state and finish the deep-method grid. </w:t>
      </w:r>
      <w:r>
        <w:rPr>
          <w:color w:val="202020"/>
          <w:sz w:val="22"/>
          <w:szCs w:val="22"/>
        </w:rPr>
        <w:t xml:space="preserve">Check whether the run died or is still grinding; resume it so ft_transformer, tabnet, and clinical_embeddings fill in the missing tasks — especially patient_dropout and failure_reason, where they have no records at all.</w:t>
      </w:r>
    </w:p>
    <w:p>
      <w:pPr>
        <w:pStyle w:val="ListParagraph"/>
        <w:numPr>
          <w:ilvl w:val="0"/>
          <w:numId w:val="3"/>
        </w:numPr>
        <w:spacing w:after="100" w:line="272"/>
      </w:pPr>
      <w:r>
        <w:rPr>
          <w:b/>
          <w:bCs/>
          <w:color w:val="202020"/>
          <w:sz w:val="22"/>
          <w:szCs w:val="22"/>
        </w:rPr>
        <w:t xml:space="preserve">Fix the leaderboard aggregation. </w:t>
      </w:r>
      <w:r>
        <w:rPr>
          <w:color w:val="202020"/>
          <w:sz w:val="22"/>
          <w:szCs w:val="22"/>
        </w:rPr>
        <w:t xml:space="preserve">Rank only over cells shared by the compared methods, and label partial-coverage methods explicitly. This one change corrects the headline (tfidf_logreg, not ft_transformer).</w:t>
      </w:r>
    </w:p>
    <w:p>
      <w:pPr>
        <w:pStyle w:val="ListParagraph"/>
        <w:numPr>
          <w:ilvl w:val="0"/>
          <w:numId w:val="3"/>
        </w:numPr>
        <w:spacing w:after="100" w:line="272"/>
      </w:pPr>
      <w:r>
        <w:rPr>
          <w:b/>
          <w:bCs/>
          <w:color w:val="202020"/>
          <w:sz w:val="22"/>
          <w:szCs w:val="22"/>
        </w:rPr>
        <w:t xml:space="preserve">Add validation-based thresholding. </w:t>
      </w:r>
      <w:r>
        <w:rPr>
          <w:color w:val="202020"/>
          <w:sz w:val="22"/>
          <w:szCs w:val="22"/>
        </w:rPr>
        <w:t xml:space="preserve">Tune the decision threshold on validation, or drop the threshold-dependent columns, so F1/precision/recall stop being degenerate on ~19% of binary cells.</w:t>
      </w:r>
    </w:p>
    <w:p>
      <w:pPr>
        <w:pStyle w:val="ListParagraph"/>
        <w:numPr>
          <w:ilvl w:val="0"/>
          <w:numId w:val="3"/>
        </w:numPr>
        <w:spacing w:after="100" w:line="272"/>
      </w:pPr>
      <w:r>
        <w:rPr>
          <w:b/>
          <w:bCs/>
          <w:color w:val="202020"/>
          <w:sz w:val="22"/>
          <w:szCs w:val="22"/>
        </w:rPr>
        <w:t xml:space="preserve">Decide the clinical_embeddings budget. </w:t>
      </w:r>
      <w:r>
        <w:rPr>
          <w:color w:val="202020"/>
          <w:sz w:val="22"/>
          <w:szCs w:val="22"/>
        </w:rPr>
        <w:t xml:space="preserve">Cap rows / shorten MAX_LENGTH / precompute up front, or move it to opt-in and exclude from the headline. It is the reason the grid can't finish and has never won a cell.</w:t>
      </w:r>
    </w:p>
    <w:p>
      <w:pPr>
        <w:pStyle w:val="ListParagraph"/>
        <w:numPr>
          <w:ilvl w:val="0"/>
          <w:numId w:val="3"/>
        </w:numPr>
        <w:spacing w:after="100" w:line="272"/>
      </w:pPr>
      <w:r>
        <w:rPr>
          <w:b/>
          <w:bCs/>
          <w:color w:val="202020"/>
          <w:sz w:val="22"/>
          <w:szCs w:val="22"/>
        </w:rPr>
        <w:t xml:space="preserve">Apply and re-run the TabNet fix. </w:t>
      </w:r>
      <w:r>
        <w:rPr>
          <w:color w:val="202020"/>
          <w:sz w:val="22"/>
          <w:szCs w:val="22"/>
        </w:rPr>
        <w:t xml:space="preserve">Fold class weighting + feature scaling + logloss early stopping into the method and re-run just TabNet across the grid so the leaderboard reflects the fixed version.</w:t>
      </w:r>
    </w:p>
    <w:p>
      <w:pPr>
        <w:pStyle w:val="ListParagraph"/>
        <w:numPr>
          <w:ilvl w:val="0"/>
          <w:numId w:val="3"/>
        </w:numPr>
        <w:spacing w:after="100" w:line="272"/>
      </w:pPr>
      <w:r>
        <w:rPr>
          <w:b/>
          <w:bCs/>
          <w:color w:val="202020"/>
          <w:sz w:val="22"/>
          <w:szCs w:val="22"/>
        </w:rPr>
        <w:t xml:space="preserve">Persist per-cell predictions (and ideally importances). </w:t>
      </w:r>
      <w:r>
        <w:rPr>
          <w:color w:val="202020"/>
          <w:sz w:val="22"/>
          <w:szCs w:val="22"/>
        </w:rPr>
        <w:t xml:space="preserve">So signal analysis, agreement, and fusion studies no longer require refitting every model from scratch.</w:t>
      </w:r>
    </w:p>
    <w:p>
      <w:pPr>
        <w:pStyle w:val="ListParagraph"/>
        <w:numPr>
          <w:ilvl w:val="0"/>
          <w:numId w:val="3"/>
        </w:numPr>
        <w:spacing w:after="100" w:line="272"/>
      </w:pPr>
      <w:r>
        <w:rPr>
          <w:b/>
          <w:bCs/>
          <w:color w:val="202020"/>
          <w:sz w:val="22"/>
          <w:szCs w:val="22"/>
        </w:rPr>
        <w:t xml:space="preserve">Investigate the facility-city feature. </w:t>
      </w:r>
      <w:r>
        <w:rPr>
          <w:color w:val="202020"/>
          <w:sz w:val="22"/>
          <w:szCs w:val="22"/>
        </w:rPr>
        <w:t xml:space="preserve">Determine whether its high target-encoded importance in both tasks is real signal or an encoding artifact / leakage.</w:t>
      </w:r>
    </w:p>
    <w:p>
      <w:pPr>
        <w:pStyle w:val="ListParagraph"/>
        <w:numPr>
          <w:ilvl w:val="0"/>
          <w:numId w:val="3"/>
        </w:numPr>
        <w:spacing w:after="100" w:line="272"/>
      </w:pPr>
      <w:r>
        <w:rPr>
          <w:b/>
          <w:bCs/>
          <w:color w:val="202020"/>
          <w:sz w:val="22"/>
          <w:szCs w:val="22"/>
        </w:rPr>
        <w:t xml:space="preserve">Pursue tabular + text fusion, but treat molecule fusion as an ablation. </w:t>
      </w:r>
      <w:r>
        <w:rPr>
          <w:color w:val="202020"/>
          <w:sz w:val="22"/>
          <w:szCs w:val="22"/>
        </w:rPr>
        <w:t xml:space="preserve">The consistent tabular+text lift and the Phase-2 “tabular is blind” finding (Section 6) make an explicit text-fusion entry worth having. The molecule fingerprint_fusion stub, by contrast, is a wash on current evidence (Section 8, mean +0.017 over tabular) — build it for completeness against the HINT baseline, but frame it as a modality ablation, not a contender.</w:t>
      </w:r>
    </w:p>
    <w:p>
      <w:pPr>
        <w:pStyle w:val="ListParagraph"/>
        <w:numPr>
          <w:ilvl w:val="0"/>
          <w:numId w:val="3"/>
        </w:numPr>
        <w:spacing w:after="100" w:line="272"/>
      </w:pPr>
      <w:r>
        <w:rPr>
          <w:b/>
          <w:bCs/>
          <w:color w:val="202020"/>
          <w:sz w:val="22"/>
          <w:szCs w:val="22"/>
        </w:rPr>
        <w:t xml:space="preserve">Housekeeping. </w:t>
      </w:r>
      <w:r>
        <w:rPr>
          <w:color w:val="202020"/>
          <w:sz w:val="22"/>
          <w:szCs w:val="22"/>
        </w:rPr>
        <w:t xml:space="preserve">Add a completeness check (cells present vs. expected per method) so “done” is measured from run files not the stale marker; configure TABPFN_TOKEN to unlock TabPFN; and consider a multi-seed run of the fast Tier A methods to report variance.</w:t>
      </w:r>
    </w:p>
    <w:p>
      <w:pPr>
        <w:spacing w:after="120"/>
      </w:pPr>
    </w:p>
    <w:p>
      <w:pPr>
        <w:spacing w:after="140" w:line="276"/>
      </w:pPr>
      <w:r>
        <w:rPr>
          <w:b/>
          <w:bCs/>
          <w:color w:val="1F3864"/>
          <w:sz w:val="22"/>
          <w:szCs w:val="22"/>
        </w:rPr>
        <w:t xml:space="preserve">Bottom line for reporting today: </w:t>
      </w:r>
      <w:r>
        <w:rPr>
          <w:i/>
          <w:iCs/>
          <w:color w:val="202020"/>
          <w:sz w:val="22"/>
          <w:szCs w:val="22"/>
        </w:rPr>
        <w:t xml:space="preserve">quote the Tier A results and lead with tfidf_logreg as the strongest, most-complete, and least-mysterious method. Hold the deep-method comparison until the grid is complete and the aggregation is fixed.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0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Benchmarking Predictive Methods on TrialBench — Project Report</dc:title>
  <dc:creator>Accendero</dc:creator>
  <cp:lastModifiedBy>Un-named</cp:lastModifiedBy>
  <cp:revision>1</cp:revision>
  <dcterms:created xsi:type="dcterms:W3CDTF">2026-07-24T21:12:57.053Z</dcterms:created>
  <dcterms:modified xsi:type="dcterms:W3CDTF">2026-07-24T21:12:57.053Z</dcterms:modified>
</cp:coreProperties>
</file>

<file path=docProps/custom.xml><?xml version="1.0" encoding="utf-8"?>
<Properties xmlns="http://schemas.openxmlformats.org/officeDocument/2006/custom-properties" xmlns:vt="http://schemas.openxmlformats.org/officeDocument/2006/docPropsVTypes"/>
</file>