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  <w:sz w:val="48"/>
        </w:rPr>
        <w:t>Insight &amp; Opportunity Analysis</w:t>
      </w:r>
    </w:p>
    <w:p>
      <w:pPr>
        <w:spacing w:after="240"/>
      </w:pPr>
      <w:r>
        <w:rPr>
          <w:color w:val="4B5563"/>
          <w:sz w:val="20"/>
        </w:rPr>
        <w:t>Tools to help frame insights or opportunities for brand strategy, innovation, and beyond. Source: SL Ninja Toolkit, section A, pages 6–78. Brand examples have been omitted.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420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900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Tool</w:t>
            </w:r>
          </w:p>
        </w:tc>
        <w:tc>
          <w:tcPr>
            <w:tcW w:type="dxa" w:w="4300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4300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Core structure</w:t>
            </w:r>
          </w:p>
        </w:tc>
      </w:tr>
      <w:tr>
        <w:tc>
          <w:tcPr>
            <w:tcW w:type="dxa" w:w="4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6"/>
              </w:rPr>
              <w:t>1</w:t>
            </w:r>
          </w:p>
        </w:tc>
        <w:tc>
          <w:tcPr>
            <w:tcW w:type="dxa" w:w="19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7"/>
              </w:rPr>
              <w:t>Project Challenge</w:t>
            </w:r>
          </w:p>
        </w:tc>
        <w:tc>
          <w:tcPr>
            <w:tcW w:type="dxa" w:w="43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A clear question that serves as the jumping-off point for a project. Best for open-ended briefs where the team needs alignment on the problem, opportunity, and guardrails.</w:t>
            </w:r>
          </w:p>
        </w:tc>
        <w:tc>
          <w:tcPr>
            <w:tcW w:type="dxa" w:w="43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A single project-defining question, with key phrases called out for alignment.</w:t>
            </w:r>
          </w:p>
        </w:tc>
      </w:tr>
      <w:tr>
        <w:tc>
          <w:tcPr>
            <w:tcW w:type="dxa" w:w="4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9FAFB"/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6"/>
              </w:rPr>
              <w:t>2</w:t>
            </w:r>
          </w:p>
        </w:tc>
        <w:tc>
          <w:tcPr>
            <w:tcW w:type="dxa" w:w="19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9FAFB"/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7"/>
              </w:rPr>
              <w:t>Project Guardrails</w:t>
            </w:r>
          </w:p>
        </w:tc>
        <w:tc>
          <w:tcPr>
            <w:tcW w:type="dxa" w:w="43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9FAFB"/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A defined set of rules or boundaries that must be followed for a project. Best for open-ended briefs where alignment is needed early.</w:t>
            </w:r>
          </w:p>
        </w:tc>
        <w:tc>
          <w:tcPr>
            <w:tcW w:type="dxa" w:w="43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9FAFB"/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In-bounds / out-of-bounds, objectives, must-follow criteria, or project constraints.</w:t>
            </w:r>
          </w:p>
        </w:tc>
      </w:tr>
      <w:tr>
        <w:tc>
          <w:tcPr>
            <w:tcW w:type="dxa" w:w="4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6"/>
              </w:rPr>
              <w:t>3</w:t>
            </w:r>
          </w:p>
        </w:tc>
        <w:tc>
          <w:tcPr>
            <w:tcW w:type="dxa" w:w="19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7"/>
              </w:rPr>
              <w:t>Whitespace Cartography</w:t>
            </w:r>
          </w:p>
        </w:tc>
        <w:tc>
          <w:tcPr>
            <w:tcW w:type="dxa" w:w="43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An opportunity map that highlights market voids a brand could seize through positioning or innovation.</w:t>
            </w:r>
          </w:p>
        </w:tc>
        <w:tc>
          <w:tcPr>
            <w:tcW w:type="dxa" w:w="43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Two axes based on consumer, category, or cultural shifts; four quadrants; competitors mapped into the space; bubbles can be sized by sales or usage data.</w:t>
            </w:r>
          </w:p>
        </w:tc>
      </w:tr>
      <w:tr>
        <w:tc>
          <w:tcPr>
            <w:tcW w:type="dxa" w:w="4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9FAFB"/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6"/>
              </w:rPr>
              <w:t>4</w:t>
            </w:r>
          </w:p>
        </w:tc>
        <w:tc>
          <w:tcPr>
            <w:tcW w:type="dxa" w:w="19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9FAFB"/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7"/>
              </w:rPr>
              <w:t>We Thought / We Discovered</w:t>
            </w:r>
          </w:p>
        </w:tc>
        <w:tc>
          <w:tcPr>
            <w:tcW w:type="dxa" w:w="43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9FAFB"/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An insight framework for sharing research “a-has” through two contrasting statements.</w:t>
            </w:r>
          </w:p>
        </w:tc>
        <w:tc>
          <w:tcPr>
            <w:tcW w:type="dxa" w:w="43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9FAFB"/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Myth: “We thought...” / Reality or Discovery: “We discovered...” / Optional implication or takeaway.</w:t>
            </w:r>
          </w:p>
        </w:tc>
      </w:tr>
      <w:tr>
        <w:tc>
          <w:tcPr>
            <w:tcW w:type="dxa" w:w="4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6"/>
              </w:rPr>
              <w:t>5</w:t>
            </w:r>
          </w:p>
        </w:tc>
        <w:tc>
          <w:tcPr>
            <w:tcW w:type="dxa" w:w="19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7"/>
              </w:rPr>
              <w:t>Pretext / Subtext / Context</w:t>
            </w:r>
          </w:p>
        </w:tc>
        <w:tc>
          <w:tcPr>
            <w:tcW w:type="dxa" w:w="43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A framework for packaging provocative insights that spark new ways of viewing a challenge or opportunity.</w:t>
            </w:r>
          </w:p>
        </w:tc>
        <w:tc>
          <w:tcPr>
            <w:tcW w:type="dxa" w:w="43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Historical Pretext: analogs from the past. Consumer Subtext: deeper human truths. Cultural or Category Context: trends or codes to leverage or disrupt.</w:t>
            </w:r>
          </w:p>
        </w:tc>
      </w:tr>
      <w:tr>
        <w:tc>
          <w:tcPr>
            <w:tcW w:type="dxa" w:w="4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9FAFB"/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6"/>
              </w:rPr>
              <w:t>6</w:t>
            </w:r>
          </w:p>
        </w:tc>
        <w:tc>
          <w:tcPr>
            <w:tcW w:type="dxa" w:w="19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9FAFB"/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7"/>
              </w:rPr>
              <w:t>From &gt; To</w:t>
            </w:r>
          </w:p>
        </w:tc>
        <w:tc>
          <w:tcPr>
            <w:tcW w:type="dxa" w:w="43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9FAFB"/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A framework that shows the conventional approach a brand can disrupt to better reflect consumer and cultural trends.</w:t>
            </w:r>
          </w:p>
        </w:tc>
        <w:tc>
          <w:tcPr>
            <w:tcW w:type="dxa" w:w="43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9FAFB"/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From: the current or conventional approach. To: the new direction based on emerging trends.</w:t>
            </w:r>
          </w:p>
        </w:tc>
      </w:tr>
      <w:tr>
        <w:tc>
          <w:tcPr>
            <w:tcW w:type="dxa" w:w="4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6"/>
              </w:rPr>
              <w:t>7</w:t>
            </w:r>
          </w:p>
        </w:tc>
        <w:tc>
          <w:tcPr>
            <w:tcW w:type="dxa" w:w="19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7"/>
              </w:rPr>
              <w:t>Pitches &amp; Pitfalls</w:t>
            </w:r>
          </w:p>
        </w:tc>
        <w:tc>
          <w:tcPr>
            <w:tcW w:type="dxa" w:w="43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A framework that captures the selling points and flaws of a brand or product through the eyes of consumers.</w:t>
            </w:r>
          </w:p>
        </w:tc>
        <w:tc>
          <w:tcPr>
            <w:tcW w:type="dxa" w:w="43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Pitches: brand/product at its best. Pitfalls: brand/product at its worst. Can be sized by importance or frequency.</w:t>
            </w:r>
          </w:p>
        </w:tc>
      </w:tr>
      <w:tr>
        <w:tc>
          <w:tcPr>
            <w:tcW w:type="dxa" w:w="4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9FAFB"/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6"/>
              </w:rPr>
              <w:t>8</w:t>
            </w:r>
          </w:p>
        </w:tc>
        <w:tc>
          <w:tcPr>
            <w:tcW w:type="dxa" w:w="19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9FAFB"/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7"/>
              </w:rPr>
              <w:t>Inside Out / Outside In</w:t>
            </w:r>
          </w:p>
        </w:tc>
        <w:tc>
          <w:tcPr>
            <w:tcW w:type="dxa" w:w="43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9FAFB"/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A framework pairing internal insight with external category or cultural observation.</w:t>
            </w:r>
          </w:p>
        </w:tc>
        <w:tc>
          <w:tcPr>
            <w:tcW w:type="dxa" w:w="43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9FAFB"/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Inside Out: stakeholder insights, often with employee verbatims. Outside In: category/cultural POV and how the brand can fit.</w:t>
            </w:r>
          </w:p>
        </w:tc>
      </w:tr>
      <w:tr>
        <w:tc>
          <w:tcPr>
            <w:tcW w:type="dxa" w:w="4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6"/>
              </w:rPr>
              <w:t>9</w:t>
            </w:r>
          </w:p>
        </w:tc>
        <w:tc>
          <w:tcPr>
            <w:tcW w:type="dxa" w:w="19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7"/>
              </w:rPr>
              <w:t>360 Degrees</w:t>
            </w:r>
          </w:p>
        </w:tc>
        <w:tc>
          <w:tcPr>
            <w:tcW w:type="dxa" w:w="43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A framework that analyzes an opportunity or challenge from four perspectives.</w:t>
            </w:r>
          </w:p>
        </w:tc>
        <w:tc>
          <w:tcPr>
            <w:tcW w:type="dxa" w:w="43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Looking In: internal culture. Looking Out: category context. Looking Forward: future trends. Looking Back: historical analogs or past learnings.</w:t>
            </w:r>
          </w:p>
        </w:tc>
      </w:tr>
      <w:tr>
        <w:tc>
          <w:tcPr>
            <w:tcW w:type="dxa" w:w="4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9FAFB"/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6"/>
              </w:rPr>
              <w:t>10</w:t>
            </w:r>
          </w:p>
        </w:tc>
        <w:tc>
          <w:tcPr>
            <w:tcW w:type="dxa" w:w="19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9FAFB"/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7"/>
              </w:rPr>
              <w:t>SWOT</w:t>
            </w:r>
          </w:p>
        </w:tc>
        <w:tc>
          <w:tcPr>
            <w:tcW w:type="dxa" w:w="43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9FAFB"/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A traditional marketing tool used to understand the best path forward for a brand.</w:t>
            </w:r>
          </w:p>
        </w:tc>
        <w:tc>
          <w:tcPr>
            <w:tcW w:type="dxa" w:w="43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9FAFB"/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Strengths, Weaknesses, Opportunities, Threats, plus implications for the organization.</w:t>
            </w:r>
          </w:p>
        </w:tc>
      </w:tr>
      <w:tr>
        <w:tc>
          <w:tcPr>
            <w:tcW w:type="dxa" w:w="4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6"/>
              </w:rPr>
              <w:t>11</w:t>
            </w:r>
          </w:p>
        </w:tc>
        <w:tc>
          <w:tcPr>
            <w:tcW w:type="dxa" w:w="19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7"/>
              </w:rPr>
              <w:t>Idea Deconstruction</w:t>
            </w:r>
          </w:p>
        </w:tc>
        <w:tc>
          <w:tcPr>
            <w:tcW w:type="dxa" w:w="43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A custom framework for breaking down a vague or lofty idea into tangible, actionable terms.</w:t>
            </w:r>
          </w:p>
        </w:tc>
        <w:tc>
          <w:tcPr>
            <w:tcW w:type="dxa" w:w="43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Concept or idea → frame for deconstruction → outputs such as brand territories, innovation territories, or challenge definition.</w:t>
            </w:r>
          </w:p>
        </w:tc>
      </w:tr>
      <w:tr>
        <w:tc>
          <w:tcPr>
            <w:tcW w:type="dxa" w:w="4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9FAFB"/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6"/>
              </w:rPr>
              <w:t>12</w:t>
            </w:r>
          </w:p>
        </w:tc>
        <w:tc>
          <w:tcPr>
            <w:tcW w:type="dxa" w:w="19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9FAFB"/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7"/>
              </w:rPr>
              <w:t>Traps</w:t>
            </w:r>
          </w:p>
        </w:tc>
        <w:tc>
          <w:tcPr>
            <w:tcW w:type="dxa" w:w="43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9FAFB"/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A set of watch-outs a brand must avoid to succeed in the future.</w:t>
            </w:r>
          </w:p>
        </w:tc>
        <w:tc>
          <w:tcPr>
            <w:tcW w:type="dxa" w:w="43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9FAFB"/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A list of historical, strategic, messaging, or executional traps to avoid.</w:t>
            </w:r>
          </w:p>
        </w:tc>
      </w:tr>
      <w:tr>
        <w:tc>
          <w:tcPr>
            <w:tcW w:type="dxa" w:w="4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6"/>
              </w:rPr>
              <w:t>13</w:t>
            </w:r>
          </w:p>
        </w:tc>
        <w:tc>
          <w:tcPr>
            <w:tcW w:type="dxa" w:w="19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7"/>
              </w:rPr>
              <w:t>Must-Haves</w:t>
            </w:r>
          </w:p>
        </w:tc>
        <w:tc>
          <w:tcPr>
            <w:tcW w:type="dxa" w:w="43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A set of things a brand must do to achieve a goal.</w:t>
            </w:r>
          </w:p>
        </w:tc>
        <w:tc>
          <w:tcPr>
            <w:tcW w:type="dxa" w:w="43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Success criteria used to guide the work, set up a recommendation, or evaluate ideas.</w:t>
            </w:r>
          </w:p>
        </w:tc>
      </w:tr>
      <w:tr>
        <w:tc>
          <w:tcPr>
            <w:tcW w:type="dxa" w:w="4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9FAFB"/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6"/>
              </w:rPr>
              <w:t>14</w:t>
            </w:r>
          </w:p>
        </w:tc>
        <w:tc>
          <w:tcPr>
            <w:tcW w:type="dxa" w:w="19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9FAFB"/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7"/>
              </w:rPr>
              <w:t>DMT Statements</w:t>
            </w:r>
          </w:p>
        </w:tc>
        <w:tc>
          <w:tcPr>
            <w:tcW w:type="dxa" w:w="43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9FAFB"/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An insight statement that gives a deeper, more holistic view of consumer needs.</w:t>
            </w:r>
          </w:p>
        </w:tc>
        <w:tc>
          <w:tcPr>
            <w:tcW w:type="dxa" w:w="43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9FAFB"/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Desire: “I need/want...” Motivation: “...so that...” Tension: “...but...”</w:t>
            </w:r>
          </w:p>
        </w:tc>
      </w:tr>
      <w:tr>
        <w:tc>
          <w:tcPr>
            <w:tcW w:type="dxa" w:w="4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6"/>
              </w:rPr>
              <w:t>15</w:t>
            </w:r>
          </w:p>
        </w:tc>
        <w:tc>
          <w:tcPr>
            <w:tcW w:type="dxa" w:w="19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7"/>
              </w:rPr>
              <w:t>Segment Profiles</w:t>
            </w:r>
          </w:p>
        </w:tc>
        <w:tc>
          <w:tcPr>
            <w:tcW w:type="dxa" w:w="43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A summary that brings consumer segments to life.</w:t>
            </w:r>
          </w:p>
        </w:tc>
        <w:tc>
          <w:tcPr>
            <w:tcW w:type="dxa" w:w="43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Segment name, motto, profile, needs, behaviors, attitudes, and must-haves.</w:t>
            </w:r>
          </w:p>
        </w:tc>
      </w:tr>
      <w:tr>
        <w:tc>
          <w:tcPr>
            <w:tcW w:type="dxa" w:w="4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9FAFB"/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6"/>
              </w:rPr>
              <w:t>16</w:t>
            </w:r>
          </w:p>
        </w:tc>
        <w:tc>
          <w:tcPr>
            <w:tcW w:type="dxa" w:w="19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9FAFB"/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7"/>
              </w:rPr>
              <w:t>Best Practice Principles</w:t>
            </w:r>
          </w:p>
        </w:tc>
        <w:tc>
          <w:tcPr>
            <w:tcW w:type="dxa" w:w="43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9FAFB"/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Guiding principles framed by studying best-in-class examples or analogs.</w:t>
            </w:r>
          </w:p>
        </w:tc>
        <w:tc>
          <w:tcPr>
            <w:tcW w:type="dxa" w:w="43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9FAFB"/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Principle handle or call-to-action, supported by case studies and brand implications.</w:t>
            </w:r>
          </w:p>
        </w:tc>
      </w:tr>
      <w:tr>
        <w:tc>
          <w:tcPr>
            <w:tcW w:type="dxa" w:w="4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6"/>
              </w:rPr>
              <w:t>17</w:t>
            </w:r>
          </w:p>
        </w:tc>
        <w:tc>
          <w:tcPr>
            <w:tcW w:type="dxa" w:w="19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7"/>
              </w:rPr>
              <w:t>Spider Maps</w:t>
            </w:r>
          </w:p>
        </w:tc>
        <w:tc>
          <w:tcPr>
            <w:tcW w:type="dxa" w:w="43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A diagnostic tool for evaluating how successful brands are at achieving a larger goal.</w:t>
            </w:r>
          </w:p>
        </w:tc>
        <w:tc>
          <w:tcPr>
            <w:tcW w:type="dxa" w:w="43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Define metrics, plot them on a spider/radar map, then compare brands, segments, needs, or values.</w:t>
            </w:r>
          </w:p>
        </w:tc>
      </w:tr>
      <w:tr>
        <w:tc>
          <w:tcPr>
            <w:tcW w:type="dxa" w:w="4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9FAFB"/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6"/>
              </w:rPr>
              <w:t>18</w:t>
            </w:r>
          </w:p>
        </w:tc>
        <w:tc>
          <w:tcPr>
            <w:tcW w:type="dxa" w:w="19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9FAFB"/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7"/>
              </w:rPr>
              <w:t>Opportunity Report Cards</w:t>
            </w:r>
          </w:p>
        </w:tc>
        <w:tc>
          <w:tcPr>
            <w:tcW w:type="dxa" w:w="43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9FAFB"/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An evaluation framework for prioritizing territories, concepts, or opportunities.</w:t>
            </w:r>
          </w:p>
        </w:tc>
        <w:tc>
          <w:tcPr>
            <w:tcW w:type="dxa" w:w="43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9FAFB"/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Define success criteria, then grade each territory or concept using informed intuition.</w:t>
            </w:r>
          </w:p>
        </w:tc>
      </w:tr>
      <w:tr>
        <w:tc>
          <w:tcPr>
            <w:tcW w:type="dxa" w:w="4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6"/>
              </w:rPr>
              <w:t>19</w:t>
            </w:r>
          </w:p>
        </w:tc>
        <w:tc>
          <w:tcPr>
            <w:tcW w:type="dxa" w:w="19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7"/>
              </w:rPr>
              <w:t>Prioritization Maps</w:t>
            </w:r>
          </w:p>
        </w:tc>
        <w:tc>
          <w:tcPr>
            <w:tcW w:type="dxa" w:w="43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A two-axis map for prioritizing territories or concepts based on two success variables.</w:t>
            </w:r>
          </w:p>
        </w:tc>
        <w:tc>
          <w:tcPr>
            <w:tcW w:type="dxa" w:w="43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Two important variables plotted against each other to clarify priority spaces.</w:t>
            </w:r>
          </w:p>
        </w:tc>
      </w:tr>
    </w:tbl>
    <w:p>
      <w:pPr>
        <w:pStyle w:val="Heading1"/>
        <w:spacing w:before="240"/>
      </w:pPr>
      <w:r>
        <w:t>Simple build template</w:t>
      </w:r>
    </w:p>
    <w:p>
      <w:pPr>
        <w:spacing w:after="120"/>
      </w:pPr>
      <w:r>
        <w:rPr>
          <w:color w:val="4B5563"/>
          <w:sz w:val="18"/>
        </w:rPr>
        <w:t>Use this when turning any tool into a team-facing card, modal, or working session prompt.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1900"/>
            <w:shd w:fill="E5E7E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7"/>
              </w:rPr>
              <w:t>Tool name</w:t>
            </w:r>
          </w:p>
        </w:tc>
        <w:tc>
          <w:tcPr>
            <w:tcW w:type="dxa" w:w="3200"/>
            <w:shd w:fill="E5E7E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7"/>
              </w:rPr>
              <w:t>One-liner</w:t>
            </w:r>
          </w:p>
        </w:tc>
        <w:tc>
          <w:tcPr>
            <w:tcW w:type="dxa" w:w="3300"/>
            <w:shd w:fill="E5E7E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7"/>
              </w:rPr>
              <w:t>When to use it</w:t>
            </w:r>
          </w:p>
        </w:tc>
        <w:tc>
          <w:tcPr>
            <w:tcW w:type="dxa" w:w="2900"/>
            <w:shd w:fill="E5E7E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111827"/>
                <w:sz w:val="17"/>
              </w:rPr>
              <w:t>Output</w:t>
            </w:r>
          </w:p>
        </w:tc>
      </w:tr>
      <w:tr>
        <w:tc>
          <w:tcPr>
            <w:tcW w:type="dxa" w:w="190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[Name of tool]</w:t>
            </w:r>
          </w:p>
        </w:tc>
        <w:tc>
          <w:tcPr>
            <w:tcW w:type="dxa" w:w="320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[A single sentence describing the job it does.]</w:t>
            </w:r>
          </w:p>
        </w:tc>
        <w:tc>
          <w:tcPr>
            <w:tcW w:type="dxa" w:w="330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• When the brief is open-ended</w:t>
              <w:br/>
              <w:t>• When the team needs alignment</w:t>
              <w:br/>
              <w:t>• When there are competing hypotheses</w:t>
              <w:br/>
              <w:t>• When a decision needs a clearer frame</w:t>
            </w:r>
          </w:p>
        </w:tc>
        <w:tc>
          <w:tcPr>
            <w:tcW w:type="dxa" w:w="290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111827"/>
                <w:sz w:val="16"/>
              </w:rPr>
              <w:t>[Map, matrix, statement, profile, report card, or prioritized recommendation]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5"/>
      </w:rPr>
      <w:t>Extracted and organized from section A, pages 6–78. Brand case-study examples excluded.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SL Ninja Toolkit | A. insight &amp; opportunity analysis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1182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1182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Insight &amp; Opportunity Analysis</dc:title>
  <dc:subject>Extracted and organized from SL Ninja Toolkit section A</dc:subject>
  <dc:creator>OpenAI</dc:creator>
  <cp:keywords/>
  <dc:description>Brand examples omitted.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