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Science Gateway Description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Operator role(s)</w:t>
      </w:r>
      <w:r w:rsidDel="00000000" w:rsidR="00000000" w:rsidRPr="00000000">
        <w:rPr>
          <w:sz w:val="24"/>
          <w:szCs w:val="24"/>
          <w:rtl w:val="0"/>
        </w:rPr>
        <w:t xml:space="preserve">: Gateway administrator</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science gateway provider registers their gateway with ACCESS to provide publicly accessible and internally accessible information about the science gateway. This step also allows the request for the creation of community accounts on allocated resources.</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The science gateway provider must have completed “Science Gateway Resource Requests”</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r w:rsidDel="00000000" w:rsidR="00000000" w:rsidRPr="00000000">
        <w:rPr>
          <w:rtl w:val="0"/>
        </w:rPr>
        <w:t xml:space="preserve">The science gateway provider must provide information in </w:t>
      </w:r>
      <w:r w:rsidDel="00000000" w:rsidR="00000000" w:rsidRPr="00000000">
        <w:rPr>
          <w:rtl w:val="0"/>
        </w:rPr>
        <w:t xml:space="preserve">gateway information </w:t>
      </w:r>
      <w:hyperlink r:id="rId6">
        <w:r w:rsidDel="00000000" w:rsidR="00000000" w:rsidRPr="00000000">
          <w:rPr>
            <w:color w:val="1155cc"/>
            <w:u w:val="single"/>
            <w:rtl w:val="0"/>
          </w:rPr>
          <w:t xml:space="preserve">here</w:t>
        </w:r>
      </w:hyperlink>
      <w:r w:rsidDel="00000000" w:rsidR="00000000" w:rsidRPr="00000000">
        <w:rPr>
          <w:rtl w:val="0"/>
        </w:rPr>
        <w:t xml:space="preserve">. This step will take less than 10 minutes of effort.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Science gateway providers register their gateway with ACCESS, providing the following information: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URL for the science gateway (displayed by ACCESS if the gateway is also in production). If ths is not yet determined it can be updated when the URL is in place.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 short description of the gateway that can be displayed by ACCESS if the gateway is in production and which can help potential users find the gateway.</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 short name for the science gateway that complies with UNIX account name requirements, which may be used as community account names by Resource Providers.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gateway’s status, which can be “in production” and ready to accept users, or “in development.”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Production date for the gateway. If your gateway is currently in production, estimate the date it was available to the community.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task is completed when the gateway information is published to the ACCESS web site and when community accounts are created on allocated resources.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ACCESS may periodically review registration information to confirm that it is correct.  Gateway providers should promptly update their registration information.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4/10/2023</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4/3/2023</w:t>
      </w:r>
    </w:p>
    <w:p w:rsidR="00000000" w:rsidDel="00000000" w:rsidP="00000000" w:rsidRDefault="00000000" w:rsidRPr="00000000" w14:paraId="0000001E">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S8zMTpIq3c7ehAXnbsiI7nyiwVhPBkN1j3eEVKb3VsE/edit#gid=251017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