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1"/>
          <w:szCs w:val="21"/>
          <w:lang w:val="en-US"/>
        </w:rPr>
      </w:pPr>
      <w:bookmarkStart w:id="0" w:name="_GoBack"/>
      <w:bookmarkEnd w:id="0"/>
      <w:r>
        <w:rPr/>
        <w:drawing>
          <wp:inline distT="0" distB="0" distL="0" distR="0">
            <wp:extent cx="2838450" cy="732790"/>
            <wp:effectExtent l="0" t="0" r="0" b="0"/>
            <wp:docPr id="1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rPr>
          <w:sz w:val="21"/>
          <w:szCs w:val="21"/>
          <w:lang w:val="en-US"/>
        </w:rPr>
      </w:pPr>
      <w:r>
        <w:rPr>
          <w:sz w:val="21"/>
          <w:szCs w:val="21"/>
        </w:rPr>
        <w:t>БАНКОВСКАЯ</w:t>
      </w:r>
      <w:r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ГАРАНТИЯ</w:t>
      </w:r>
      <w:r>
        <w:rPr>
          <w:sz w:val="21"/>
          <w:szCs w:val="21"/>
          <w:lang w:val="en-US"/>
        </w:rPr>
        <w:t xml:space="preserve">  № </w:t>
      </w:r>
      <w:r>
        <w:rPr>
          <w:sz w:val="21"/>
          <w:szCs w:val="21"/>
          <w:highlight w:val="yellow"/>
          <w:lang w:val="en-US"/>
        </w:rPr>
        <w:t>{issue.bg_property[bg_number]}</w:t>
      </w:r>
    </w:p>
    <w:p>
      <w:pPr>
        <w:pStyle w:val="Normal"/>
        <w:spacing w:lineRule="auto" w:line="240" w:before="0" w:after="0"/>
        <w:rPr>
          <w:sz w:val="20"/>
          <w:szCs w:val="21"/>
          <w:lang w:val="en-US"/>
        </w:rPr>
      </w:pPr>
      <w:r>
        <w:rPr>
          <w:sz w:val="20"/>
          <w:szCs w:val="21"/>
          <w:lang w:val="en-US"/>
        </w:rPr>
      </w:r>
    </w:p>
    <w:tbl>
      <w:tblPr>
        <w:tblStyle w:val="a7"/>
        <w:tblW w:w="9571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785"/>
        <w:gridCol w:w="4785"/>
      </w:tblGrid>
      <w:tr>
        <w:trPr/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{issue.bg_property[city]}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{issue.humanized_created_at_with_quotes_and_month_as_word} г.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/>
      </w:pPr>
      <w:r>
        <w:rPr>
          <w:rFonts w:ascii="Times New Roman" w:hAnsi="Times New Roman"/>
          <w:b/>
          <w:sz w:val="21"/>
          <w:szCs w:val="21"/>
        </w:rPr>
        <w:t>ПУБЛИЧНОЕ АКЦИОНЕРНОЕ ОБЩЕСТВО «СЕВЕРГАЗБАНК»,</w:t>
      </w:r>
      <w:r>
        <w:rPr>
          <w:rFonts w:ascii="Times New Roman" w:hAnsi="Times New Roman"/>
          <w:sz w:val="21"/>
          <w:szCs w:val="21"/>
        </w:rPr>
        <w:t xml:space="preserve"> генеральная лицензия Банка России № 2816 от 13 января 2017 года, в лице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post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>
        <w:rPr>
          <w:rFonts w:ascii="Times New Roman" w:hAnsi="Times New Roman"/>
          <w:sz w:val="21"/>
          <w:szCs w:val="21"/>
          <w:highlight w:val="yellow"/>
        </w:rPr>
        <w:t>]} 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r>
        <w:rPr>
          <w:rFonts w:ascii="Times New Roman" w:hAnsi="Times New Roman"/>
          <w:sz w:val="21"/>
          <w:szCs w:val="21"/>
        </w:rPr>
        <w:t xml:space="preserve">, действующего на основании доверенности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power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of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attorney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r>
        <w:rPr>
          <w:rFonts w:ascii="Times New Roman" w:hAnsi="Times New Roman"/>
          <w:sz w:val="21"/>
          <w:szCs w:val="21"/>
        </w:rPr>
        <w:t xml:space="preserve">, далее именуемый </w:t>
      </w:r>
      <w:r>
        <w:rPr>
          <w:rFonts w:ascii="Times New Roman" w:hAnsi="Times New Roman"/>
          <w:b/>
          <w:sz w:val="21"/>
          <w:szCs w:val="21"/>
        </w:rPr>
        <w:t>«Гарант»</w:t>
      </w:r>
      <w:r>
        <w:rPr>
          <w:rFonts w:ascii="Times New Roman" w:hAnsi="Times New Roman"/>
          <w:sz w:val="21"/>
          <w:szCs w:val="21"/>
        </w:rPr>
        <w:t xml:space="preserve">, настоящим гарантирует обеспечение заявки на участие  </w:t>
      </w:r>
      <w:r>
        <w:rPr>
          <w:rFonts w:ascii="Times New Roman" w:hAnsi="Times New Roman"/>
          <w:b/>
          <w:sz w:val="21"/>
          <w:szCs w:val="21"/>
          <w:highlight w:val="yellow"/>
        </w:rPr>
        <w:t>{</w:t>
      </w:r>
      <w:r>
        <w:rPr>
          <w:rFonts w:ascii="Times New Roman" w:hAnsi="Times New Roman"/>
          <w:b/>
          <w:sz w:val="21"/>
          <w:szCs w:val="21"/>
          <w:highlight w:val="yellow"/>
          <w:lang w:val="en-US"/>
        </w:rPr>
        <w:t>issue.bg_property[issuer_full_name_tp]</w:t>
      </w:r>
      <w:r>
        <w:rPr>
          <w:rFonts w:ascii="Times New Roman" w:hAnsi="Times New Roman"/>
          <w:b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, ИНН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, в дальнейшем именуемый </w:t>
      </w:r>
      <w:r>
        <w:rPr>
          <w:rFonts w:ascii="Times New Roman" w:hAnsi="Times New Roman"/>
          <w:b/>
          <w:sz w:val="21"/>
          <w:szCs w:val="21"/>
        </w:rPr>
        <w:t>«Принципал»</w:t>
      </w:r>
      <w:r>
        <w:rPr>
          <w:rFonts w:ascii="Times New Roman" w:hAnsi="Times New Roman"/>
          <w:sz w:val="21"/>
          <w:szCs w:val="21"/>
        </w:rPr>
        <w:t xml:space="preserve">, обязательств установленных в документации на участие в объявленном Бенефициаром конкурсе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gos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number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 на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contract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subject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 перед </w:t>
      </w:r>
      <w:r>
        <w:rPr>
          <w:rFonts w:eastAsia="Times New Roman" w:cs="Times New Roman" w:ascii="Times New Roman" w:hAnsi="Times New Roman"/>
          <w:b/>
          <w:color w:val="000000"/>
          <w:sz w:val="21"/>
          <w:szCs w:val="21"/>
          <w:highlight w:val="yellow"/>
          <w:lang w:eastAsia="ru-RU"/>
        </w:rPr>
        <w:t>{</w:t>
      </w:r>
      <w:r>
        <w:rPr>
          <w:rFonts w:eastAsia="Times New Roman" w:cs="Times New Roman" w:ascii="Times New Roman" w:hAnsi="Times New Roman"/>
          <w:b/>
          <w:color w:val="000000"/>
          <w:sz w:val="21"/>
          <w:szCs w:val="21"/>
          <w:highlight w:val="yellow"/>
          <w:lang w:val="en-US" w:eastAsia="ru-RU"/>
        </w:rPr>
        <w:t>issue.bg_property[tender_responsible_full_name_tp]</w:t>
      </w:r>
      <w:r>
        <w:rPr>
          <w:rFonts w:eastAsia="Times New Roman" w:cs="Times New Roman" w:ascii="Times New Roman" w:hAnsi="Times New Roman"/>
          <w:b/>
          <w:color w:val="000000"/>
          <w:sz w:val="21"/>
          <w:szCs w:val="21"/>
          <w:highlight w:val="yellow"/>
          <w:lang w:eastAsia="ru-RU"/>
        </w:rPr>
        <w:t>}</w:t>
      </w:r>
      <w:r>
        <w:rPr>
          <w:rFonts w:ascii="Times New Roman" w:hAnsi="Times New Roman"/>
          <w:b/>
          <w:sz w:val="21"/>
          <w:szCs w:val="21"/>
        </w:rPr>
        <w:t xml:space="preserve">, </w:t>
      </w:r>
      <w:r>
        <w:rPr>
          <w:rFonts w:ascii="Times New Roman" w:hAnsi="Times New Roman"/>
          <w:sz w:val="21"/>
          <w:szCs w:val="21"/>
        </w:rPr>
        <w:t xml:space="preserve">юридический адрес: </w:t>
      </w:r>
      <w:bookmarkStart w:id="1" w:name="_Hlk505352980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legal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address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bookmarkEnd w:id="1"/>
      <w:r>
        <w:rPr>
          <w:rFonts w:ascii="Times New Roman" w:hAnsi="Times New Roman"/>
          <w:sz w:val="21"/>
          <w:szCs w:val="21"/>
        </w:rPr>
        <w:t xml:space="preserve">, ИНН </w:t>
      </w:r>
      <w:bookmarkStart w:id="2" w:name="_Hlk505352989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bookmarkEnd w:id="2"/>
      <w:r>
        <w:rPr>
          <w:rFonts w:ascii="Times New Roman" w:hAnsi="Times New Roman"/>
          <w:sz w:val="21"/>
          <w:szCs w:val="21"/>
        </w:rPr>
        <w:t>, именуемый в дальнейшем</w:t>
      </w:r>
      <w:r>
        <w:rPr>
          <w:rFonts w:ascii="Times New Roman" w:hAnsi="Times New Roman"/>
          <w:b/>
          <w:sz w:val="21"/>
          <w:szCs w:val="21"/>
        </w:rPr>
        <w:t xml:space="preserve"> «Бенефициар»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/>
      </w:pPr>
      <w:r>
        <w:rPr>
          <w:rFonts w:ascii="Times New Roman" w:hAnsi="Times New Roman"/>
          <w:sz w:val="21"/>
          <w:szCs w:val="21"/>
        </w:rPr>
        <w:t xml:space="preserve">Гарант настоящим безотзывно обязуется уплатить Бенефициару по его письменному требованию любую сумму, не превышающую </w:t>
      </w:r>
      <w:bookmarkStart w:id="3" w:name="_Hlk505353001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sum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str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bookmarkEnd w:id="3"/>
      <w:r>
        <w:rPr>
          <w:rFonts w:ascii="Times New Roman" w:hAnsi="Times New Roman"/>
          <w:sz w:val="21"/>
          <w:szCs w:val="21"/>
        </w:rPr>
        <w:t xml:space="preserve">, в случае ненадлежащего выполнения и/или невыполнения Принципалом обязательств, в обеспечение которых выдана настоящая банковская гарантия (далее – Гарантия). 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 обязуется не позднее 5 (Пяти) рабочих дней с даты получения письменного требования Бенефициара, содержащего указание на то, в чем состоит нарушение Принципалом обязательств, в обеспечение которых выдана Гарантия, и документов, указанных в п.7 Гарантии, удовлетворить либо отказать в удовлетворении данного требования при наличии оснований для отказа.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  <w:lang w:eastAsia="ru-RU"/>
        </w:rPr>
        <w:t>Бенефициар имеет безусловное право на истребование суммы банковской гарантии полностью или частично в случае неисполнения и/или ненадлежащего исполнения Принципалом своих обязательств по вышеуказанному Договору в предусмотренные сроки и/или расторжения Договора.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eastAsia="Times New Roman" w:ascii="Times New Roman" w:hAnsi="Times New Roman"/>
          <w:sz w:val="21"/>
          <w:szCs w:val="21"/>
          <w:lang w:eastAsia="ru-RU"/>
        </w:rPr>
        <w:t>Гарантия обеспечивает исполнение Принципалом обязательств по указанному выше Договору</w:t>
      </w:r>
      <w:r>
        <w:rPr>
          <w:rFonts w:ascii="Times New Roman" w:hAnsi="Times New Roman"/>
          <w:sz w:val="21"/>
          <w:szCs w:val="21"/>
        </w:rPr>
        <w:t xml:space="preserve">,  в том числе </w:t>
      </w:r>
      <w:r>
        <w:rPr>
          <w:rFonts w:eastAsia="Times New Roman" w:ascii="Times New Roman" w:hAnsi="Times New Roman"/>
          <w:sz w:val="21"/>
          <w:szCs w:val="21"/>
          <w:lang w:eastAsia="ru-RU"/>
        </w:rPr>
        <w:t>по уплате неустоек (пени, штрафов) и иных платежей, предусмотренных Договором, начисленных с момента возникновения у Бенефициара права на их начисления, по возврату авансового платежа, в случае неисполнения обязательств по Договору.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eastAsia="Times New Roman" w:ascii="Times New Roman" w:hAnsi="Times New Roman"/>
          <w:sz w:val="21"/>
          <w:szCs w:val="21"/>
          <w:lang w:eastAsia="ru-RU"/>
        </w:rPr>
        <w:t>Обязательства Гаранта перед Бенефициаром по настоящей банковской гарантии ограничены суммой, указанной в п. 2 Гарантии и уменьшаются по мере осуществления Гарантом платежей по Гарантии.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Бенефициара об уплате денежной суммы по Гарантии должно быть подписано уполномоченным лицом Бенефициара, скреплено печатью Бенефициара и представлено Гаранту в письменной форме, с приложением:  расчета суммы, включаемой в требование по Гарантии; документов, подтверждающих полномочия уполномоченного лица Бенефициара, подписавшего требование,</w:t>
      </w:r>
      <w:r>
        <w:rPr>
          <w:rFonts w:ascii="Times New Roman" w:hAnsi="Times New Roman"/>
          <w:color w:val="FF0000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а также лица, подписавшего (заверившего) иные документы, приложенные к требованию (решение об избрании, приказ о назначении, доверенность);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 Договором, а требование по Гарантии предъявлено в случае ненадлежащего исполнения Принципалом обязательств по возврату аванса); </w:t>
      </w:r>
      <w:r>
        <w:rPr>
          <w:rFonts w:ascii="Times New Roman" w:hAnsi="Times New Roman"/>
          <w:bCs/>
          <w:sz w:val="21"/>
          <w:szCs w:val="21"/>
        </w:rPr>
        <w:t>документа, подтверждающего факт наступления гарантийного случая в соответствии с условиями Контракта (если требование по Гарантии предъявлено в случае ненадлежащего исполнения Принципалом обязательств в период действия гарантийного срока)</w:t>
      </w:r>
      <w:r>
        <w:rPr>
          <w:rFonts w:ascii="Times New Roman" w:hAnsi="Times New Roman"/>
          <w:sz w:val="21"/>
          <w:szCs w:val="21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Бенефициара об уплате денежной суммы по Гарантии должно быть представлено Гаранту до истечения срока действия Гарантии по адресу: 121069, г. Москва, ул. Садовая - Кудринская, д. 2/62, стр. 4, с приложением документов, указанных в п. 7 Гарантии.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 отказывает в удовлетворении требований Бенефициара, если: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или приложенные к нему документы не соответствуют условиям Гарантии;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представлено по окончании определенного в Гарантии срока.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Обязательство Гаранта перед Бенефициаром считается надлежаще исполненным с момента фактического поступления денежных сумм на счет, на котором в соответствии с законодательством Российской Федерации учитываются операции со средствами, постапающими Бенефициару.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Расходы, возникающие в связи с перечислением денежных средств Гарантом по Гарантии, несет Гарант.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В случае неисполнения Требования об уплате по Гарантии в установленный срок Гарант обязуется уплатить Бенефициару неустойку (пени) в размере 0,1 (ноль  целых одна десятая) процента от суммы, подлежащей уплате за каждый календарный день просрочки, начиная со дня, следующего за днем истечения установленного Гарантией срока оплаты, указанного в п. 3 Гарантии, по день фактического поступления денежных средств на счет Бенефициара.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Никакие изменения и дополнения, вносимые в Договор, не освобождают Гаранта от обязательств по Гарантии.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Гарантия не может быть отозвана Гарантом или без согласия Бенефициара изменена Гарантом.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Бенефициар вправе передать право требования по Гарантии при перемене Бенефициара (Заказчика) в случаях, предусмотренных законодательством Российской Федерации, с предварительным извещением об этом Гаранта.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Гарантия выдана на основании Договора о предоставлении банковской гарантии </w:t>
      </w:r>
      <w:r>
        <w:rPr/>
        <w:t xml:space="preserve">№ 19/_____ЭГ-17 </w:t>
      </w:r>
      <w:r>
        <w:rPr>
          <w:rFonts w:ascii="Times New Roman" w:hAnsi="Times New Roman"/>
          <w:sz w:val="21"/>
          <w:szCs w:val="21"/>
        </w:rPr>
        <w:t>от «___» _________ 2017 года в обеспечение обязательств Принципала, которые возникнут из Договора при его заключении (отлагательное условие).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Гарантия является безотзывной, вступает в силу с даты ее выдачи и действует до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humanized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end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date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  года включительно.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Все споры, разногласия или требования, возникающие из Гарантии или в связи с ней, подлежат рассмотрению в Арбитражном суде </w:t>
      </w:r>
      <w:bookmarkStart w:id="4" w:name="_Hlk505353050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arbitration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bookmarkEnd w:id="4"/>
      <w:r>
        <w:rPr>
          <w:rFonts w:ascii="Times New Roman" w:hAnsi="Times New Roman"/>
          <w:sz w:val="21"/>
          <w:szCs w:val="21"/>
        </w:rPr>
        <w:t>.</w:t>
      </w:r>
    </w:p>
    <w:p>
      <w:pPr>
        <w:pStyle w:val="ListParagraph"/>
        <w:spacing w:lineRule="exact" w:line="240" w:before="0" w:after="0"/>
        <w:ind w:left="426" w:hanging="0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rFonts w:ascii="Times New Roman" w:hAnsi="Times New Roman"/>
          <w:b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rFonts w:ascii="Times New Roman" w:hAnsi="Times New Roman"/>
          <w:b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ПАО «БАНК СГБ»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Место нахождения: г. Вологда, ул. Благовещенская, д. 3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К/с 30101810800000000786 в Отделении Вологда, 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</w:rPr>
        <w:t>БИК</w:t>
      </w:r>
      <w:r>
        <w:rPr>
          <w:rFonts w:ascii="Times New Roman" w:hAnsi="Times New Roman"/>
          <w:sz w:val="21"/>
          <w:szCs w:val="21"/>
          <w:lang w:val="en-US"/>
        </w:rPr>
        <w:t xml:space="preserve"> 041909786, </w:t>
      </w:r>
      <w:r>
        <w:rPr>
          <w:rFonts w:ascii="Times New Roman" w:hAnsi="Times New Roman"/>
          <w:sz w:val="21"/>
          <w:szCs w:val="21"/>
        </w:rPr>
        <w:t>ИНН</w:t>
      </w:r>
      <w:r>
        <w:rPr>
          <w:rFonts w:ascii="Times New Roman" w:hAnsi="Times New Roman"/>
          <w:sz w:val="21"/>
          <w:szCs w:val="21"/>
          <w:lang w:val="en-US"/>
        </w:rPr>
        <w:t xml:space="preserve"> 3525023780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{issue.bg_property[requisites]}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{issue.bg_property[post_sign_by]}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  <w:t xml:space="preserve">_________________________ 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{issue.bg_property[sign_by_short]}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мп</w:t>
      </w:r>
    </w:p>
    <w:p>
      <w:pPr>
        <w:pStyle w:val="Normal"/>
        <w:spacing w:lineRule="auto" w:line="240" w:before="0" w:after="200"/>
        <w:rPr/>
      </w:pPr>
      <w:r>
        <w:rPr/>
      </w:r>
    </w:p>
    <w:sectPr>
      <w:type w:val="nextPage"/>
      <w:pgSz w:w="11906" w:h="16838"/>
      <w:pgMar w:left="1701" w:right="850" w:header="0" w:top="85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1"/>
        <w:b/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documentProtection w:edit="trackedChanges" w:enforcement="1" w:cryptProviderType="rsaAES" w:cryptAlgorithmClass="hash" w:cryptAlgorithmType="typeAny" w:cryptAlgorithmSid="14" w:cryptSpinCount="100000" w:hash="+QopQRdarDxXw8bB8VmlrufwZ2/7O3JWXA0KDKQj9kgDMTsJHpxxISi0ce4krEQoaXZWMeVXK4puxeg720M+zQ==" w:salt="lFuSWggtInFBSYquXmXPOQ==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b5a2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6d2313"/>
    <w:rPr>
      <w:rFonts w:ascii="Tahoma" w:hAnsi="Tahoma" w:cs="Tahoma"/>
      <w:sz w:val="16"/>
      <w:szCs w:val="16"/>
    </w:rPr>
  </w:style>
  <w:style w:type="character" w:styleId="Style15" w:customStyle="1">
    <w:name w:val="Подзаголовок Знак"/>
    <w:basedOn w:val="DefaultParagraphFont"/>
    <w:link w:val="a5"/>
    <w:qFormat/>
    <w:rsid w:val="006d2313"/>
    <w:rPr>
      <w:rFonts w:ascii="Times New Roman" w:hAnsi="Times New Roman" w:eastAsia="Times New Roman" w:cs="Times New Roman"/>
      <w:sz w:val="20"/>
      <w:szCs w:val="20"/>
      <w:shd w:fill="E5E5E5" w:val="clear"/>
      <w:lang w:eastAsia="ru-RU"/>
    </w:rPr>
  </w:style>
  <w:style w:type="character" w:styleId="ListLabel1">
    <w:name w:val="ListLabel 1"/>
    <w:qFormat/>
    <w:rPr>
      <w:rFonts w:ascii="Times New Roman" w:hAnsi="Times New Roman"/>
      <w:b/>
      <w:sz w:val="21"/>
    </w:rPr>
  </w:style>
  <w:style w:type="character" w:styleId="ListLabel2">
    <w:name w:val="ListLabel 2"/>
    <w:qFormat/>
    <w:rPr>
      <w:b w:val="false"/>
    </w:rPr>
  </w:style>
  <w:style w:type="character" w:styleId="ListLabel3">
    <w:name w:val="ListLabel 3"/>
    <w:qFormat/>
    <w:rPr>
      <w:b w:val="false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Times New Roman" w:hAnsi="Times New Roman"/>
      <w:b/>
      <w:sz w:val="21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rFonts w:ascii="Times New Roman" w:hAnsi="Times New Roman" w:cs="Symbol"/>
      <w:sz w:val="21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Times New Roman" w:hAnsi="Times New Roman"/>
      <w:b/>
      <w:sz w:val="21"/>
    </w:rPr>
  </w:style>
  <w:style w:type="character" w:styleId="ListLabel20">
    <w:name w:val="ListLabel 20"/>
    <w:qFormat/>
    <w:rPr>
      <w:b w:val="false"/>
    </w:rPr>
  </w:style>
  <w:style w:type="character" w:styleId="ListLabel21">
    <w:name w:val="ListLabel 21"/>
    <w:qFormat/>
    <w:rPr>
      <w:rFonts w:ascii="Times New Roman" w:hAnsi="Times New Roman" w:cs="Symbol"/>
      <w:sz w:val="21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ascii="Times New Roman" w:hAnsi="Times New Roman"/>
      <w:b/>
      <w:sz w:val="21"/>
    </w:rPr>
  </w:style>
  <w:style w:type="character" w:styleId="ListLabel31">
    <w:name w:val="ListLabel 31"/>
    <w:qFormat/>
    <w:rPr>
      <w:b w:val="false"/>
    </w:rPr>
  </w:style>
  <w:style w:type="character" w:styleId="ListLabel32">
    <w:name w:val="ListLabel 32"/>
    <w:qFormat/>
    <w:rPr>
      <w:rFonts w:ascii="Times New Roman" w:hAnsi="Times New Roman" w:cs="Symbol"/>
      <w:sz w:val="21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6d231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link w:val="a6"/>
    <w:qFormat/>
    <w:rsid w:val="006d2313"/>
    <w:pPr>
      <w:shd w:val="pct10" w:color="000000" w:fill="FFFFFF"/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1b0b5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6d23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1CBA9E-1B34-49B4-95AF-FC9F9042B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Application>LibreOffice/6.0.1.1$Linux_X86_64 LibreOffice_project/00m0$Build-1</Application>
  <Pages>2</Pages>
  <Words>723</Words>
  <Characters>5448</Characters>
  <CharactersWithSpaces>6130</CharactersWithSpaces>
  <Paragraphs>33</Paragraphs>
  <Company>SGB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2017-06-19T07:34:00Z</dcterms:created>
  <dc:creator>rodionovmv</dc:creator>
  <dc:description/>
  <dc:language>ru-RU</dc:language>
  <cp:lastModifiedBy>Владислав Сергеевич Зиминов</cp:lastModifiedBy>
  <dcterms:modified xsi:type="dcterms:W3CDTF">2018-02-27T13:07:07Z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SGB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