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1"/>
          <w:szCs w:val="21"/>
          <w:lang w:val="en-US"/>
        </w:rPr>
      </w:pPr>
      <w:bookmarkStart w:id="0" w:name="_GoBack"/>
      <w:bookmarkEnd w:id="0"/>
      <w:r>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Style21"/>
        <w:rPr>
          <w:sz w:val="21"/>
          <w:szCs w:val="21"/>
          <w:lang w:val="en-US"/>
        </w:rPr>
      </w:pPr>
      <w:r>
        <w:rPr>
          <w:sz w:val="21"/>
          <w:szCs w:val="21"/>
        </w:rPr>
        <w:t>БАНКОВСКАЯ</w:t>
      </w:r>
      <w:r>
        <w:rPr>
          <w:sz w:val="21"/>
          <w:szCs w:val="21"/>
          <w:lang w:val="en-US"/>
        </w:rPr>
        <w:t xml:space="preserve"> </w:t>
      </w:r>
      <w:r>
        <w:rPr>
          <w:sz w:val="21"/>
          <w:szCs w:val="21"/>
        </w:rPr>
        <w:t>ГАРАНТИЯ</w:t>
      </w:r>
      <w:r>
        <w:rPr>
          <w:sz w:val="21"/>
          <w:szCs w:val="21"/>
          <w:lang w:val="en-US"/>
        </w:rPr>
        <w:t xml:space="preserve">  № </w:t>
      </w:r>
      <w:r>
        <w:rPr>
          <w:sz w:val="21"/>
          <w:szCs w:val="21"/>
          <w:highlight w:val="yellow"/>
          <w:lang w:val="en-US"/>
        </w:rPr>
        <w:t>{issue.bg_property[bg_number]}</w:t>
      </w:r>
    </w:p>
    <w:p>
      <w:pPr>
        <w:pStyle w:val="Normal"/>
        <w:spacing w:lineRule="auto" w:line="240" w:before="0" w:after="0"/>
        <w:rPr>
          <w:sz w:val="20"/>
          <w:szCs w:val="21"/>
          <w:lang w:val="en-US"/>
        </w:rPr>
      </w:pPr>
      <w:r>
        <w:rPr>
          <w:sz w:val="20"/>
          <w:szCs w:val="21"/>
          <w:lang w:val="en-US"/>
        </w:rPr>
      </w:r>
    </w:p>
    <w:tbl>
      <w:tblPr>
        <w:tblStyle w:val="a7"/>
        <w:tblW w:w="9571" w:type="dxa"/>
        <w:jc w:val="left"/>
        <w:tblInd w:w="0" w:type="dxa"/>
        <w:tblCellMar>
          <w:top w:w="0" w:type="dxa"/>
          <w:left w:w="118" w:type="dxa"/>
          <w:bottom w:w="0" w:type="dxa"/>
          <w:right w:w="108" w:type="dxa"/>
        </w:tblCellMar>
        <w:tblLook w:lastRow="0" w:firstRow="1" w:lastColumn="0" w:firstColumn="1" w:val="04a0" w:noHBand="0" w:noVBand="1"/>
      </w:tblPr>
      <w:tblGrid>
        <w:gridCol w:w="4785"/>
        <w:gridCol w:w="4785"/>
      </w:tblGrid>
      <w:tr>
        <w:trPr/>
        <w:tc>
          <w:tcPr>
            <w:tcW w:w="4785" w:type="dxa"/>
            <w:tcBorders>
              <w:top w:val="nil"/>
              <w:left w:val="nil"/>
              <w:bottom w:val="nil"/>
              <w:right w:val="nil"/>
              <w:insideH w:val="nil"/>
              <w:insideV w:val="nil"/>
            </w:tcBorders>
            <w:shd w:fill="auto" w:val="clear"/>
          </w:tcPr>
          <w:p>
            <w:pPr>
              <w:pStyle w:val="Normal"/>
              <w:spacing w:lineRule="auto" w:line="240" w:before="0" w:after="0"/>
              <w:rPr>
                <w:sz w:val="21"/>
                <w:szCs w:val="21"/>
              </w:rPr>
            </w:pPr>
            <w:r>
              <w:rPr>
                <w:rFonts w:ascii="Times New Roman" w:hAnsi="Times New Roman"/>
                <w:sz w:val="21"/>
                <w:szCs w:val="21"/>
                <w:highlight w:val="yellow"/>
                <w:lang w:val="en-US"/>
              </w:rPr>
              <w:t>{issue.bg_property[city]}</w:t>
            </w:r>
          </w:p>
        </w:tc>
        <w:tc>
          <w:tcPr>
            <w:tcW w:w="4785" w:type="dxa"/>
            <w:tcBorders>
              <w:top w:val="nil"/>
              <w:left w:val="nil"/>
              <w:bottom w:val="nil"/>
              <w:right w:val="nil"/>
              <w:insideH w:val="nil"/>
              <w:insideV w:val="nil"/>
            </w:tcBorders>
            <w:shd w:fill="auto" w:val="clear"/>
          </w:tcPr>
          <w:p>
            <w:pPr>
              <w:pStyle w:val="Normal"/>
              <w:spacing w:lineRule="auto" w:line="240" w:before="0" w:after="0"/>
              <w:jc w:val="right"/>
              <w:rPr/>
            </w:pPr>
            <w:r>
              <w:rPr>
                <w:rFonts w:ascii="Times New Roman" w:hAnsi="Times New Roman"/>
                <w:sz w:val="21"/>
                <w:szCs w:val="21"/>
                <w:highlight w:val="yellow"/>
                <w:lang w:val="en-US"/>
              </w:rPr>
              <w:t xml:space="preserve">{issue.humanized_created_at_with_month_as_word} </w:t>
            </w:r>
            <w:r>
              <w:rPr>
                <w:rFonts w:ascii="Times New Roman" w:hAnsi="Times New Roman"/>
                <w:sz w:val="21"/>
                <w:szCs w:val="21"/>
                <w:highlight w:val="yellow"/>
                <w:lang w:val="en-US"/>
              </w:rPr>
              <w:t>г.</w:t>
            </w:r>
          </w:p>
        </w:tc>
      </w:tr>
    </w:tbl>
    <w:p>
      <w:pPr>
        <w:pStyle w:val="ListParagraph"/>
        <w:numPr>
          <w:ilvl w:val="0"/>
          <w:numId w:val="1"/>
        </w:numPr>
        <w:spacing w:lineRule="exact" w:line="240" w:before="0" w:after="0"/>
        <w:ind w:left="0" w:firstLine="426"/>
        <w:contextualSpacing/>
        <w:jc w:val="both"/>
        <w:rPr/>
      </w:pPr>
      <w:r>
        <w:rPr>
          <w:rFonts w:ascii="Times New Roman" w:hAnsi="Times New Roman"/>
          <w:b/>
          <w:sz w:val="21"/>
          <w:szCs w:val="21"/>
        </w:rPr>
        <w:t>ПАО «БАНК СГБ»,</w:t>
      </w:r>
      <w:r>
        <w:rPr>
          <w:rFonts w:ascii="Times New Roman" w:hAnsi="Times New Roman"/>
          <w:sz w:val="21"/>
          <w:szCs w:val="21"/>
        </w:rPr>
        <w:t xml:space="preserve"> генеральная лицензия Банка России № 2816 от 13 января 2017 года, в лице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 {</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r>
        <w:rPr>
          <w:rFonts w:ascii="Times New Roman" w:hAnsi="Times New Roman"/>
          <w:sz w:val="21"/>
          <w:szCs w:val="21"/>
        </w:rPr>
        <w:t xml:space="preserve">, действующего на основании доверенности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power</w:t>
      </w:r>
      <w:r>
        <w:rPr>
          <w:rFonts w:ascii="Times New Roman" w:hAnsi="Times New Roman"/>
          <w:sz w:val="21"/>
          <w:szCs w:val="21"/>
          <w:highlight w:val="yellow"/>
        </w:rPr>
        <w:t>_</w:t>
      </w:r>
      <w:r>
        <w:rPr>
          <w:rFonts w:ascii="Times New Roman" w:hAnsi="Times New Roman"/>
          <w:sz w:val="21"/>
          <w:szCs w:val="21"/>
          <w:highlight w:val="yellow"/>
          <w:lang w:val="en-US"/>
        </w:rPr>
        <w:t>of</w:t>
      </w:r>
      <w:r>
        <w:rPr>
          <w:rFonts w:ascii="Times New Roman" w:hAnsi="Times New Roman"/>
          <w:sz w:val="21"/>
          <w:szCs w:val="21"/>
          <w:highlight w:val="yellow"/>
        </w:rPr>
        <w:t>_</w:t>
      </w:r>
      <w:r>
        <w:rPr>
          <w:rFonts w:ascii="Times New Roman" w:hAnsi="Times New Roman"/>
          <w:sz w:val="21"/>
          <w:szCs w:val="21"/>
          <w:highlight w:val="yellow"/>
          <w:lang w:val="en-US"/>
        </w:rPr>
        <w:t>attorney</w:t>
      </w:r>
      <w:r>
        <w:rPr>
          <w:rFonts w:ascii="Times New Roman" w:hAnsi="Times New Roman"/>
          <w:sz w:val="21"/>
          <w:szCs w:val="21"/>
          <w:highlight w:val="yellow"/>
        </w:rPr>
        <w:t>]}</w:t>
      </w:r>
      <w:r>
        <w:rPr>
          <w:rFonts w:ascii="Times New Roman" w:hAnsi="Times New Roman"/>
          <w:sz w:val="21"/>
          <w:szCs w:val="21"/>
        </w:rPr>
        <w:t xml:space="preserve">, далее именуемый </w:t>
      </w:r>
      <w:r>
        <w:rPr>
          <w:rFonts w:ascii="Times New Roman" w:hAnsi="Times New Roman"/>
          <w:b/>
          <w:sz w:val="21"/>
          <w:szCs w:val="21"/>
        </w:rPr>
        <w:t>«Гарант»</w:t>
      </w:r>
      <w:r>
        <w:rPr>
          <w:rFonts w:ascii="Times New Roman" w:hAnsi="Times New Roman"/>
          <w:sz w:val="21"/>
          <w:szCs w:val="21"/>
        </w:rPr>
        <w:t xml:space="preserve">, настоящим гарантирует надлежащее исполнение </w:t>
      </w:r>
      <w:r>
        <w:rPr>
          <w:rFonts w:ascii="Times New Roman" w:hAnsi="Times New Roman"/>
          <w:b/>
          <w:sz w:val="21"/>
          <w:szCs w:val="21"/>
          <w:highlight w:val="yellow"/>
        </w:rPr>
        <w:t>{</w:t>
      </w:r>
      <w:r>
        <w:rPr>
          <w:rFonts w:ascii="Times New Roman" w:hAnsi="Times New Roman"/>
          <w:b/>
          <w:sz w:val="21"/>
          <w:szCs w:val="21"/>
          <w:highlight w:val="yellow"/>
          <w:lang w:val="en-US"/>
        </w:rPr>
        <w:t>issue.bg_property[issuer_full_name_tp]</w:t>
      </w:r>
      <w:r>
        <w:rPr>
          <w:rFonts w:ascii="Times New Roman" w:hAnsi="Times New Roman"/>
          <w:b/>
          <w:sz w:val="21"/>
          <w:szCs w:val="21"/>
          <w:highlight w:val="yellow"/>
        </w:rPr>
        <w:t>}</w:t>
      </w:r>
      <w:r>
        <w:rPr>
          <w:rFonts w:ascii="Times New Roman" w:hAnsi="Times New Roman"/>
          <w:sz w:val="21"/>
          <w:szCs w:val="21"/>
          <w:highlight w:val="yellow"/>
        </w:rPr>
        <w:t>,</w:t>
      </w:r>
      <w:r>
        <w:rPr>
          <w:rFonts w:ascii="Times New Roman" w:hAnsi="Times New Roman"/>
          <w:sz w:val="21"/>
          <w:szCs w:val="21"/>
        </w:rPr>
        <w:t xml:space="preserve"> ИНН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r>
        <w:rPr>
          <w:rFonts w:ascii="Times New Roman" w:hAnsi="Times New Roman"/>
          <w:sz w:val="21"/>
          <w:szCs w:val="21"/>
        </w:rPr>
        <w:t xml:space="preserve">, в дальнейшем именуемый </w:t>
      </w:r>
      <w:r>
        <w:rPr>
          <w:rFonts w:ascii="Times New Roman" w:hAnsi="Times New Roman"/>
          <w:b/>
          <w:sz w:val="21"/>
          <w:szCs w:val="21"/>
        </w:rPr>
        <w:t>«Принципал»</w:t>
      </w:r>
      <w:r>
        <w:rPr>
          <w:rFonts w:ascii="Times New Roman" w:hAnsi="Times New Roman"/>
          <w:sz w:val="21"/>
          <w:szCs w:val="21"/>
        </w:rPr>
        <w:t xml:space="preserve">, обязательств по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contract</w:t>
      </w:r>
      <w:r>
        <w:rPr>
          <w:rFonts w:ascii="Times New Roman" w:hAnsi="Times New Roman"/>
          <w:sz w:val="21"/>
          <w:szCs w:val="21"/>
          <w:highlight w:val="yellow"/>
        </w:rPr>
        <w:t>_</w:t>
      </w:r>
      <w:r>
        <w:rPr>
          <w:rFonts w:ascii="Times New Roman" w:hAnsi="Times New Roman"/>
          <w:sz w:val="21"/>
          <w:szCs w:val="21"/>
          <w:highlight w:val="yellow"/>
          <w:lang w:val="en-US"/>
        </w:rPr>
        <w:t>subject</w:t>
      </w:r>
      <w:r>
        <w:rPr>
          <w:rFonts w:ascii="Times New Roman" w:hAnsi="Times New Roman"/>
          <w:sz w:val="21"/>
          <w:szCs w:val="21"/>
          <w:highlight w:val="yellow"/>
        </w:rPr>
        <w:t>}</w:t>
      </w:r>
      <w:r>
        <w:rPr>
          <w:rFonts w:ascii="Times New Roman" w:hAnsi="Times New Roman"/>
          <w:sz w:val="21"/>
          <w:szCs w:val="21"/>
        </w:rPr>
        <w:t xml:space="preserve">, предусмотренных </w:t>
      </w:r>
      <w:r>
        <w:rPr>
          <w:rFonts w:ascii="Times New Roman" w:hAnsi="Times New Roman"/>
          <w:sz w:val="21"/>
          <w:szCs w:val="21"/>
          <w:highlight w:val="yellow"/>
        </w:rPr>
        <w:t>государственным контрактом</w:t>
      </w:r>
      <w:r>
        <w:rPr>
          <w:rFonts w:ascii="Times New Roman" w:hAnsi="Times New Roman"/>
          <w:sz w:val="21"/>
          <w:szCs w:val="21"/>
        </w:rPr>
        <w:t xml:space="preserve"> (далее – Контракт), заключаемым по итогам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tender_placement_type_rp</w:t>
      </w:r>
      <w:r>
        <w:rPr>
          <w:rFonts w:ascii="Times New Roman" w:hAnsi="Times New Roman"/>
          <w:sz w:val="21"/>
          <w:szCs w:val="21"/>
          <w:highlight w:val="yellow"/>
        </w:rPr>
        <w:t>]}</w:t>
      </w:r>
      <w:r>
        <w:rPr>
          <w:rFonts w:ascii="Times New Roman" w:hAnsi="Times New Roman"/>
          <w:sz w:val="21"/>
          <w:szCs w:val="21"/>
        </w:rPr>
        <w:t xml:space="preserve">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gos</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r>
        <w:rPr>
          <w:rFonts w:ascii="Times New Roman" w:hAnsi="Times New Roman"/>
          <w:sz w:val="21"/>
          <w:szCs w:val="21"/>
        </w:rPr>
        <w:t xml:space="preserve">, между Принципалом и </w:t>
      </w:r>
      <w:r>
        <w:rPr>
          <w:rFonts w:eastAsia="Times New Roman" w:cs="Times New Roman" w:ascii="Times New Roman" w:hAnsi="Times New Roman"/>
          <w:b/>
          <w:color w:val="000000"/>
          <w:sz w:val="21"/>
          <w:szCs w:val="21"/>
          <w:highlight w:val="yellow"/>
          <w:lang w:eastAsia="ru-RU"/>
        </w:rPr>
        <w:t>{</w:t>
      </w:r>
      <w:r>
        <w:rPr>
          <w:rFonts w:eastAsia="Times New Roman" w:cs="Times New Roman" w:ascii="Times New Roman" w:hAnsi="Times New Roman"/>
          <w:b/>
          <w:color w:val="000000"/>
          <w:sz w:val="21"/>
          <w:szCs w:val="21"/>
          <w:highlight w:val="yellow"/>
          <w:lang w:val="en-US" w:eastAsia="ru-RU"/>
        </w:rPr>
        <w:t>issue.bg_property[tender_responsible_full_name_tp]</w:t>
      </w:r>
      <w:r>
        <w:rPr>
          <w:rFonts w:eastAsia="Times New Roman" w:cs="Times New Roman" w:ascii="Times New Roman" w:hAnsi="Times New Roman"/>
          <w:b/>
          <w:color w:val="000000"/>
          <w:sz w:val="21"/>
          <w:szCs w:val="21"/>
          <w:highlight w:val="yellow"/>
          <w:lang w:eastAsia="ru-RU"/>
        </w:rPr>
        <w:t>}</w:t>
      </w:r>
      <w:r>
        <w:rPr>
          <w:rFonts w:ascii="Times New Roman" w:hAnsi="Times New Roman"/>
          <w:b/>
          <w:sz w:val="21"/>
          <w:szCs w:val="21"/>
          <w:highlight w:val="yellow"/>
        </w:rPr>
        <w:t>,</w:t>
      </w:r>
      <w:r>
        <w:rPr>
          <w:rFonts w:ascii="Times New Roman" w:hAnsi="Times New Roman"/>
          <w:b/>
          <w:sz w:val="21"/>
          <w:szCs w:val="21"/>
        </w:rPr>
        <w:t xml:space="preserve"> </w:t>
      </w:r>
      <w:r>
        <w:rPr>
          <w:rFonts w:ascii="Times New Roman" w:hAnsi="Times New Roman"/>
          <w:sz w:val="21"/>
          <w:szCs w:val="21"/>
        </w:rPr>
        <w:t xml:space="preserve">юридический адрес: </w:t>
      </w:r>
      <w:bookmarkStart w:id="1" w:name="_Hlk5053529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legal</w:t>
      </w:r>
      <w:r>
        <w:rPr>
          <w:rFonts w:ascii="Times New Roman" w:hAnsi="Times New Roman"/>
          <w:sz w:val="21"/>
          <w:szCs w:val="21"/>
          <w:highlight w:val="yellow"/>
        </w:rPr>
        <w:t>_</w:t>
      </w:r>
      <w:r>
        <w:rPr>
          <w:rFonts w:ascii="Times New Roman" w:hAnsi="Times New Roman"/>
          <w:sz w:val="21"/>
          <w:szCs w:val="21"/>
          <w:highlight w:val="yellow"/>
          <w:lang w:val="en-US"/>
        </w:rPr>
        <w:t>address</w:t>
      </w:r>
      <w:r>
        <w:rPr>
          <w:rFonts w:ascii="Times New Roman" w:hAnsi="Times New Roman"/>
          <w:sz w:val="21"/>
          <w:szCs w:val="21"/>
          <w:highlight w:val="yellow"/>
        </w:rPr>
        <w:t>}</w:t>
      </w:r>
      <w:bookmarkEnd w:id="1"/>
      <w:r>
        <w:rPr>
          <w:rFonts w:ascii="Times New Roman" w:hAnsi="Times New Roman"/>
          <w:sz w:val="21"/>
          <w:szCs w:val="21"/>
          <w:highlight w:val="yellow"/>
        </w:rPr>
        <w:t>,</w:t>
      </w:r>
      <w:r>
        <w:rPr>
          <w:rFonts w:ascii="Times New Roman" w:hAnsi="Times New Roman"/>
          <w:sz w:val="21"/>
          <w:szCs w:val="21"/>
        </w:rPr>
        <w:t xml:space="preserve"> ИНН </w:t>
      </w:r>
      <w:bookmarkStart w:id="2" w:name="_Hlk505352989"/>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bookmarkEnd w:id="2"/>
      <w:r>
        <w:rPr>
          <w:rFonts w:ascii="Times New Roman" w:hAnsi="Times New Roman"/>
          <w:sz w:val="21"/>
          <w:szCs w:val="21"/>
        </w:rPr>
        <w:t>, именуемый в дальнейшем</w:t>
      </w:r>
      <w:r>
        <w:rPr>
          <w:rFonts w:ascii="Times New Roman" w:hAnsi="Times New Roman"/>
          <w:b/>
          <w:sz w:val="21"/>
          <w:szCs w:val="21"/>
        </w:rPr>
        <w:t xml:space="preserve"> «Бенефициар»</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bookmarkStart w:id="3" w:name="_Hlk505353001"/>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bookmarkEnd w:id="3"/>
      <w:r>
        <w:rPr>
          <w:rFonts w:ascii="Times New Roman" w:hAnsi="Times New Roman"/>
          <w:sz w:val="21"/>
          <w:szCs w:val="21"/>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Гарантия обеспечивает надлежащее исполнение Принципалом обязательств, в обеспечение которых выдана Гарантия,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требованию  (решение об избрании, приказ о назначении, доверенность);</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документа,</w:t>
      </w:r>
      <w:r>
        <w:rPr>
          <w:rFonts w:eastAsia="Calibri" w:cs="Times New Roman"/>
          <w:bCs/>
          <w:sz w:val="21"/>
          <w:szCs w:val="21"/>
        </w:rPr>
        <w:t xml:space="preserve"> </w:t>
      </w:r>
      <w:r>
        <w:rPr>
          <w:rFonts w:ascii="Times New Roman" w:hAnsi="Times New Roman"/>
          <w:bCs/>
          <w:sz w:val="21"/>
          <w:szCs w:val="21"/>
        </w:rPr>
        <w:t xml:space="preserve">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Любой платеж в пользу Бенефициара, произведенный Гарантом по Гарантии, соответственно уменьшает сумму, на которую выдана Гаранти, и которая указана в п.2.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Гарантия вступает в силу с даты её выдачи и действует до</w:t>
      </w:r>
      <w:bookmarkStart w:id="4" w:name="_Hlk505353023"/>
      <w:r>
        <w:rPr>
          <w:rFonts w:ascii="Times New Roman" w:hAnsi="Times New Roman"/>
          <w:sz w:val="21"/>
          <w:szCs w:val="21"/>
        </w:rPr>
        <w:t xml:space="preserve"> </w:t>
      </w:r>
      <w:bookmarkEnd w:id="4"/>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r>
        <w:rPr>
          <w:rFonts w:ascii="Times New Roman" w:hAnsi="Times New Roman"/>
          <w:sz w:val="21"/>
          <w:szCs w:val="21"/>
        </w:rPr>
        <w:t xml:space="preserve">  года включительно.</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bookmarkStart w:id="5" w:name="_Hlk505353035"/>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indisputable</w:t>
      </w:r>
      <w:r>
        <w:rPr>
          <w:rFonts w:ascii="Times New Roman" w:hAnsi="Times New Roman"/>
          <w:sz w:val="21"/>
          <w:szCs w:val="21"/>
          <w:highlight w:val="yellow"/>
        </w:rPr>
        <w:t>]}</w:t>
      </w:r>
      <w:bookmarkEnd w:id="5"/>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Обязательство Гаранта перед Бенефициаром по Гарантии прекращается: </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Уплатой Бенефициару суммы, на которую выдана Гарантия;</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Окончанием определенного в Гарантии срока, на который она выдана;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Вследствие отказа Бенефициара от своих прав по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По соглашению Гаранта с Бенефициаром о прекращении этого обязательства.</w:t>
      </w:r>
    </w:p>
    <w:p>
      <w:pPr>
        <w:pStyle w:val="ListParagraph"/>
        <w:widowControl w:val="false"/>
        <w:numPr>
          <w:ilvl w:val="0"/>
          <w:numId w:val="1"/>
        </w:numPr>
        <w:shd w:val="clear" w:color="auto" w:fill="FFFFFF"/>
        <w:tabs>
          <w:tab w:val="left" w:pos="567" w:leader="none"/>
        </w:tabs>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ListParagraph"/>
        <w:numPr>
          <w:ilvl w:val="0"/>
          <w:numId w:val="1"/>
        </w:numPr>
        <w:tabs>
          <w:tab w:val="left" w:pos="354" w:leader="none"/>
          <w:tab w:val="left" w:pos="708" w:leader="none"/>
        </w:tabs>
        <w:spacing w:lineRule="exact" w:line="240" w:before="0" w:after="0"/>
        <w:ind w:left="0" w:firstLine="426"/>
        <w:contextualSpacing/>
        <w:jc w:val="both"/>
        <w:rPr>
          <w:rFonts w:ascii="Times New Roman" w:hAnsi="Times New Roman"/>
          <w:b/>
          <w:b/>
          <w:bCs/>
          <w:sz w:val="21"/>
          <w:szCs w:val="21"/>
        </w:rPr>
      </w:pPr>
      <w:r>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6" w:name="_Hlk505353050"/>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arbitration</w:t>
      </w:r>
      <w:r>
        <w:rPr>
          <w:rFonts w:ascii="Times New Roman" w:hAnsi="Times New Roman"/>
          <w:sz w:val="21"/>
          <w:szCs w:val="21"/>
          <w:highlight w:val="yellow"/>
        </w:rPr>
        <w:t>]}</w:t>
      </w:r>
      <w:bookmarkEnd w:id="6"/>
      <w:r>
        <w:rPr>
          <w:rFonts w:ascii="Times New Roman" w:hAnsi="Times New Roman"/>
          <w:sz w:val="21"/>
          <w:szCs w:val="21"/>
        </w:rPr>
        <w:t>.</w:t>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t>ПАО «БАНК СГБ»</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Место нахождения: г. Вологда, ул. Благовещенская, д. 3</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 xml:space="preserve">К/с 30101810800000000786 в Отделении Вологда, </w:t>
      </w:r>
    </w:p>
    <w:p>
      <w:pPr>
        <w:pStyle w:val="Normal"/>
        <w:tabs>
          <w:tab w:val="left" w:pos="354" w:leader="none"/>
          <w:tab w:val="left" w:pos="708" w:leader="none"/>
        </w:tabs>
        <w:spacing w:lineRule="exact" w:line="240" w:before="0" w:after="0"/>
        <w:jc w:val="both"/>
        <w:rPr>
          <w:rFonts w:ascii="Times New Roman" w:hAnsi="Times New Roman"/>
          <w:sz w:val="21"/>
          <w:szCs w:val="21"/>
          <w:lang w:val="en-US"/>
        </w:rPr>
      </w:pPr>
      <w:r>
        <w:rPr>
          <w:rFonts w:ascii="Times New Roman" w:hAnsi="Times New Roman"/>
          <w:sz w:val="21"/>
          <w:szCs w:val="21"/>
        </w:rPr>
        <w:t>БИК</w:t>
      </w:r>
      <w:r>
        <w:rPr>
          <w:rFonts w:ascii="Times New Roman" w:hAnsi="Times New Roman"/>
          <w:sz w:val="21"/>
          <w:szCs w:val="21"/>
          <w:lang w:val="en-US"/>
        </w:rPr>
        <w:t xml:space="preserve"> 041909786, </w:t>
      </w:r>
      <w:r>
        <w:rPr>
          <w:rFonts w:ascii="Times New Roman" w:hAnsi="Times New Roman"/>
          <w:sz w:val="21"/>
          <w:szCs w:val="21"/>
        </w:rPr>
        <w:t>ИНН</w:t>
      </w:r>
      <w:r>
        <w:rPr>
          <w:rFonts w:ascii="Times New Roman" w:hAnsi="Times New Roman"/>
          <w:sz w:val="21"/>
          <w:szCs w:val="21"/>
          <w:lang w:val="en-US"/>
        </w:rPr>
        <w:t xml:space="preserve"> 3525023780</w:t>
      </w:r>
    </w:p>
    <w:p>
      <w:pPr>
        <w:pStyle w:val="Normal"/>
        <w:tabs>
          <w:tab w:val="left" w:pos="354" w:leader="none"/>
          <w:tab w:val="left" w:pos="708" w:leader="none"/>
        </w:tabs>
        <w:spacing w:lineRule="exact" w:line="240" w:before="0" w:after="0"/>
        <w:rPr>
          <w:rFonts w:ascii="Times New Roman" w:hAnsi="Times New Roman"/>
          <w:sz w:val="21"/>
          <w:szCs w:val="21"/>
          <w:highlight w:val="yellow"/>
          <w:lang w:val="en-US"/>
        </w:rPr>
      </w:pPr>
      <w:r>
        <w:rPr>
          <w:rFonts w:ascii="Times New Roman" w:hAnsi="Times New Roman"/>
          <w:sz w:val="21"/>
          <w:szCs w:val="21"/>
          <w:highlight w:val="yellow"/>
          <w:lang w:val="en-US"/>
        </w:rPr>
        <w:t>{issue.bg_property[requisites]}</w:t>
      </w:r>
    </w:p>
    <w:p>
      <w:pPr>
        <w:pStyle w:val="Normal"/>
        <w:tabs>
          <w:tab w:val="left" w:pos="354" w:leader="none"/>
          <w:tab w:val="left" w:pos="708" w:leader="none"/>
        </w:tabs>
        <w:spacing w:lineRule="auto" w:line="240" w:before="0" w:after="0"/>
        <w:rPr>
          <w:rFonts w:ascii="Times New Roman" w:hAnsi="Times New Roman"/>
          <w:sz w:val="21"/>
          <w:szCs w:val="21"/>
          <w:highlight w:val="yellow"/>
          <w:lang w:val="en-US"/>
        </w:rPr>
      </w:pPr>
      <w:r>
        <w:rPr>
          <w:rFonts w:ascii="Times New Roman" w:hAnsi="Times New Roman"/>
          <w:sz w:val="21"/>
          <w:szCs w:val="21"/>
          <w:highlight w:val="yellow"/>
          <w:lang w:val="en-US"/>
        </w:rPr>
      </w:r>
    </w:p>
    <w:p>
      <w:pPr>
        <w:pStyle w:val="Normal"/>
        <w:spacing w:lineRule="auto" w:line="240"/>
        <w:rPr>
          <w:rFonts w:ascii="Times New Roman" w:hAnsi="Times New Roman"/>
          <w:sz w:val="21"/>
          <w:szCs w:val="21"/>
          <w:lang w:val="en-US"/>
        </w:rPr>
      </w:pPr>
      <w:r>
        <w:rPr>
          <w:rFonts w:ascii="Times New Roman" w:hAnsi="Times New Roman"/>
          <w:sz w:val="21"/>
          <w:szCs w:val="21"/>
          <w:highlight w:val="yellow"/>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t xml:space="preserve">_________________________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мп</w:t>
      </w:r>
    </w:p>
    <w:p>
      <w:pPr>
        <w:pStyle w:val="Normal"/>
        <w:spacing w:lineRule="auto" w:line="240" w:before="0" w:after="200"/>
        <w:rPr/>
      </w:pPr>
      <w:r>
        <w:rPr/>
      </w:r>
    </w:p>
    <w:sectPr>
      <w:type w:val="nextPage"/>
      <w:pgSz w:w="11906" w:h="16838"/>
      <w:pgMar w:left="1701" w:right="850" w:header="0" w:top="85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1"/>
        <w:b/>
        <w:rFonts w:ascii="Times New Roman" w:hAnsi="Times New Roman"/>
      </w:rPr>
    </w:lvl>
    <w:lvl w:ilvl="1">
      <w:start w:val="1"/>
      <w:numFmt w:val="decimal"/>
      <w:lvlText w:val="%1.%2."/>
      <w:lvlJc w:val="left"/>
      <w:pPr>
        <w:ind w:left="792" w:hanging="432"/>
      </w:pPr>
      <w:rPr>
        <w:sz w:val="21"/>
        <w:b w:val="false"/>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iYcv1b0eSJn9T5rONQlfqEGH5jq+dDWYX8s0Vfm4Tmp+ndKic8p/quJ3heVsYHMcT+iO6SlJfSwa40gxgku8hQ==" w:salt="SAIZM48hrxyBuiPzNK6aiw=="/>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5a29"/>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6d2313"/>
    <w:rPr>
      <w:rFonts w:ascii="Tahoma" w:hAnsi="Tahoma" w:cs="Tahoma"/>
      <w:sz w:val="16"/>
      <w:szCs w:val="16"/>
    </w:rPr>
  </w:style>
  <w:style w:type="character" w:styleId="Style15" w:customStyle="1">
    <w:name w:val="Подзаголовок Знак"/>
    <w:basedOn w:val="DefaultParagraphFont"/>
    <w:link w:val="a5"/>
    <w:qFormat/>
    <w:rsid w:val="006d2313"/>
    <w:rPr>
      <w:rFonts w:ascii="Times New Roman" w:hAnsi="Times New Roman" w:eastAsia="Times New Roman" w:cs="Times New Roman"/>
      <w:sz w:val="20"/>
      <w:szCs w:val="20"/>
      <w:shd w:fill="E5E5E5" w:val="clear"/>
      <w:lang w:eastAsia="ru-RU"/>
    </w:rPr>
  </w:style>
  <w:style w:type="character" w:styleId="ListLabel1">
    <w:name w:val="ListLabel 1"/>
    <w:qFormat/>
    <w:rPr>
      <w:rFonts w:ascii="Times New Roman" w:hAnsi="Times New Roman"/>
      <w:b/>
      <w:sz w:val="21"/>
    </w:rPr>
  </w:style>
  <w:style w:type="character" w:styleId="ListLabel2">
    <w:name w:val="ListLabel 2"/>
    <w:qFormat/>
    <w:rPr>
      <w:rFonts w:ascii="Times New Roman" w:hAnsi="Times New Roman"/>
      <w:b w:val="false"/>
      <w:sz w:val="21"/>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rFonts w:ascii="Times New Roman" w:hAnsi="Times New Roman"/>
      <w:b/>
      <w:sz w:val="21"/>
    </w:rPr>
  </w:style>
  <w:style w:type="character" w:styleId="ListLabel6">
    <w:name w:val="ListLabel 6"/>
    <w:qFormat/>
    <w:rPr>
      <w:rFonts w:ascii="Times New Roman" w:hAnsi="Times New Roman"/>
      <w:b w:val="false"/>
      <w:sz w:val="21"/>
    </w:rPr>
  </w:style>
  <w:style w:type="character" w:styleId="ListLabel7">
    <w:name w:val="ListLabel 7"/>
    <w:qFormat/>
    <w:rPr>
      <w:rFonts w:ascii="Times New Roman" w:hAnsi="Times New Roman"/>
      <w:b/>
      <w:sz w:val="21"/>
    </w:rPr>
  </w:style>
  <w:style w:type="character" w:styleId="ListLabel8">
    <w:name w:val="ListLabel 8"/>
    <w:qFormat/>
    <w:rPr>
      <w:rFonts w:ascii="Times New Roman" w:hAnsi="Times New Roman"/>
      <w:b w:val="false"/>
      <w:sz w:val="21"/>
    </w:rPr>
  </w:style>
  <w:style w:type="paragraph" w:styleId="Style16">
    <w:name w:val="Заголовок"/>
    <w:basedOn w:val="Normal"/>
    <w:next w:val="Style17"/>
    <w:qFormat/>
    <w:pPr>
      <w:keepNext w:val="true"/>
      <w:spacing w:before="240" w:after="120"/>
    </w:pPr>
    <w:rPr>
      <w:rFonts w:ascii="Liberation Sans" w:hAnsi="Liberation Sans" w:eastAsia="SimSun"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BalloonText">
    <w:name w:val="Balloon Text"/>
    <w:basedOn w:val="Normal"/>
    <w:link w:val="a4"/>
    <w:uiPriority w:val="99"/>
    <w:semiHidden/>
    <w:unhideWhenUsed/>
    <w:qFormat/>
    <w:rsid w:val="006d2313"/>
    <w:pPr>
      <w:spacing w:lineRule="auto" w:line="240" w:before="0" w:after="0"/>
    </w:pPr>
    <w:rPr>
      <w:rFonts w:ascii="Tahoma" w:hAnsi="Tahoma" w:cs="Tahoma"/>
      <w:sz w:val="16"/>
      <w:szCs w:val="16"/>
    </w:rPr>
  </w:style>
  <w:style w:type="paragraph" w:styleId="Style21">
    <w:name w:val="Subtitle"/>
    <w:basedOn w:val="Normal"/>
    <w:link w:val="a6"/>
    <w:qFormat/>
    <w:rsid w:val="006d2313"/>
    <w:pPr>
      <w:shd w:val="pct10" w:color="000000" w:fill="FFFFFF"/>
      <w:spacing w:lineRule="auto" w:line="240" w:before="0" w:after="0"/>
      <w:jc w:val="center"/>
    </w:pPr>
    <w:rPr>
      <w:rFonts w:ascii="Times New Roman" w:hAnsi="Times New Roman" w:eastAsia="Times New Roman" w:cs="Times New Roman"/>
      <w:b/>
      <w:sz w:val="20"/>
      <w:szCs w:val="20"/>
      <w:lang w:eastAsia="ru-RU"/>
    </w:rPr>
  </w:style>
  <w:style w:type="paragraph" w:styleId="ListParagraph">
    <w:name w:val="List Paragraph"/>
    <w:basedOn w:val="Normal"/>
    <w:uiPriority w:val="34"/>
    <w:qFormat/>
    <w:rsid w:val="001b0b51"/>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rsid w:val="006d23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850EC1-74D3-487F-A0E8-69316216E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Application>LibreOffice/6.0.1.1$Linux_X86_64 LibreOffice_project/00m0$Build-1</Application>
  <Pages>2</Pages>
  <Words>629</Words>
  <Characters>4902</Characters>
  <CharactersWithSpaces>5483</CharactersWithSpaces>
  <Paragraphs>36</Paragraphs>
  <Company>SGB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2017-02-13T12:09:00Z</dcterms:created>
  <dc:creator>rodionovmv</dc:creator>
  <dc:description/>
  <dc:language>ru-RU</dc:language>
  <cp:lastModifiedBy>Владислав Сергеевич Зиминов</cp:lastModifiedBy>
  <dcterms:modified xsi:type="dcterms:W3CDTF">2018-02-27T12:12:23Z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SGB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