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1905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0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sz w:val="21"/>
                <w:szCs w:val="21"/>
              </w:rPr>
            </w:pPr>
            <w:r>
              <w:rPr>
                <w:rFonts w:ascii="Times New Roman" w:hAnsi="Times New Roman"/>
                <w:sz w:val="21"/>
                <w:szCs w:val="21"/>
                <w:highlight w:val="yellow"/>
                <w:lang w:val="en-US"/>
              </w:rPr>
              <w:t>{issue.humanized_created_at}</w:t>
            </w:r>
          </w:p>
        </w:tc>
      </w:tr>
    </w:tbl>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надлежащее исполнение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w:t>
      </w:r>
      <w:r>
        <w:rPr>
          <w:rFonts w:ascii="Times New Roman" w:hAnsi="Times New Roman"/>
          <w:b/>
          <w:sz w:val="21"/>
          <w:szCs w:val="21"/>
          <w:highlight w:val="yellow"/>
        </w:rPr>
        <w:t>}</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предусмотренных </w:t>
      </w:r>
      <w:r>
        <w:rPr>
          <w:rFonts w:ascii="Times New Roman" w:hAnsi="Times New Roman"/>
          <w:sz w:val="21"/>
          <w:szCs w:val="21"/>
          <w:highlight w:val="yellow"/>
        </w:rPr>
        <w:t>государственным контрактом</w:t>
      </w:r>
      <w:r>
        <w:rPr>
          <w:rFonts w:ascii="Times New Roman" w:hAnsi="Times New Roman"/>
          <w:sz w:val="21"/>
          <w:szCs w:val="21"/>
        </w:rPr>
        <w:t xml:space="preserve"> (далее – Контракт), заключаемым по итогам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type</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между Принципалом и </w:t>
      </w:r>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tender</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responsible</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full</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name</w:t>
      </w:r>
      <w:r>
        <w:rPr>
          <w:rFonts w:eastAsia="Times New Roman" w:cs="Times New Roman" w:ascii="Times New Roman" w:hAnsi="Times New Roman"/>
          <w:b/>
          <w:color w:val="000000"/>
          <w:sz w:val="21"/>
          <w:szCs w:val="21"/>
          <w:highlight w:val="yellow"/>
          <w:lang w:eastAsia="ru-RU"/>
        </w:rPr>
        <w:t>}</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
      <w:r>
        <w:rPr>
          <w:rFonts w:ascii="Times New Roman" w:hAnsi="Times New Roman"/>
          <w:sz w:val="21"/>
          <w:szCs w:val="21"/>
          <w:highlight w:val="yellow"/>
        </w:rPr>
        <w:t>,</w:t>
      </w:r>
      <w:r>
        <w:rPr>
          <w:rFonts w:ascii="Times New Roman" w:hAnsi="Times New Roman"/>
          <w:sz w:val="21"/>
          <w:szCs w:val="21"/>
        </w:rPr>
        <w:t xml:space="preserve"> ИНН </w:t>
      </w:r>
      <w:bookmarkStart w:id="2"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2"/>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3"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3"/>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4" w:name="_Hlk505353023"/>
      <w:r>
        <w:rPr>
          <w:rFonts w:ascii="Times New Roman" w:hAnsi="Times New Roman"/>
          <w:sz w:val="21"/>
          <w:szCs w:val="21"/>
        </w:rPr>
        <w:t xml:space="preserve"> </w:t>
      </w:r>
      <w:bookmarkEnd w:id="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5" w:name="_Hlk505353035"/>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indisputable</w:t>
      </w:r>
      <w:r>
        <w:rPr>
          <w:rFonts w:ascii="Times New Roman" w:hAnsi="Times New Roman"/>
          <w:sz w:val="21"/>
          <w:szCs w:val="21"/>
          <w:highlight w:val="yellow"/>
        </w:rPr>
        <w:t>]}</w:t>
      </w:r>
      <w:bookmarkEnd w:id="5"/>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tabs>
          <w:tab w:val="left" w:pos="354" w:leader="none"/>
          <w:tab w:val="left" w:pos="708" w:leader="none"/>
        </w:tabs>
        <w:spacing w:lineRule="exact" w:line="240" w:before="0" w:after="0"/>
        <w:ind w:left="0" w:firstLine="426"/>
        <w:contextualSpacing/>
        <w:jc w:val="both"/>
        <w:rPr>
          <w:rFonts w:ascii="Times New Roman" w:hAnsi="Times New Roman"/>
          <w:b/>
          <w:b/>
          <w:bCs/>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6"/>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Ycv1b0eSJn9T5rONQlfqEGH5jq+dDWYX8s0Vfm4Tmp+ndKic8p/quJ3heVsYHMcT+iO6SlJfSwa40gxgku8hQ==" w:salt="SAIZM48hrxyBuiPzNK6aiw=="/>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50EC1-74D3-487F-A0E8-69316216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LibreOffice/6.0.1.1$Linux_X86_64 LibreOffice_project/00m0$Build-1</Application>
  <Pages>2</Pages>
  <Words>629</Words>
  <Characters>4834</Characters>
  <CharactersWithSpaces>5415</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2017-02-13T12:09:00Z</dcterms:created>
  <dc:creator>rodionovmv</dc:creator>
  <dc:description/>
  <dc:language>ru-RU</dc:language>
  <cp:lastModifiedBy>Владислав Сергеевич Зиминов</cp:lastModifiedBy>
  <dcterms:modified xsi:type="dcterms:W3CDTF">2018-02-26T18:44:16Z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