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0" w:name="_Hlk505353650"/>
      <w:r>
        <w:rPr>
          <w:sz w:val="21"/>
          <w:szCs w:val="21"/>
          <w:highlight w:val="yellow"/>
          <w:lang w:val="en-US"/>
        </w:rPr>
        <w:t>{issue.bg_property[bg_number]}</w:t>
      </w:r>
      <w:bookmarkEnd w:id="0"/>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23"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highlight w:val="yellow"/>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{issue.humanized_created_at_with_quotes_and_month_as_word} 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1"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1"/>
      <w:r>
        <w:rPr>
          <w:rFonts w:ascii="Times New Roman" w:hAnsi="Times New Roman"/>
          <w:sz w:val="21"/>
          <w:szCs w:val="21"/>
        </w:rPr>
        <w:t xml:space="preserve">, действующего на основании доверенности </w:t>
      </w:r>
      <w:bookmarkStart w:id="2"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2"/>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настоящим гарантирует надлежащее исполнение</w:t>
      </w:r>
      <w:r>
        <w:rPr>
          <w:rFonts w:ascii="Times New Roman" w:hAnsi="Times New Roman"/>
          <w:b/>
          <w:sz w:val="21"/>
          <w:szCs w:val="21"/>
        </w:rPr>
        <w:t xml:space="preserve">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bg_property[issuer_full_name_tp]</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bookmarkStart w:id="3" w:name="_Hlk505353748"/>
      <w:bookmarkStart w:id="4" w:name="_Hlk505353486"/>
      <w:r>
        <w:rPr>
          <w:rFonts w:ascii="Times New Roman" w:hAnsi="Times New Roman"/>
          <w:sz w:val="21"/>
          <w:szCs w:val="21"/>
          <w:highlight w:val="yellow"/>
        </w:rPr>
        <w:t>{issue.bg_property[</w:t>
      </w:r>
      <w:bookmarkStart w:id="5" w:name="__DdeLink__10967_583121279"/>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subject_dp</w:t>
      </w:r>
      <w:bookmarkEnd w:id="5"/>
      <w:r>
        <w:rPr>
          <w:rFonts w:ascii="Times New Roman" w:hAnsi="Times New Roman"/>
          <w:sz w:val="21"/>
          <w:szCs w:val="21"/>
          <w:highlight w:val="yellow"/>
          <w:lang w:val="en-US"/>
        </w:rPr>
        <w:t>]</w:t>
      </w:r>
      <w:r>
        <w:rPr>
          <w:rFonts w:ascii="Times New Roman" w:hAnsi="Times New Roman"/>
          <w:sz w:val="21"/>
          <w:szCs w:val="21"/>
          <w:highlight w:val="yellow"/>
        </w:rPr>
        <w:t>}</w:t>
      </w:r>
      <w:bookmarkEnd w:id="3"/>
      <w:bookmarkEnd w:id="4"/>
      <w:r>
        <w:rPr>
          <w:rFonts w:ascii="Times New Roman" w:hAnsi="Times New Roman"/>
          <w:sz w:val="21"/>
          <w:szCs w:val="21"/>
        </w:rPr>
        <w:t xml:space="preserve">, предусмотренных государственным контрактом (далее – Контракт), заключаемым по итогам </w:t>
      </w:r>
      <w:bookmarkStart w:id="6"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tender_placement_type_rp</w:t>
      </w:r>
      <w:r>
        <w:rPr>
          <w:rFonts w:ascii="Times New Roman" w:hAnsi="Times New Roman"/>
          <w:sz w:val="21"/>
          <w:szCs w:val="21"/>
          <w:highlight w:val="yellow"/>
        </w:rPr>
        <w:t>]}</w:t>
      </w:r>
      <w:bookmarkEnd w:id="6"/>
      <w:r>
        <w:rPr>
          <w:rFonts w:ascii="Times New Roman" w:hAnsi="Times New Roman"/>
          <w:sz w:val="21"/>
          <w:szCs w:val="21"/>
        </w:rPr>
        <w:t xml:space="preserve">, реестровый номер аукциона </w:t>
      </w:r>
      <w:bookmarkStart w:id="7" w:name="_Hlk505353480"/>
      <w:bookmarkStart w:id="8" w:name="_Hlk505353774"/>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bookmarkEnd w:id="8"/>
      <w:r>
        <w:rPr>
          <w:rFonts w:ascii="Times New Roman" w:hAnsi="Times New Roman"/>
          <w:sz w:val="21"/>
          <w:szCs w:val="21"/>
        </w:rPr>
        <w:t xml:space="preserve">, между Принципалом и </w:t>
      </w:r>
      <w:bookmarkStart w:id="9" w:name="_Hlk505353496"/>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issue.bg_property[tender_responsible_full_name_tp]</w:t>
      </w:r>
      <w:r>
        <w:rPr>
          <w:rFonts w:eastAsia="Times New Roman" w:cs="Times New Roman" w:ascii="Times New Roman" w:hAnsi="Times New Roman"/>
          <w:b/>
          <w:color w:val="000000"/>
          <w:sz w:val="21"/>
          <w:szCs w:val="21"/>
          <w:highlight w:val="yellow"/>
          <w:lang w:eastAsia="ru-RU"/>
        </w:rPr>
        <w:t>}</w:t>
      </w:r>
      <w:bookmarkEnd w:id="9"/>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0"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0"/>
      <w:r>
        <w:rPr>
          <w:rFonts w:ascii="Times New Roman" w:hAnsi="Times New Roman"/>
          <w:sz w:val="21"/>
          <w:szCs w:val="21"/>
        </w:rPr>
        <w:t xml:space="preserve">, </w:t>
      </w:r>
      <w:bookmarkStart w:id="11" w:name="_Hlk505353811"/>
      <w:r>
        <w:rPr>
          <w:rFonts w:ascii="Times New Roman" w:hAnsi="Times New Roman"/>
          <w:sz w:val="21"/>
          <w:szCs w:val="21"/>
        </w:rPr>
        <w:t xml:space="preserve">ИНН </w:t>
      </w:r>
      <w:bookmarkStart w:id="12" w:name="_Hlk505353805"/>
      <w:bookmarkStart w:id="13"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3"/>
      <w:r>
        <w:rPr>
          <w:rFonts w:ascii="Times New Roman" w:hAnsi="Times New Roman"/>
          <w:sz w:val="21"/>
          <w:szCs w:val="21"/>
        </w:rPr>
        <w:t xml:space="preserve">, </w:t>
      </w:r>
      <w:bookmarkEnd w:id="11"/>
      <w:bookmarkEnd w:id="12"/>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4"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4"/>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В соответствии с п.6 части 2 статьи  45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Pr>
          <w:rFonts w:ascii="Times New Roman" w:hAnsi="Times New Roman"/>
          <w:bCs/>
          <w:sz w:val="21"/>
          <w:szCs w:val="21"/>
        </w:rPr>
        <w:t xml:space="preserve">договор </w:t>
      </w:r>
      <w:r>
        <w:rPr>
          <w:rFonts w:ascii="Times New Roman" w:hAnsi="Times New Roman"/>
          <w:sz w:val="21"/>
          <w:szCs w:val="21"/>
        </w:rPr>
        <w:t>о предоставлении</w:t>
      </w:r>
      <w:r>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15" w:name="_Hlk505353023"/>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bookmarkEnd w:id="15"/>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6"/>
      <w:r>
        <w:rPr>
          <w:rFonts w:ascii="Times New Roman" w:hAnsi="Times New Roman"/>
          <w:sz w:val="21"/>
          <w:szCs w:val="21"/>
        </w:rPr>
        <w:t>.</w:t>
      </w:r>
    </w:p>
    <w:p>
      <w:pPr>
        <w:pStyle w:val="ListParagraph"/>
        <w:numPr>
          <w:ilvl w:val="0"/>
          <w:numId w:val="0"/>
        </w:numPr>
        <w:tabs>
          <w:tab w:val="left" w:pos="354" w:leader="none"/>
          <w:tab w:val="left" w:pos="708" w:leader="none"/>
        </w:tabs>
        <w:spacing w:lineRule="exact" w:line="240" w:before="0" w:after="0"/>
        <w:ind w:left="360" w:hanging="0"/>
        <w:contextualSpacing/>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7" w:name="_Hlk505353614"/>
      <w:bookmarkEnd w:id="17"/>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P57kurVM31FXuPNMUSnid1rWFynXIomcL2P8EOtUhY6oi8+B+QFbAEa0ujUR0sAXJjJhCBVYU3UBV1Na3bHdQ==" w:salt="Q9UZ8MJ3oZL12MXB61rZs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HTML" w:customStyle="1">
    <w:name w:val="Стандартный HTML Знак"/>
    <w:basedOn w:val="DefaultParagraphFont"/>
    <w:link w:val="HTML"/>
    <w:uiPriority w:val="99"/>
    <w:qFormat/>
    <w:rsid w:val="001b643f"/>
    <w:rPr>
      <w:rFonts w:ascii="Courier New" w:hAnsi="Courier New" w:eastAsia="Times New Roman" w:cs="Courier New"/>
      <w:sz w:val="20"/>
      <w:szCs w:val="20"/>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character" w:styleId="ListLabel9">
    <w:name w:val="ListLabel 9"/>
    <w:qFormat/>
    <w:rPr>
      <w:rFonts w:ascii="Times New Roman" w:hAnsi="Times New Roman"/>
      <w:b/>
      <w:sz w:val="21"/>
    </w:rPr>
  </w:style>
  <w:style w:type="character" w:styleId="ListLabel10">
    <w:name w:val="ListLabel 10"/>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HTMLPreformatted">
    <w:name w:val="HTML Preformatted"/>
    <w:basedOn w:val="Normal"/>
    <w:link w:val="HTML0"/>
    <w:uiPriority w:val="99"/>
    <w:unhideWhenUsed/>
    <w:qFormat/>
    <w:rsid w:val="001b64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92B1C-768B-4F3E-9D7F-864FF11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Application>LibreOffice/6.0.1.1$Linux_X86_64 LibreOffice_project/00m0$Build-1</Application>
  <Pages>2</Pages>
  <Words>866</Words>
  <Characters>6510</Characters>
  <CharactersWithSpaces>7318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2017-02-10T09:45:00Z</dcterms:created>
  <dc:creator>rodionovmv</dc:creator>
  <dc:description/>
  <dc:language>ru-RU</dc:language>
  <cp:lastModifiedBy>Владислав Сергеевич Зиминов</cp:lastModifiedBy>
  <dcterms:modified xsi:type="dcterms:W3CDTF">2018-02-27T13:07:15Z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