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1905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1" w:name="_Hlk505353650"/>
      <w:r>
        <w:rPr>
          <w:sz w:val="21"/>
          <w:szCs w:val="21"/>
          <w:highlight w:val="yellow"/>
          <w:lang w:val="en-US"/>
        </w:rPr>
        <w:t>{issue.bg_property[bg_number]}</w:t>
      </w:r>
      <w:bookmarkEnd w:id="1"/>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08"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highlight w:val="yellow"/>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sz w:val="21"/>
                <w:szCs w:val="21"/>
              </w:rPr>
            </w:pPr>
            <w:r>
              <w:rPr>
                <w:rFonts w:ascii="Times New Roman" w:hAnsi="Times New Roman"/>
                <w:sz w:val="21"/>
                <w:szCs w:val="21"/>
                <w:highlight w:val="yellow"/>
                <w:lang w:val="en-US"/>
              </w:rPr>
              <w:t>{issue.humanized_created_at}</w:t>
            </w:r>
          </w:p>
        </w:tc>
      </w:tr>
    </w:tbl>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sz w:val="21"/>
          <w:szCs w:val="21"/>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настоящим гарантирует надлежащее исполнение</w:t>
      </w:r>
      <w:r>
        <w:rPr>
          <w:rFonts w:ascii="Times New Roman" w:hAnsi="Times New Roman"/>
          <w:b/>
          <w:sz w:val="21"/>
          <w:szCs w:val="21"/>
        </w:rPr>
        <w:t xml:space="preserve">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по </w:t>
      </w:r>
      <w:bookmarkStart w:id="4" w:name="_Hlk505353486"/>
      <w:bookmarkStart w:id="5" w:name="_Hlk505353748"/>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bookmarkEnd w:id="4"/>
      <w:bookmarkEnd w:id="5"/>
      <w:r>
        <w:rPr>
          <w:rFonts w:ascii="Times New Roman" w:hAnsi="Times New Roman"/>
          <w:sz w:val="21"/>
          <w:szCs w:val="21"/>
        </w:rPr>
        <w:t xml:space="preserve">, предусмотренных государственным контрактом (далее – Контракт), заключаемым по итогам </w:t>
      </w:r>
      <w:bookmarkStart w:id="6"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type</w:t>
      </w:r>
      <w:r>
        <w:rPr>
          <w:rFonts w:ascii="Times New Roman" w:hAnsi="Times New Roman"/>
          <w:sz w:val="21"/>
          <w:szCs w:val="21"/>
          <w:highlight w:val="yellow"/>
        </w:rPr>
        <w:t>]}</w:t>
      </w:r>
      <w:bookmarkEnd w:id="6"/>
      <w:r>
        <w:rPr>
          <w:rFonts w:ascii="Times New Roman" w:hAnsi="Times New Roman"/>
          <w:sz w:val="21"/>
          <w:szCs w:val="21"/>
        </w:rPr>
        <w:t xml:space="preserve">, реестровый номер аукциона </w:t>
      </w:r>
      <w:bookmarkStart w:id="7" w:name="_Hlk505353774"/>
      <w:bookmarkStart w:id="8"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bookmarkEnd w:id="8"/>
      <w:r>
        <w:rPr>
          <w:rFonts w:ascii="Times New Roman" w:hAnsi="Times New Roman"/>
          <w:sz w:val="21"/>
          <w:szCs w:val="21"/>
        </w:rPr>
        <w:t xml:space="preserve">, между Принципалом и </w:t>
      </w:r>
      <w:bookmarkStart w:id="9" w:name="_Hlk505353496"/>
      <w:r>
        <w:rPr>
          <w:rFonts w:eastAsia="Times New Roman" w:cs="Times New Roman" w:ascii="Times New Roman" w:hAnsi="Times New Roman"/>
          <w:b/>
          <w:color w:val="000000"/>
          <w:sz w:val="21"/>
          <w:szCs w:val="21"/>
          <w:highlight w:val="yellow"/>
          <w:lang w:eastAsia="ru-RU"/>
        </w:rPr>
        <w:t>{</w:t>
      </w:r>
      <w:r>
        <w:rPr>
          <w:rFonts w:eastAsia="Times New Roman" w:cs="Times New Roman" w:ascii="Times New Roman" w:hAnsi="Times New Roman"/>
          <w:b/>
          <w:color w:val="000000"/>
          <w:sz w:val="21"/>
          <w:szCs w:val="21"/>
          <w:highlight w:val="yellow"/>
          <w:lang w:val="en-US" w:eastAsia="ru-RU"/>
        </w:rPr>
        <w:t>tender</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responsible</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full</w:t>
      </w:r>
      <w:r>
        <w:rPr>
          <w:rFonts w:eastAsia="Times New Roman" w:cs="Times New Roman" w:ascii="Times New Roman" w:hAnsi="Times New Roman"/>
          <w:b/>
          <w:color w:val="000000"/>
          <w:sz w:val="21"/>
          <w:szCs w:val="21"/>
          <w:highlight w:val="yellow"/>
          <w:lang w:eastAsia="ru-RU"/>
        </w:rPr>
        <w:t>_</w:t>
      </w:r>
      <w:r>
        <w:rPr>
          <w:rFonts w:eastAsia="Times New Roman" w:cs="Times New Roman" w:ascii="Times New Roman" w:hAnsi="Times New Roman"/>
          <w:b/>
          <w:color w:val="000000"/>
          <w:sz w:val="21"/>
          <w:szCs w:val="21"/>
          <w:highlight w:val="yellow"/>
          <w:lang w:val="en-US" w:eastAsia="ru-RU"/>
        </w:rPr>
        <w:t>name</w:t>
      </w:r>
      <w:r>
        <w:rPr>
          <w:rFonts w:eastAsia="Times New Roman" w:cs="Times New Roman" w:ascii="Times New Roman" w:hAnsi="Times New Roman"/>
          <w:b/>
          <w:color w:val="000000"/>
          <w:sz w:val="21"/>
          <w:szCs w:val="21"/>
          <w:highlight w:val="yellow"/>
          <w:lang w:eastAsia="ru-RU"/>
        </w:rPr>
        <w:t>}</w:t>
      </w:r>
      <w:bookmarkEnd w:id="9"/>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0"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0"/>
      <w:r>
        <w:rPr>
          <w:rFonts w:ascii="Times New Roman" w:hAnsi="Times New Roman"/>
          <w:sz w:val="21"/>
          <w:szCs w:val="21"/>
        </w:rPr>
        <w:t xml:space="preserve">, </w:t>
      </w:r>
      <w:bookmarkStart w:id="11" w:name="_Hlk505353811"/>
      <w:r>
        <w:rPr>
          <w:rFonts w:ascii="Times New Roman" w:hAnsi="Times New Roman"/>
          <w:sz w:val="21"/>
          <w:szCs w:val="21"/>
        </w:rPr>
        <w:t xml:space="preserve">ИНН </w:t>
      </w:r>
      <w:bookmarkStart w:id="12" w:name="_Hlk505353805"/>
      <w:bookmarkStart w:id="13"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3"/>
      <w:r>
        <w:rPr>
          <w:rFonts w:ascii="Times New Roman" w:hAnsi="Times New Roman"/>
          <w:sz w:val="21"/>
          <w:szCs w:val="21"/>
        </w:rPr>
        <w:t xml:space="preserve">, </w:t>
      </w:r>
      <w:bookmarkEnd w:id="11"/>
      <w:bookmarkEnd w:id="12"/>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4"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4"/>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В соответствии с п.6 части 2 статьи  45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Pr>
          <w:rFonts w:ascii="Times New Roman" w:hAnsi="Times New Roman"/>
          <w:bCs/>
          <w:sz w:val="21"/>
          <w:szCs w:val="21"/>
        </w:rPr>
        <w:t xml:space="preserve">договор </w:t>
      </w:r>
      <w:r>
        <w:rPr>
          <w:rFonts w:ascii="Times New Roman" w:hAnsi="Times New Roman"/>
          <w:sz w:val="21"/>
          <w:szCs w:val="21"/>
        </w:rPr>
        <w:t>о предоставлении</w:t>
      </w:r>
      <w:r>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Гарантия вступает в силу с даты её выдачи и действует до</w:t>
      </w:r>
      <w:bookmarkStart w:id="15" w:name="_Hlk505353023"/>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bookmarkEnd w:id="15"/>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6"/>
      <w:r>
        <w:rPr>
          <w:rFonts w:ascii="Times New Roman" w:hAnsi="Times New Roman"/>
          <w:sz w:val="21"/>
          <w:szCs w:val="21"/>
        </w:rPr>
        <w:t>.</w:t>
      </w:r>
    </w:p>
    <w:p>
      <w:pPr>
        <w:pStyle w:val="ListParagraph"/>
        <w:numPr>
          <w:ilvl w:val="0"/>
          <w:numId w:val="0"/>
        </w:numPr>
        <w:tabs>
          <w:tab w:val="left" w:pos="354" w:leader="none"/>
          <w:tab w:val="left" w:pos="708" w:leader="none"/>
        </w:tabs>
        <w:spacing w:lineRule="exact" w:line="240" w:before="0" w:after="0"/>
        <w:ind w:left="360" w:hanging="0"/>
        <w:contextualSpacing/>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jc w:val="both"/>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7" w:name="_Hlk505353614"/>
      <w:bookmarkEnd w:id="17"/>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iP57kurVM31FXuPNMUSnid1rWFynXIomcL2P8EOtUhY6oi8+B+QFbAEa0ujUR0sAXJjJhCBVYU3UBV1Na3bHdQ==" w:salt="Q9UZ8MJ3oZL12MXB61rZsA=="/>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HTML" w:customStyle="1">
    <w:name w:val="Стандартный HTML Знак"/>
    <w:basedOn w:val="DefaultParagraphFont"/>
    <w:link w:val="HTML"/>
    <w:uiPriority w:val="99"/>
    <w:qFormat/>
    <w:rsid w:val="001b643f"/>
    <w:rPr>
      <w:rFonts w:ascii="Courier New" w:hAnsi="Courier New" w:eastAsia="Times New Roman" w:cs="Courier New"/>
      <w:sz w:val="20"/>
      <w:szCs w:val="20"/>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HTMLPreformatted">
    <w:name w:val="HTML Preformatted"/>
    <w:basedOn w:val="Normal"/>
    <w:link w:val="HTML0"/>
    <w:uiPriority w:val="99"/>
    <w:unhideWhenUsed/>
    <w:qFormat/>
    <w:rsid w:val="001b643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92B1C-768B-4F3E-9D7F-864FF11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LibreOffice/6.0.1.1$Linux_X86_64 LibreOffice_project/00m0$Build-1</Application>
  <Pages>2</Pages>
  <Words>865</Words>
  <Characters>6401</Characters>
  <CharactersWithSpaces>7208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2017-02-10T09:45:00Z</dcterms:created>
  <dc:creator>rodionovmv</dc:creator>
  <dc:description/>
  <dc:language>ru-RU</dc:language>
  <cp:lastModifiedBy>Владислав Сергеевич Зиминов</cp:lastModifiedBy>
  <dcterms:modified xsi:type="dcterms:W3CDTF">2018-02-26T19:15:09Z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