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8"/>
        <w:gridCol w:w="2506"/>
        <w:gridCol w:w="1536"/>
        <w:gridCol w:w="1537"/>
        <w:gridCol w:w="1398"/>
        <w:gridCol w:w="2930"/>
      </w:tblGrid>
      <w:tr>
        <w:trPr>
          <w:trHeight w:val="1395" w:hRule="atLeast"/>
        </w:trPr>
        <w:tc>
          <w:tcPr>
            <w:tcW w:w="55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№</w:t>
            </w:r>
          </w:p>
        </w:tc>
        <w:tc>
          <w:tcPr>
            <w:tcW w:w="250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Критерий</w:t>
            </w:r>
          </w:p>
        </w:tc>
        <w:tc>
          <w:tcPr>
            <w:tcW w:w="153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Нормативное значение / MAX значение</w:t>
            </w:r>
          </w:p>
        </w:tc>
        <w:tc>
          <w:tcPr>
            <w:tcW w:w="1537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Действующее значение</w:t>
            </w:r>
          </w:p>
        </w:tc>
        <w:tc>
          <w:tcPr>
            <w:tcW w:w="139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Количество баллов по клиенту с учетом дисконтирования</w:t>
            </w:r>
          </w:p>
        </w:tc>
        <w:tc>
          <w:tcPr>
            <w:tcW w:w="293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Дисконтирование % от MAX значения</w:t>
            </w:r>
          </w:p>
        </w:tc>
      </w:tr>
      <w:tr>
        <w:trPr>
          <w:trHeight w:val="1260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Отношение суммы гарантии к Валюты баланса за последний отчетный период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Не более 80% ВБ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{issue.underwriting_criteria[value_1]}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_1]}</w:t>
            </w:r>
          </w:p>
        </w:tc>
        <w:tc>
          <w:tcPr>
            <w:tcW w:w="2930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 xml:space="preserve">Превышение 80-100% вкл – 25% </w:t>
              <w:br/>
              <w:t xml:space="preserve">Превышение 100–150% вкл – 50% </w:t>
              <w:br/>
              <w:t xml:space="preserve">Превышение 150-200% вкл – 75% </w:t>
              <w:br/>
              <w:t>Более 200% - 100%</w:t>
            </w:r>
          </w:p>
        </w:tc>
      </w:tr>
      <w:tr>
        <w:trPr>
          <w:trHeight w:val="315" w:hRule="atLeast"/>
        </w:trPr>
        <w:tc>
          <w:tcPr>
            <w:tcW w:w="55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100</w:t>
            </w:r>
          </w:p>
        </w:tc>
        <w:tc>
          <w:tcPr>
            <w:tcW w:w="153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39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93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 </w:t>
            </w:r>
          </w:p>
        </w:tc>
      </w:tr>
      <w:tr>
        <w:trPr>
          <w:trHeight w:val="1005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Отношение суммы Контракта к годовой выручке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Не более 100% от выручки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{issue.underwriting_criteria[value_2]}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2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 xml:space="preserve">Превышение 100-150% вкл – 50% </w:t>
              <w:br/>
              <w:t xml:space="preserve">Превышение 150–200% вкл – 75% </w:t>
              <w:br/>
              <w:t>Более 200% - 100%</w:t>
            </w:r>
          </w:p>
        </w:tc>
      </w:tr>
      <w:tr>
        <w:trPr>
          <w:trHeight w:val="330" w:hRule="atLeast"/>
        </w:trPr>
        <w:tc>
          <w:tcPr>
            <w:tcW w:w="55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200</w:t>
            </w:r>
          </w:p>
        </w:tc>
        <w:tc>
          <w:tcPr>
            <w:tcW w:w="153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39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93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 </w:t>
            </w:r>
          </w:p>
        </w:tc>
      </w:tr>
      <w:tr>
        <w:trPr>
          <w:trHeight w:val="990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падение выручки за последний заершенный год относительно предыдущего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Не более 30%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{issue.underwriting_criteria[value_3]}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3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 xml:space="preserve">Падение на 30-50% вкл – 25% </w:t>
              <w:br/>
              <w:t>Падение на 50-75% вкл – 50%</w:t>
              <w:br/>
              <w:t>Падение на 75-100% вкл – 100%</w:t>
            </w:r>
          </w:p>
        </w:tc>
      </w:tr>
      <w:tr>
        <w:trPr>
          <w:trHeight w:val="390" w:hRule="atLeast"/>
        </w:trPr>
        <w:tc>
          <w:tcPr>
            <w:tcW w:w="55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50</w:t>
            </w:r>
          </w:p>
        </w:tc>
        <w:tc>
          <w:tcPr>
            <w:tcW w:w="153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39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93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 </w:t>
            </w:r>
          </w:p>
        </w:tc>
      </w:tr>
      <w:tr>
        <w:trPr>
          <w:trHeight w:val="1170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падение квартальной выручки в текущем  году по сравнению с аналогичным периодом прошлого года 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Не более 30%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{issue.underwriting_criteria[value_4]}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4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 xml:space="preserve">Падение на 30-50% – 25% </w:t>
              <w:br/>
              <w:t xml:space="preserve">Падение на 50-75% – 50% </w:t>
              <w:br/>
              <w:t>Падение на 75-100%– 100%</w:t>
            </w:r>
          </w:p>
        </w:tc>
      </w:tr>
      <w:tr>
        <w:trPr>
          <w:trHeight w:val="315" w:hRule="atLeast"/>
        </w:trPr>
        <w:tc>
          <w:tcPr>
            <w:tcW w:w="55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50</w:t>
            </w:r>
          </w:p>
        </w:tc>
        <w:tc>
          <w:tcPr>
            <w:tcW w:w="153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39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93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 </w:t>
            </w:r>
          </w:p>
        </w:tc>
      </w:tr>
      <w:tr>
        <w:trPr>
          <w:trHeight w:val="2010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сумма контракта (по которому требуется БГ) превышает максимальную сумму ранее исполненного, аналогичного по виду работ (профильного), контракта 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u w:val="single"/>
                <w:lang w:eastAsia="ru-RU"/>
              </w:rPr>
              <w:t xml:space="preserve">При Сумме БГ от </w:t>
            </w:r>
            <w:r>
              <w:rPr>
                <w:rFonts w:eastAsia="Times New Roman" w:cs="Arial" w:ascii="Arial" w:hAnsi="Arial"/>
                <w:color w:val="000000"/>
                <w:sz w:val="18"/>
                <w:u w:val="single"/>
                <w:lang w:eastAsia="ru-RU"/>
              </w:rPr>
              <w:t>15</w:t>
            </w:r>
            <w:r>
              <w:rPr>
                <w:rFonts w:eastAsia="Times New Roman" w:cs="Arial" w:ascii="Arial" w:hAnsi="Arial"/>
                <w:color w:val="000000"/>
                <w:sz w:val="18"/>
                <w:u w:val="single"/>
                <w:lang w:eastAsia="ru-RU"/>
              </w:rPr>
              <w:t>00 т.р.-</w:t>
            </w:r>
            <w:r>
              <w:rPr>
                <w:rFonts w:eastAsia="Times New Roman" w:cs="Arial" w:ascii="Arial" w:hAnsi="Arial"/>
                <w:color w:val="000000"/>
                <w:sz w:val="18"/>
                <w:u w:val="single"/>
                <w:lang w:eastAsia="ru-RU"/>
              </w:rPr>
              <w:t>5</w:t>
            </w:r>
            <w:r>
              <w:rPr>
                <w:rFonts w:eastAsia="Times New Roman" w:cs="Arial" w:ascii="Arial" w:hAnsi="Arial"/>
                <w:color w:val="000000"/>
                <w:sz w:val="18"/>
                <w:u w:val="single"/>
                <w:lang w:eastAsia="ru-RU"/>
              </w:rPr>
              <w:t>000 т.р. включительно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:</w:t>
              <w:br/>
              <w:t xml:space="preserve">Не более чем в 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2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 раза от выполненного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{issue.underwriting_criteria[value_5]}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5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1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16"/>
                <w:u w:val="single"/>
                <w:lang w:eastAsia="ru-RU"/>
              </w:rPr>
              <w:t xml:space="preserve">При Сумме БГ от </w:t>
            </w:r>
            <w:r>
              <w:rPr>
                <w:rFonts w:eastAsia="Times New Roman" w:cs="Arial" w:ascii="Arial" w:hAnsi="Arial"/>
                <w:color w:val="000000"/>
                <w:sz w:val="16"/>
                <w:u w:val="single"/>
                <w:lang w:eastAsia="ru-RU"/>
              </w:rPr>
              <w:t>1</w:t>
            </w:r>
            <w:r>
              <w:rPr>
                <w:rFonts w:eastAsia="Times New Roman" w:cs="Arial" w:ascii="Arial" w:hAnsi="Arial"/>
                <w:color w:val="000000"/>
                <w:sz w:val="16"/>
                <w:u w:val="single"/>
                <w:lang w:eastAsia="ru-RU"/>
              </w:rPr>
              <w:t>500 т.р.-</w:t>
            </w:r>
            <w:r>
              <w:rPr>
                <w:rFonts w:eastAsia="Times New Roman" w:cs="Arial" w:ascii="Arial" w:hAnsi="Arial"/>
                <w:color w:val="000000"/>
                <w:sz w:val="16"/>
                <w:u w:val="single"/>
                <w:lang w:eastAsia="ru-RU"/>
              </w:rPr>
              <w:t>5</w:t>
            </w:r>
            <w:r>
              <w:rPr>
                <w:rFonts w:eastAsia="Times New Roman" w:cs="Arial" w:ascii="Arial" w:hAnsi="Arial"/>
                <w:color w:val="000000"/>
                <w:sz w:val="16"/>
                <w:u w:val="single"/>
                <w:lang w:eastAsia="ru-RU"/>
              </w:rPr>
              <w:t>000 т.р. включительно: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br/>
              <w:t xml:space="preserve">Превышение в 2 - 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3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 xml:space="preserve"> раза   - 25% </w:t>
              <w:br/>
              <w:t xml:space="preserve">Превышение в 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3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 xml:space="preserve"> – 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5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 xml:space="preserve"> раз  – 75% </w:t>
              <w:br/>
              <w:t xml:space="preserve">Более 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5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 xml:space="preserve"> раз – 100% (либо отсутствие профильного контракта)</w:t>
            </w:r>
          </w:p>
        </w:tc>
      </w:tr>
      <w:tr>
        <w:trPr>
          <w:trHeight w:val="2010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u w:val="single"/>
                <w:lang w:eastAsia="ru-RU"/>
              </w:rPr>
              <w:t>При Сумме БГ от 5000 т.р.-10 000 т.р. включительно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:</w:t>
              <w:br/>
              <w:t xml:space="preserve">Не более чем в 1,5 раза от выполненного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{issue.underwriting_criteria[value_5]}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5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2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16"/>
                <w:u w:val="single"/>
                <w:lang w:eastAsia="ru-RU"/>
              </w:rPr>
              <w:t>При Сумме БГ от 5000 т.р.-10 000 т.р. включительно: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br/>
              <w:t xml:space="preserve">Превышение в 1,5 -2 раза   - 25% </w:t>
              <w:br/>
              <w:t xml:space="preserve">Превышение в 2 – 4 раза  – 75% </w:t>
              <w:br/>
              <w:t>Более 4 раз – 100% (либо отсутствие профильного контракта)</w:t>
            </w:r>
          </w:p>
        </w:tc>
      </w:tr>
      <w:tr>
        <w:trPr>
          <w:trHeight w:val="1905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u w:val="single"/>
                <w:lang w:eastAsia="ru-RU"/>
              </w:rPr>
              <w:t>При Сумме БГ от 10000 т.р.-18000 т.р. включительно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:</w:t>
              <w:br/>
              <w:t xml:space="preserve">Не более чем в 1,3 раза от выполненного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{issue.underwriting_criteria[value_5]}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5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3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u w:val="single"/>
                <w:lang w:eastAsia="ru-RU"/>
              </w:rPr>
              <w:t>При Сумме БГ от 10000 т.р.-18000 т.р. включительно: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br/>
              <w:t xml:space="preserve">Превышение в 1,3 -2 раза   - 35% </w:t>
              <w:br/>
              <w:t xml:space="preserve">Превышение в 2 – 3 раза  – 90% </w:t>
              <w:br/>
              <w:t>Более 3 раз – 100% (либо отсутствие профильного контракта)</w:t>
            </w:r>
          </w:p>
        </w:tc>
      </w:tr>
      <w:tr>
        <w:trPr>
          <w:trHeight w:val="420" w:hRule="atLeast"/>
        </w:trPr>
        <w:tc>
          <w:tcPr>
            <w:tcW w:w="55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200</w:t>
            </w:r>
          </w:p>
        </w:tc>
        <w:tc>
          <w:tcPr>
            <w:tcW w:w="153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39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93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 </w:t>
            </w:r>
          </w:p>
        </w:tc>
      </w:tr>
      <w:tr>
        <w:trPr>
          <w:trHeight w:val="885" w:hRule="atLeast"/>
        </w:trPr>
        <w:tc>
          <w:tcPr>
            <w:tcW w:w="55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25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период исполнения последнего аналогичного по виду работ контракта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Не более 2х лет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{issue.underwriting_criteria[value_6]}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6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от 2х до 3х лет вкл - 50%</w:t>
              <w:br/>
              <w:t>более 3х лет - 100%</w:t>
            </w:r>
          </w:p>
        </w:tc>
      </w:tr>
      <w:tr>
        <w:trPr>
          <w:trHeight w:val="315" w:hRule="atLeast"/>
        </w:trPr>
        <w:tc>
          <w:tcPr>
            <w:tcW w:w="55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125</w:t>
            </w:r>
          </w:p>
        </w:tc>
        <w:tc>
          <w:tcPr>
            <w:tcW w:w="153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39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93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 </w:t>
            </w:r>
          </w:p>
        </w:tc>
      </w:tr>
      <w:tr>
        <w:trPr>
          <w:trHeight w:val="1845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Наличие максимального по сумме исполненного контракта (не обязательно профильного)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При Сумме БГ от 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1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500 т.р.-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5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000 т.р. включительно:Исполненный ГК меньше запрашиваемого не более чем в 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2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 раза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{issue.underwriting_criteria[value_7]}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71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16"/>
                <w:u w:val="single"/>
                <w:lang w:eastAsia="ru-RU"/>
              </w:rPr>
              <w:t>При Сумме БГ от 5000 т.р.-10 000 т.р. включительно: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br/>
              <w:t xml:space="preserve">Превышение в 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2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 xml:space="preserve"> -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3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 xml:space="preserve"> раза   - 25% </w:t>
              <w:br/>
              <w:t xml:space="preserve">Превышение в 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3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 xml:space="preserve"> – 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5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 xml:space="preserve"> раз  – 75% </w:t>
              <w:br/>
              <w:t xml:space="preserve">Более 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5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 xml:space="preserve"> раз – 100% (либо отсутствие профильного контракта)</w:t>
            </w:r>
          </w:p>
        </w:tc>
      </w:tr>
      <w:tr>
        <w:trPr>
          <w:trHeight w:val="1845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При Сумме БГ от 5000 т.р.-10 000 т.р. включительно:Исполненный ГК меньше запрашиваемого не более чем в 1,5 раза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{issue.underwriting_criteria[value_7]}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72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16"/>
                <w:u w:val="single"/>
                <w:lang w:eastAsia="ru-RU"/>
              </w:rPr>
              <w:t>При Сумме БГ от 5000 т.р.-10 000 т.р. включительно: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br/>
              <w:t xml:space="preserve">Превышение в 1,5 -2 раза   - 25% </w:t>
              <w:br/>
              <w:t xml:space="preserve">Превышение в 2 – 4 раза  – 75% </w:t>
              <w:br/>
              <w:t>Более 4 раз – 100% (либо отсутствие профильного контракта)</w:t>
            </w:r>
          </w:p>
        </w:tc>
      </w:tr>
      <w:tr>
        <w:trPr>
          <w:trHeight w:val="1530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При Сумме БГ от 10000 т.р.-18000 т.р. включительно: Исполненный ГК меньше запрашиваемого не более чем в 1,3 раза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{issue.underwriting_criteria[value_7]}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7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3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u w:val="single"/>
                <w:lang w:eastAsia="ru-RU"/>
              </w:rPr>
              <w:t>При Сумме БГ от 10000 т.р.-18000 т.р. включительно:</w:t>
            </w: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br/>
              <w:t xml:space="preserve">Превышение в 1,3 -2 раза   - 35% </w:t>
              <w:br/>
              <w:t xml:space="preserve">Превышение в 2 – 3 раза  – 90% </w:t>
              <w:br/>
              <w:t xml:space="preserve">Более 3 раз – 100% </w:t>
            </w:r>
          </w:p>
        </w:tc>
      </w:tr>
      <w:tr>
        <w:trPr>
          <w:trHeight w:val="390" w:hRule="atLeast"/>
        </w:trPr>
        <w:tc>
          <w:tcPr>
            <w:tcW w:w="55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125</w:t>
            </w:r>
          </w:p>
        </w:tc>
        <w:tc>
          <w:tcPr>
            <w:tcW w:w="153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39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93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 </w:t>
            </w:r>
          </w:p>
        </w:tc>
      </w:tr>
      <w:tr>
        <w:trPr>
          <w:trHeight w:val="600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Отношение суммы БГ и ГК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Сумма БГ не более суммы ГК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8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8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right w:val="single" w:sz="8" w:space="0" w:color="00000A"/>
              <w:insideV w:val="single" w:sz="8" w:space="0" w:color="00000A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100%</w:t>
            </w:r>
          </w:p>
        </w:tc>
      </w:tr>
      <w:tr>
        <w:trPr>
          <w:trHeight w:val="375" w:hRule="atLeast"/>
        </w:trPr>
        <w:tc>
          <w:tcPr>
            <w:tcW w:w="55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50</w:t>
            </w:r>
          </w:p>
        </w:tc>
        <w:tc>
          <w:tcPr>
            <w:tcW w:w="153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39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93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 </w:t>
            </w:r>
          </w:p>
        </w:tc>
      </w:tr>
      <w:tr>
        <w:trPr>
          <w:trHeight w:val="1245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Наличие штрафов по контрактом, отраженных на сайте Госзакупок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Отсутствие штрафов по 5 крупным и 5 последним ГК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9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9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55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153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39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93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 </w:t>
            </w:r>
          </w:p>
        </w:tc>
      </w:tr>
      <w:tr>
        <w:trPr>
          <w:trHeight w:val="1725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Наличие арбитражей по нарушениям выполнения условий гос. контрактов 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Отсутствие арбитражных дел (при наличии арбитражей они не должны быть проиграны)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10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10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100%</w:t>
            </w:r>
          </w:p>
        </w:tc>
      </w:tr>
      <w:tr>
        <w:trPr>
          <w:trHeight w:val="345" w:hRule="atLeast"/>
        </w:trPr>
        <w:tc>
          <w:tcPr>
            <w:tcW w:w="55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153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39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93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 </w:t>
            </w:r>
          </w:p>
        </w:tc>
      </w:tr>
      <w:tr>
        <w:trPr>
          <w:trHeight w:val="1545" w:hRule="atLeast"/>
        </w:trPr>
        <w:tc>
          <w:tcPr>
            <w:tcW w:w="558" w:type="dxa"/>
            <w:tcBorders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11</w:t>
            </w:r>
          </w:p>
        </w:tc>
        <w:tc>
          <w:tcPr>
            <w:tcW w:w="2506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Отсутствие источников финансирования исполнения контракта 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 xml:space="preserve">Размер дебиторской задолженности не более чем 70% от ВБ </w:t>
            </w:r>
          </w:p>
        </w:tc>
        <w:tc>
          <w:tcPr>
            <w:tcW w:w="153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{issue.underwriting_criteria[value_11]}</w:t>
            </w:r>
          </w:p>
        </w:tc>
        <w:tc>
          <w:tcPr>
            <w:tcW w:w="139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score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11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100%</w:t>
            </w:r>
          </w:p>
        </w:tc>
      </w:tr>
      <w:tr>
        <w:trPr>
          <w:trHeight w:val="390" w:hRule="atLeast"/>
        </w:trPr>
        <w:tc>
          <w:tcPr>
            <w:tcW w:w="55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50</w:t>
            </w:r>
          </w:p>
        </w:tc>
        <w:tc>
          <w:tcPr>
            <w:tcW w:w="153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39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93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 </w:t>
            </w:r>
          </w:p>
        </w:tc>
      </w:tr>
      <w:tr>
        <w:trPr>
          <w:trHeight w:val="499" w:hRule="atLeast"/>
        </w:trPr>
        <w:tc>
          <w:tcPr>
            <w:tcW w:w="558" w:type="dxa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5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18"/>
                <w:lang w:eastAsia="ru-RU"/>
              </w:rPr>
              <w:t>ИТОГО</w:t>
            </w:r>
          </w:p>
        </w:tc>
        <w:tc>
          <w:tcPr>
            <w:tcW w:w="153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18"/>
                <w:lang w:eastAsia="ru-RU"/>
              </w:rPr>
              <w:t>1000</w:t>
            </w:r>
          </w:p>
        </w:tc>
        <w:tc>
          <w:tcPr>
            <w:tcW w:w="153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39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{issue.underwriting_criteria[</w:t>
            </w:r>
            <w:r>
              <w:rPr>
                <w:rFonts w:eastAsia="Times New Roman" w:cs="Arial" w:ascii="Arial" w:hAnsi="Arial"/>
                <w:color w:val="000000"/>
                <w:sz w:val="18"/>
                <w:lang w:val="en-US" w:eastAsia="ru-RU"/>
              </w:rPr>
              <w:t>result</w:t>
            </w:r>
            <w:r>
              <w:rPr>
                <w:rFonts w:eastAsia="Times New Roman" w:cs="Arial" w:ascii="Arial" w:hAnsi="Arial"/>
                <w:color w:val="000000"/>
                <w:sz w:val="18"/>
                <w:lang w:eastAsia="ru-RU"/>
              </w:rPr>
              <w:t>]}</w:t>
            </w:r>
          </w:p>
        </w:tc>
        <w:tc>
          <w:tcPr>
            <w:tcW w:w="293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lang w:eastAsia="ru-RU"/>
              </w:rPr>
              <w:t> 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71acf"/>
    <w:pPr>
      <w:widowControl/>
      <w:bidi w:val="0"/>
      <w:spacing w:lineRule="auto" w:line="360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autoRedefine/>
    <w:uiPriority w:val="9"/>
    <w:qFormat/>
    <w:rsid w:val="00271acf"/>
    <w:pPr>
      <w:keepNext w:val="true"/>
      <w:keepLines/>
      <w:spacing w:before="240" w:after="0"/>
      <w:ind w:firstLine="227"/>
      <w:outlineLvl w:val="0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271acf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LibreOffice/6.0.1.1$Linux_X86_64 LibreOffice_project/00m0$Build-1</Application>
  <Pages>2</Pages>
  <Words>577</Words>
  <Characters>3922</Characters>
  <CharactersWithSpaces>4543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2018-02-22T04:56:00Z</dcterms:created>
  <dc:creator>Максим Никонов</dc:creator>
  <dc:description/>
  <dc:language>ru-RU</dc:language>
  <cp:lastModifiedBy>Владислав Сергеевич Зиминов</cp:lastModifiedBy>
  <dcterms:modified xsi:type="dcterms:W3CDTF">2018-03-16T16:19:17Z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