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4"/>
        <w:gridCol w:w="6720"/>
        <w:gridCol w:w="3"/>
        <w:gridCol w:w="2124"/>
      </w:tblGrid>
      <w:tr>
        <w:trPr>
          <w:trHeight w:val="270" w:hRule="atLeast"/>
        </w:trPr>
        <w:tc>
          <w:tcPr>
            <w:tcW w:w="5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7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7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5"/>
        <w:gridCol w:w="2061"/>
      </w:tblGrid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Application>LibreOffice/5.4.4.2$Linux_X86_64 LibreOffice_project/40m0$Build-2</Application>
  <Pages>5</Pages>
  <Words>819</Words>
  <Characters>8193</Characters>
  <CharactersWithSpaces>8979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2018-02-08T17:23:24Z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