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</w:t>
      </w:r>
      <w:r>
        <w:rPr>
          <w:rFonts w:ascii="Times New Roman" w:hAnsi="Times New Roman"/>
          <w:b/>
          <w:i/>
        </w:rPr>
        <w:t>6</w:t>
      </w:r>
      <w:r>
        <w:rPr>
          <w:rFonts w:ascii="Times New Roman" w:hAnsi="Times New Roman"/>
          <w:b/>
          <w:i/>
        </w:rPr>
        <w:t>г./3 кв. 201</w:t>
      </w:r>
      <w:r>
        <w:rPr>
          <w:rFonts w:ascii="Times New Roman" w:hAnsi="Times New Roman"/>
          <w:b/>
          <w:i/>
        </w:rPr>
        <w:t>7</w:t>
      </w:r>
      <w:r>
        <w:rPr>
          <w:rFonts w:ascii="Times New Roman" w:hAnsi="Times New Roman"/>
          <w:b/>
          <w:i/>
        </w:rPr>
        <w:t>г.)</w:t>
      </w:r>
    </w:p>
    <w:tbl>
      <w:tblPr>
        <w:tblW w:w="9300" w:type="dxa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/>
      </w:tblPr>
      <w:tblGrid>
        <w:gridCol w:w="575"/>
        <w:gridCol w:w="7401"/>
        <w:gridCol w:w="1379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менее 6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{issue.humanized_is_org_registered_less_than_6_months_ago}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не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{issue.humanized_is_negative_net_assets_for_last_quarter}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Деятельность Клиента в течение Последнего завершенного года и последнего завершенного квартала являлась убыточной.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{issue.humanized_is_org_activity_for_last_year_was_not_profitable}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{issue.humanized_is_issuer_in_blacklisted_region}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{issue.humanized_is_beneficiary_in_blacklisted_region}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{issue.humanized_is_bg_term_more_30_months}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{issue.humanized_is_bg_limit_exceeded_max}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2" w:name="__DdeLink__9809_1582496076"/>
            <w:bookmarkEnd w:id="2"/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{issue.humanized_contract_advance_requirements_fails}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3" w:name="__DdeLink__9813_1582496076"/>
            <w:bookmarkEnd w:id="3"/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4" w:name="__DdeLink__9811_1582496076"/>
            <w:r>
              <w:rPr>
                <w:rFonts w:ascii="Times New Roman" w:hAnsi="Times New Roman"/>
              </w:rPr>
              <w:t>is_issuer_has_bad_credit_history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{issue.humanized_issuer_presence_in_unfair_suppliers_registry}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5" w:name="__DdeLink__9818_1582496076"/>
            <w:bookmarkEnd w:id="5"/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6" w:name="__DdeLink__9816_1582496076"/>
            <w:r>
              <w:rPr>
                <w:rFonts w:ascii="Times New Roman" w:hAnsi="Times New Roman"/>
              </w:rPr>
              <w:t>is_issuer_has_blocked_bank_account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7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7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8" w:name="__DdeLink__5585_4130706824"/>
            <w:bookmarkEnd w:id="8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bookmarkStart w:id="9" w:name="__DdeLink__19635_1008482545"/>
            <w:r>
              <w:rPr>
                <w:rFonts w:ascii="Times New Roman" w:hAnsi="Times New Roman"/>
              </w:rPr>
              <w:t>{issue.is_contract_corresponds_issuer_activity}</w:t>
            </w:r>
            <w:bookmarkEnd w:id="9"/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10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10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/>
      </w:pPr>
      <w:r>
        <w:rPr>
          <w:rFonts w:ascii="Times New Roman" w:hAnsi="Times New Roman"/>
          <w:b/>
          <w:i/>
        </w:rPr>
        <w:t>{issue.humanized_final_documents_operations_management_conclusion}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Application>LibreOffice/6.0.1.1$Linux_X86_64 LibreOffice_project/00m0$Build-1</Application>
  <Pages>5</Pages>
  <Words>598</Words>
  <Characters>6580</Characters>
  <CharactersWithSpaces>7160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2018-02-15T15:54:53Z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