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Сумма вознаграждения (комиссии)___________________________________________________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4750" w:type="pct"/>
        <w:jc w:val="left"/>
        <w:tblInd w:w="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144"/>
        <w:gridCol w:w="1372"/>
        <w:gridCol w:w="1371"/>
      </w:tblGrid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Выручка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/>
      </w:tblPr>
      <w:tblGrid>
        <w:gridCol w:w="575"/>
        <w:gridCol w:w="7403"/>
        <w:gridCol w:w="1377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Дата регистрации Клиента </w:t>
            </w:r>
            <w:r>
              <w:rPr>
                <w:rFonts w:ascii="Times New Roman" w:hAnsi="Times New Roman"/>
              </w:rPr>
              <w:t>более</w:t>
            </w:r>
            <w:r>
              <w:rPr>
                <w:rFonts w:ascii="Times New Roman" w:hAnsi="Times New Roman"/>
              </w:rPr>
              <w:t xml:space="preserve"> 6 мес.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{issue.humanized_is_org_registered_more_than_6_months_ago}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Деятельность Клиента в течение Последнего завершенного года и последнего завершенного квартала являлась </w:t>
            </w:r>
            <w:r>
              <w:rPr>
                <w:rFonts w:ascii="Times New Roman" w:hAnsi="Times New Roman"/>
              </w:rPr>
              <w:t>прибыльной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{issue.humanuzed_is_org_activity_for_last_year_was_profilable}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Клиент </w:t>
            </w:r>
            <w:r>
              <w:rPr>
                <w:rFonts w:ascii="Times New Roman" w:hAnsi="Times New Roman"/>
              </w:rPr>
              <w:t xml:space="preserve">не </w:t>
            </w:r>
            <w:r>
              <w:rPr>
                <w:rFonts w:ascii="Times New Roman" w:hAnsi="Times New Roman"/>
              </w:rPr>
              <w:t>находится в регионе, с которым Банк не работает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{issue.humanized_is_issuer_not_in_blacklisted_region}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Бенефициар </w:t>
            </w:r>
            <w:r>
              <w:rPr>
                <w:rFonts w:ascii="Times New Roman" w:hAnsi="Times New Roman"/>
              </w:rPr>
              <w:t xml:space="preserve">не </w:t>
            </w:r>
            <w:r>
              <w:rPr>
                <w:rFonts w:ascii="Times New Roman" w:hAnsi="Times New Roman"/>
              </w:rPr>
              <w:t>находится в регионе, с которым Банк не работает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{issue.humanized_is_beneficiary_not_in_blacklisted_region}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</w:t>
            </w: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млн.руб. (в т.ч. при запросе тендерной БГ)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2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2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3" w:name="__DdeLink__5585_4130706824"/>
            <w:bookmarkEnd w:id="3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4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Обязательства в ПАО «БАНК СГБ»  (рассмотрено, выдано):_________________________________________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Application>LibreOffice/5.4.4.2$Linux_X86_64 LibreOffice_project/40m0$Build-2</Application>
  <Pages>4</Pages>
  <Words>581</Words>
  <Characters>5916</Characters>
  <CharactersWithSpaces>6489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2018-02-09T00:23:00Z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