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9300" w:type="dxa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9"/>
        <w:gridCol w:w="1200"/>
        <w:gridCol w:w="1188"/>
      </w:tblGrid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 xml:space="preserve">Выручка за </w:t>
            </w:r>
            <w:r>
              <w:rPr>
                <w:rFonts w:ascii="Times New Roman" w:hAnsi="Times New Roman"/>
              </w:rPr>
              <w:t xml:space="preserve">Предыдущий завершенный год/ за </w:t>
            </w:r>
            <w:r>
              <w:rPr>
                <w:rFonts w:ascii="Times New Roman" w:hAnsi="Times New Roman"/>
              </w:rPr>
              <w:t>Последний завершенный год/ за последний отчетный период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</w:t>
            </w: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/>
      </w:tblPr>
      <w:tblGrid>
        <w:gridCol w:w="575"/>
        <w:gridCol w:w="7402"/>
        <w:gridCol w:w="1378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более 6 мес.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{issue.humanized_is_org_registered_more_than_6_months_ago}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Деятельность Клиента в течение Последнего завершенного года и последнего завершенного квартала являлась прибыльной.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{issue.humanuzed_is_org_activity_for_last_year_was_profilable}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{issue.humanized_is_issuer_not_in_blacklisted_region}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{issue.humanized_is_beneficiary_not_in_blacklisted_region}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2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2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3" w:name="__DdeLink__5585_4130706824"/>
            <w:bookmarkEnd w:id="3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4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Application>LibreOffice/5.4.4.2$Linux_X86_64 LibreOffice_project/40m0$Build-2</Application>
  <Pages>5</Pages>
  <Words>599</Words>
  <Characters>6096</Characters>
  <CharactersWithSpaces>6685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2018-02-09T13:37:03Z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