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120"/>
        <w:jc w:val="right"/>
        <w:rPr/>
      </w:pPr>
      <w:r>
        <w:rPr>
          <w:rFonts w:ascii="Times New Roman" w:hAnsi="Times New Roman"/>
          <w:b/>
          <w:i/>
        </w:rPr>
        <w:t>{date_now}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{issue.humanized_custom_tender_contract_sum}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{issue.humanized_custom_tender_cost_reduction}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>{issue.</w:t>
      </w:r>
      <w:r>
        <w:rPr>
          <w:rFonts w:ascii="Times New Roman" w:hAnsi="Times New Roman"/>
        </w:rPr>
        <w:t>humanized_custom_if_need_additionally_contract_guarantee_issue_with_cost</w:t>
      </w:r>
      <w:r>
        <w:rPr>
          <w:rFonts w:ascii="Times New Roman" w:hAnsi="Times New Roman"/>
        </w:rPr>
        <w:t>}</w:t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/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2016г./3 кв. 2017г.)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</w:r>
    </w:p>
    <w:tbl>
      <w:tblPr>
        <w:tblW w:w="9300" w:type="dxa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8"/>
        <w:gridCol w:w="1201"/>
        <w:gridCol w:w="1187"/>
      </w:tblGrid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{balance_code_2110_offset_2}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0"/>
        <w:gridCol w:w="6715"/>
        <w:gridCol w:w="12"/>
        <w:gridCol w:w="2124"/>
      </w:tblGrid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{issue.humanized_tender_has_prepayment}</w:t>
            </w:r>
          </w:p>
        </w:tc>
      </w:tr>
      <w:tr>
        <w:trPr>
          <w:trHeight w:val="43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1" w:name="__DdeLink__17242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humanized_is_issuer_executed_contracts_with_comparable_advances</w:t>
            </w:r>
            <w:bookmarkEnd w:id="1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2" w:name="__DdeLink__17244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humanized_is_issuer_executed_gte_5_contracts_on_44_or_223_or_185_fz</w:t>
            </w:r>
            <w:bookmarkEnd w:id="2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8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3" w:name="__DdeLink__17246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humanized_is_issuer_last_year_revenue_higher_in_5_times_than_all_bank_bgs</w:t>
            </w:r>
            <w:bookmarkEnd w:id="3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52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4" w:name="__DdeLink__17248_1582496076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humanized_is_issuer_has_garantor_for_advance_related_requirements</w:t>
            </w:r>
            <w:bookmarkEnd w:id="4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70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15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3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</w:t>
            </w:r>
            <w:bookmarkStart w:id="5" w:name="__DdeLink__20254_100848254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humanized_is_absent_info_about_legal_proceedings_as_defendant_for_more_than_30_pct_of_net_assets</w:t>
            </w:r>
            <w:bookmarkEnd w:id="5"/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330" w:hRule="atLeast"/>
        </w:trPr>
        <w:tc>
          <w:tcPr>
            <w:tcW w:w="53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51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6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6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7" w:name="__DdeLink__5585_4130706824"/>
            <w:bookmarkEnd w:id="7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{issue.is_contract_corresponds_issuer_activity}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bookmarkStart w:id="8" w:name="__DdeLink__6205_85680802"/>
            <w:r>
              <w:rPr>
                <w:i/>
                <w:sz w:val="22"/>
                <w:szCs w:val="22"/>
              </w:rPr>
              <w:t>Количество случаев просрочки</w:t>
            </w:r>
            <w:bookmarkEnd w:id="8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—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bookmarkStart w:id="9" w:name="__DdeLink__6207_85680802"/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  <w:bookmarkEnd w:id="9"/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—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10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10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  <w:highlight w:val="yellow"/>
              </w:rPr>
              <w:t>{issue.bank_reserving_percent_quality_category}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{issue.humanized_final_documents_operations_management_conclusion}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 xml:space="preserve">Исполнитель </w:t>
      </w:r>
      <w:r>
        <w:rPr>
          <w:rFonts w:ascii="Times New Roman" w:hAnsi="Times New Roman"/>
          <w:b/>
          <w:u w:val="single"/>
        </w:rPr>
        <w:t>{user.last_name} {user.first_name[0]}.{user.middle_name[0]}.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Application>LibreOffice/6.0.1.1$Linux_X86_64 LibreOffice_project/00m0$Build-1</Application>
  <Pages>5</Pages>
  <Words>802</Words>
  <Characters>8457</Characters>
  <CharactersWithSpaces>9223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2018-02-19T14:53:02Z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