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_Normal"/>
        <w:jc w:val="center"/>
        <w:spacing w:after="0"/>
        <w:spacing w:before="0"/>
      </w:pPr>
    </w:p>
    <w:p>
      <w:pPr>
        <w:pStyle w:val="_Normal"/>
        <w:jc w:val="center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ЗАКЛЮЧЕНИЕ (ПРОФЕССИОНАЛЬНОЕ СУЖДЕНИЕ) </w:t>
      </w:r>
    </w:p>
    <w:p>
      <w:pPr>
        <w:pStyle w:val="_Normal"/>
        <w:jc w:val="center"/>
        <w:spacing w:after="0"/>
        <w:spacing w:before="0"/>
      </w:pPr>
      <w:r>
        <w:rPr>
          <w:rFonts w:ascii="Times New Roman" w:cs="Times New Roman" w:hAnsi="Times New Roman"/>
          <w:b/>
        </w:rPr>
        <w:t xml:space="preserve">УПРАВЛЕНИЯ РАЗВИТИЯ ДОКУМЕНТАРНЫХ ОПЕРАЦИЙ О ВОЗМОЖНОСТИ ПРЕДОСТАВЛЕНИЯ ГАРАНТИИ</w:t>
      </w:r>
      <w:r>
        <w:rPr>
          <w:rFonts w:ascii="Times New Roman" w:cs="Times New Roman" w:hAnsi="Times New Roman"/>
        </w:rPr>
        <w:t xml:space="preserve"> </w:t>
      </w:r>
    </w:p>
    <w:p>
      <w:pPr>
        <w:pStyle w:val="_Normal"/>
        <w:jc w:val="right"/>
        <w:spacing w:after="120"/>
        <w:spacing w:before="0"/>
      </w:pPr>
      <w:r>
        <w:rPr>
          <w:rFonts w:ascii="Times New Roman" w:cs="Times New Roman" w:hAnsi="Times New Roman"/>
          <w:b/>
          <w:i/>
        </w:rPr>
        <w:t xml:space="preserve">{date_now}</w:t>
      </w:r>
    </w:p>
    <w:p>
      <w:pPr>
        <w:pStyle w:val="_Normal"/>
        <w:jc w:val="center"/>
        <w:spacing w:after="120"/>
        <w:spacing w:before="0"/>
      </w:pPr>
      <w:r>
        <w:rPr>
          <w:lang w:val="en-US"/>
          <w:rFonts w:ascii="Times New Roman" w:cs="Times New Roman" w:hAnsi="Times New Roman"/>
          <w:b/>
          <w:u w:val="single"/>
        </w:rPr>
        <w:t xml:space="preserve">{issuer_full_name}</w:t>
      </w:r>
    </w:p>
    <w:p>
      <w:pPr>
        <w:pStyle w:val="_Normal"/>
        <w:jc w:val="center"/>
        <w:spacing w:after="120"/>
        <w:spacing w:before="0"/>
      </w:pPr>
      <w:r>
        <w:rPr>
          <w:rFonts w:ascii="Times New Roman" w:cs="Times New Roman" w:hAnsi="Times New Roman"/>
          <w:i/>
        </w:rPr>
        <w:t xml:space="preserve">(Форма собственности, наименование Клиента/ ФИО ИП)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ИНН: </w:t>
      </w:r>
      <w:r>
        <w:rPr>
          <w:rFonts w:ascii="Times New Roman" w:cs="Times New Roman" w:hAnsi="Times New Roman"/>
          <w:u w:val="single"/>
        </w:rPr>
        <w:t xml:space="preserve">{issuer_inn}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ОКТМО: </w:t>
      </w:r>
      <w:r>
        <w:rPr>
          <w:rFonts w:ascii="Times New Roman" w:cs="Times New Roman" w:hAnsi="Times New Roman"/>
          <w:u w:val="single"/>
        </w:rPr>
        <w:t xml:space="preserve">{issuer_oktmo}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Единоличный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исполнительный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орган</w:t>
      </w:r>
      <w:r>
        <w:rPr>
          <w:lang w:val="en-US"/>
          <w:rFonts w:ascii="Times New Roman" w:cs="Times New Roman" w:hAnsi="Times New Roman"/>
        </w:rPr>
        <w:t xml:space="preserve">: </w:t>
      </w:r>
      <w:r>
        <w:rPr>
          <w:lang w:val="en-US"/>
          <w:rFonts w:ascii="Times New Roman" w:cs="Times New Roman" w:hAnsi="Times New Roman"/>
          <w:u w:val="single"/>
        </w:rPr>
        <w:t xml:space="preserve">{issuer_head_org_position_and_permissions} {issuer_head_first_name} {issuer_head_middle_name} {issuer_head_last_name}</w:t>
      </w:r>
    </w:p>
    <w:p>
      <w:pPr>
        <w:pStyle w:val="_Normal"/>
        <w:spacing w:after="0"/>
        <w:spacing w:before="0"/>
      </w:pP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  <w:b/>
        </w:rPr>
        <w:t xml:space="preserve">ПАРАМЕТРЫ ЗАПРАШИВАЕМОЙ БАНКОВСКОЙ ГАРАНТИИ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  <w:b/>
        </w:rPr>
        <w:t xml:space="preserve">Название продукта </w:t>
      </w:r>
      <w:r>
        <w:rPr>
          <w:rFonts w:ascii="Times New Roman" w:cs="Times New Roman" w:hAnsi="Times New Roman"/>
          <w:b/>
          <w:u w:val="single"/>
        </w:rPr>
        <w:t xml:space="preserve">Стандарт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Реестровый номер конкурса/аукциона (</w:t>
      </w:r>
      <w:r>
        <w:rPr>
          <w:lang w:val="en-US"/>
          <w:rFonts w:ascii="Times New Roman" w:cs="Times New Roman" w:hAnsi="Times New Roman"/>
        </w:rPr>
        <w:t xml:space="preserve">zakupki</w:t>
      </w:r>
      <w:r>
        <w:rPr>
          <w:rFonts w:ascii="Times New Roman" w:cs="Times New Roman" w:hAnsi="Times New Roman"/>
        </w:rPr>
        <w:t xml:space="preserve">.</w:t>
      </w:r>
      <w:r>
        <w:rPr>
          <w:lang w:val="en-US"/>
          <w:rFonts w:ascii="Times New Roman" w:cs="Times New Roman" w:hAnsi="Times New Roman"/>
        </w:rPr>
        <w:t xml:space="preserve">gov</w:t>
      </w:r>
      <w:r>
        <w:rPr>
          <w:rFonts w:ascii="Times New Roman" w:cs="Times New Roman" w:hAnsi="Times New Roman"/>
        </w:rPr>
        <w:t xml:space="preserve">.</w:t>
      </w:r>
      <w:r>
        <w:rPr>
          <w:lang w:val="en-US"/>
          <w:rFonts w:ascii="Times New Roman" w:cs="Times New Roman" w:hAnsi="Times New Roman"/>
        </w:rPr>
        <w:t xml:space="preserve">ru</w:t>
      </w:r>
      <w:r>
        <w:rPr>
          <w:rFonts w:ascii="Times New Roman" w:cs="Times New Roman" w:hAnsi="Times New Roman"/>
        </w:rPr>
        <w:t xml:space="preserve">) </w:t>
      </w:r>
      <w:r>
        <w:rPr>
          <w:rFonts w:ascii="Times New Roman" w:cs="Times New Roman" w:hAnsi="Times New Roman"/>
          <w:u w:val="single"/>
        </w:rPr>
        <w:t xml:space="preserve">{</w:t>
      </w:r>
      <w:r>
        <w:rPr>
          <w:lang w:val="en-US"/>
          <w:rFonts w:ascii="Times New Roman" w:cs="Times New Roman" w:hAnsi="Times New Roman"/>
          <w:u w:val="single"/>
        </w:rPr>
        <w:t xml:space="preserve">tender</w:t>
      </w:r>
      <w:r>
        <w:rPr>
          <w:rFonts w:ascii="Times New Roman" w:cs="Times New Roman" w:hAnsi="Times New Roman"/>
          <w:u w:val="single"/>
        </w:rPr>
        <w:t xml:space="preserve">_</w:t>
      </w:r>
      <w:r>
        <w:rPr>
          <w:lang w:val="en-US"/>
          <w:rFonts w:ascii="Times New Roman" w:cs="Times New Roman" w:hAnsi="Times New Roman"/>
          <w:u w:val="single"/>
        </w:rPr>
        <w:t xml:space="preserve">gos</w:t>
      </w:r>
      <w:r>
        <w:rPr>
          <w:rFonts w:ascii="Times New Roman" w:cs="Times New Roman" w:hAnsi="Times New Roman"/>
          <w:u w:val="single"/>
        </w:rPr>
        <w:t xml:space="preserve">_</w:t>
      </w:r>
      <w:r>
        <w:rPr>
          <w:lang w:val="en-US"/>
          <w:rFonts w:ascii="Times New Roman" w:cs="Times New Roman" w:hAnsi="Times New Roman"/>
          <w:u w:val="single"/>
        </w:rPr>
        <w:t xml:space="preserve">number</w:t>
      </w:r>
      <w:r>
        <w:rPr>
          <w:rFonts w:ascii="Times New Roman" w:cs="Times New Roman" w:hAnsi="Times New Roman"/>
          <w:u w:val="single"/>
        </w:rPr>
        <w:t xml:space="preserve">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Сумма Гарантии </w:t>
      </w:r>
      <w:r>
        <w:rPr>
          <w:rFonts w:ascii="Times New Roman" w:cs="Times New Roman" w:hAnsi="Times New Roman"/>
          <w:u w:val="single"/>
        </w:rPr>
        <w:t xml:space="preserve">{</w:t>
      </w:r>
      <w:r>
        <w:rPr>
          <w:lang w:val="en-US"/>
          <w:rFonts w:ascii="Times New Roman" w:cs="Times New Roman" w:hAnsi="Times New Roman"/>
          <w:u w:val="single"/>
        </w:rPr>
        <w:t xml:space="preserve">bg</w:t>
      </w:r>
      <w:r>
        <w:rPr>
          <w:rFonts w:ascii="Times New Roman" w:cs="Times New Roman" w:hAnsi="Times New Roman"/>
          <w:u w:val="single"/>
        </w:rPr>
        <w:t xml:space="preserve">_</w:t>
      </w:r>
      <w:r>
        <w:rPr>
          <w:lang w:val="en-US"/>
          <w:rFonts w:ascii="Times New Roman" w:cs="Times New Roman" w:hAnsi="Times New Roman"/>
          <w:u w:val="single"/>
        </w:rPr>
        <w:t xml:space="preserve">sum</w:t>
      </w:r>
      <w:r>
        <w:rPr>
          <w:rFonts w:ascii="Times New Roman" w:cs="Times New Roman" w:hAnsi="Times New Roman"/>
          <w:u w:val="single"/>
        </w:rPr>
        <w:t xml:space="preserve">}</w:t>
      </w: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</w:rPr>
        <w:t xml:space="preserve">Срок Гарантии </w:t>
      </w:r>
      <w:r>
        <w:rPr>
          <w:rFonts w:ascii="Times New Roman" w:cs="Times New Roman" w:hAnsi="Times New Roman"/>
          <w:u w:val="single"/>
        </w:rPr>
        <w:t xml:space="preserve">до </w:t>
      </w:r>
      <w:r>
        <w:rPr>
          <w:lang w:val="en-US"/>
          <w:rFonts w:ascii="Times New Roman" w:cs="Times New Roman" w:hAnsi="Times New Roman"/>
          <w:u w:val="single"/>
        </w:rPr>
        <w:t xml:space="preserve">{issue.humanized_bg_end_date}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  <w:i/>
          <w:sz w:val="18"/>
        </w:rPr>
        <w:t xml:space="preserve">(указывается только </w:t>
      </w:r>
      <w:r>
        <w:rPr>
          <w:rFonts w:ascii="Times New Roman" w:cs="Times New Roman" w:hAnsi="Times New Roman"/>
          <w:i/>
          <w:sz w:val="18"/>
          <w:u w:val="single"/>
        </w:rPr>
        <w:t xml:space="preserve">до какой даты</w:t>
      </w:r>
      <w:r>
        <w:rPr>
          <w:rFonts w:ascii="Times New Roman" w:cs="Times New Roman" w:hAnsi="Times New Roman"/>
          <w:i/>
          <w:sz w:val="18"/>
        </w:rPr>
        <w:t xml:space="preserve"> гарантия действует, например, «до 15.04.2015г., включительно»)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Вид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Гарантии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lang w:val="en-US"/>
          <w:rFonts w:ascii="Times New Roman" w:cs="Times New Roman" w:hAnsi="Times New Roman"/>
          <w:u w:val="single"/>
        </w:rPr>
        <w:t xml:space="preserve">{issue.humanized_bg_type}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Необходимость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оформления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Гарантии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по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форме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Бенефициара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lang w:val="en-US"/>
          <w:rFonts w:ascii="Times New Roman" w:cs="Times New Roman" w:hAnsi="Times New Roman"/>
          <w:u w:val="single"/>
        </w:rPr>
        <w:t xml:space="preserve">{issue.humanized_bg_is_benefe</w:t>
      </w:r>
      <w:bookmarkStart w:id="93" w:name="_GoBack"/>
      <w:bookmarkEnd w:id="93"/>
      <w:r>
        <w:rPr>
          <w:lang w:val="en-US"/>
          <w:rFonts w:ascii="Times New Roman" w:cs="Times New Roman" w:hAnsi="Times New Roman"/>
          <w:u w:val="single"/>
        </w:rPr>
        <w:t xml:space="preserve">ciary_form}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Наличие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в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контракте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rFonts w:ascii="Times New Roman" w:cs="Times New Roman" w:hAnsi="Times New Roman"/>
        </w:rPr>
        <w:t xml:space="preserve">аванса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lang w:val="en-US"/>
          <w:rFonts w:ascii="Times New Roman" w:cs="Times New Roman" w:hAnsi="Times New Roman"/>
          <w:u w:val="single"/>
        </w:rPr>
        <w:t xml:space="preserve">{issue.humanized_tender_has_prepayment}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Наличие требование Бенефициара о наличии в Гарантии права на бесспорное списание </w:t>
      </w:r>
      <w:r>
        <w:rPr>
          <w:rFonts w:ascii="Times New Roman" w:cs="Times New Roman" w:hAnsi="Times New Roman"/>
          <w:u w:val="single"/>
        </w:rPr>
        <w:t xml:space="preserve">{</w:t>
      </w:r>
      <w:r>
        <w:rPr>
          <w:lang w:val="en-US"/>
          <w:rFonts w:ascii="Times New Roman" w:cs="Times New Roman" w:hAnsi="Times New Roman"/>
          <w:u w:val="single"/>
        </w:rPr>
        <w:t xml:space="preserve">issue</w:t>
      </w:r>
      <w:r>
        <w:rPr>
          <w:rFonts w:ascii="Times New Roman" w:cs="Times New Roman" w:hAnsi="Times New Roman"/>
          <w:u w:val="single"/>
        </w:rPr>
        <w:t xml:space="preserve">.humanized_is_indisputable_charge_off}</w:t>
      </w: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</w:rPr>
        <w:t xml:space="preserve">Бенефициар</w:t>
      </w:r>
      <w:r>
        <w:rPr>
          <w:lang w:val="en-US"/>
          <w:rFonts w:ascii="Times New Roman" w:cs="Times New Roman" w:hAnsi="Times New Roman"/>
        </w:rPr>
        <w:t xml:space="preserve"> </w:t>
      </w:r>
      <w:r>
        <w:rPr>
          <w:lang w:val="en-US"/>
          <w:rFonts w:ascii="Times New Roman" w:cs="Times New Roman" w:hAnsi="Times New Roman"/>
          <w:u w:val="single"/>
        </w:rPr>
        <w:t xml:space="preserve">{issue.tender_responsible_full_name} </w:t>
      </w:r>
    </w:p>
    <w:p>
      <w:pPr>
        <w:pStyle w:val="_Normal"/>
        <w:spacing w:after="0"/>
        <w:spacing w:before="0"/>
      </w:pPr>
      <w:r>
        <w:rPr>
          <w:lang w:val="en-US"/>
          <w:rFonts w:ascii="Times New Roman" w:cs="Times New Roman" w:hAnsi="Times New Roman"/>
          <w:u w:val="single"/>
        </w:rPr>
        <w:t xml:space="preserve"> {issue.tender_responsible_inn} </w:t>
      </w:r>
    </w:p>
    <w:p>
      <w:pPr>
        <w:pStyle w:val="_Normal"/>
        <w:spacing w:after="0"/>
        <w:spacing w:before="0"/>
      </w:pPr>
      <w:r>
        <w:rPr>
          <w:lang w:val="en-US"/>
          <w:rFonts w:ascii="Times New Roman" w:cs="Times New Roman" w:hAnsi="Times New Roman"/>
          <w:u w:val="single"/>
        </w:rPr>
        <w:t xml:space="preserve"> {issue.tender_responsible_legal_address}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  <w:i/>
          <w:sz w:val="18"/>
        </w:rPr>
        <w:t xml:space="preserve">(наименование, ИНН, юридический адрес)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Предмет контракта </w:t>
      </w:r>
      <w:r>
        <w:rPr>
          <w:rFonts w:ascii="Times New Roman" w:cs="Times New Roman" w:hAnsi="Times New Roman"/>
          <w:u w:val="single"/>
        </w:rPr>
        <w:t xml:space="preserve">{tender_contract_subject}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Начальная цена Контракта </w:t>
      </w:r>
      <w:r>
        <w:rPr>
          <w:rFonts w:ascii="Times New Roman" w:cs="Times New Roman" w:hAnsi="Times New Roman"/>
          <w:u w:val="single"/>
        </w:rPr>
        <w:t xml:space="preserve">{issue.tender_start_cost}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Сумма Контракта </w:t>
      </w:r>
      <w:r>
        <w:rPr>
          <w:rFonts w:ascii="Times New Roman" w:cs="Times New Roman" w:hAnsi="Times New Roman"/>
          <w:u w:val="single"/>
        </w:rPr>
        <w:t xml:space="preserve">{issue.humanized_custom_tender_contract_sum}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Процент снижения цены Контракта в ходе торгов </w:t>
      </w:r>
      <w:r>
        <w:rPr>
          <w:rFonts w:ascii="Times New Roman" w:cs="Times New Roman" w:hAnsi="Times New Roman"/>
          <w:u w:val="single"/>
        </w:rPr>
        <w:t xml:space="preserve">{issue.humanized_custom_tender_cost_reduction}</w:t>
      </w: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</w:rPr>
        <w:t xml:space="preserve">Сумма вознаграждения (комиссии) </w:t>
      </w:r>
      <w:r>
        <w:rPr>
          <w:rFonts w:ascii="Times New Roman" w:cs="Times New Roman" w:hAnsi="Times New Roman"/>
          <w:u w:val="single"/>
        </w:rPr>
        <w:t xml:space="preserve">{issue.</w:t>
      </w:r>
      <w:r>
        <w:rPr>
          <w:rFonts w:ascii="Times New Roman" w:cs="Times New Roman" w:hAnsi="Times New Roman"/>
          <w:u w:val="single"/>
        </w:rPr>
        <w:t xml:space="preserve">auto_</w:t>
      </w:r>
      <w:r>
        <w:rPr>
          <w:rFonts w:ascii="Times New Roman" w:cs="Times New Roman" w:hAnsi="Times New Roman"/>
          <w:u w:val="single"/>
        </w:rPr>
        <w:t xml:space="preserve">bank_commission} руб.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  <w:i/>
          <w:sz w:val="18"/>
        </w:rPr>
        <w:t xml:space="preserve">(Данные сверяются с журналом заявок, в случае индивидуальной комиссии, добавляется фраза «(индивидуальная комиссия)»)</w:t>
      </w:r>
    </w:p>
    <w:p>
      <w:pPr>
        <w:pStyle w:val="_Normal"/>
        <w:spacing w:after="120"/>
        <w:spacing w:before="0"/>
      </w:pPr>
      <w:r>
        <w:rPr>
          <w:rFonts w:ascii="Times New Roman" w:cs="Times New Roman" w:hAnsi="Times New Roman"/>
        </w:rPr>
        <w:t xml:space="preserve">{issue.humanized_custom_if_need_additionally_contract_guarantee_issue_with_cost}</w:t>
      </w:r>
    </w:p>
    <w:p>
      <w:pPr>
        <w:pStyle w:val="_Normal"/>
        <w:jc w:val="both"/>
        <w:spacing w:after="0"/>
        <w:spacing w:before="0"/>
      </w:pPr>
      <w:r>
        <w:rPr>
          <w:rFonts w:ascii="Times New Roman" w:cs="Times New Roman" w:hAnsi="Times New Roman"/>
          <w:i/>
          <w:sz w:val="20"/>
        </w:rPr>
        <w:t xml:space="preserve">Добавляется в случае необходимости выдачи нескольких гарантий:</w:t>
      </w:r>
    </w:p>
    <w:p>
      <w:pPr>
        <w:pStyle w:val="_Normal"/>
        <w:ind w:hanging="0"/>
        <w:ind w:right="283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Итоговая сумма гарантий:________________________________________________________</w:t>
      </w:r>
    </w:p>
    <w:p>
      <w:pPr>
        <w:pStyle w:val="_Normal"/>
        <w:ind w:hanging="0"/>
        <w:ind w:right="283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ОСНОВНЫЕ ФИНАНСОВЫЕ ПОКАЗАТЕЛИ КЛИЕНТА (</w:t>
      </w:r>
      <w:r>
        <w:rPr>
          <w:rFonts w:ascii="Times New Roman" w:cs="Times New Roman" w:hAnsi="Times New Roman"/>
          <w:b/>
          <w:i/>
        </w:rPr>
        <w:t xml:space="preserve">указываются периоды предоставленной отчетности, например, 2016г./3 кв. 2017г.)</w:t>
      </w:r>
    </w:p>
    <w:p>
      <w:pPr>
        <w:pStyle w:val="_Normal"/>
        <w:spacing w:after="0"/>
        <w:spacing w:before="0"/>
      </w:pPr>
    </w:p>
    <w:tbl>
      <w:tblGrid>
        <w:gridCol w:w="5723"/>
        <w:gridCol w:w="1188"/>
        <w:gridCol w:w="1201"/>
        <w:gridCol w:w="1187"/>
      </w:tblGrid>
      <w:tblPr>
        <w:tblBorders>
          <w:left w:val="single" w:color="00000a" w:sz="4"/>
          <w:right w:val="single"/>
          <w:top w:val="single" w:color="00000a" w:sz="4"/>
          <w:bottom w:val="single" w:color="00000a" w:sz="4"/>
        </w:tblBorders>
      </w:tblPr>
      <w:tr>
        <w:trPr/>
        <w:tc>
          <w:tcPr>
            <w:tcW w:w="5723" w:type="dxa"/>
            <w:tcBorders>
              <w:left w:val="single" w:color="00000a" w:sz="4"/>
              <w:right w:val="single" w:color="ffffff"/>
              <w:top w:val="single" w:color="00000a" w:sz="4"/>
              <w:bottom w:val="single" w:color="00000a" w:sz="4"/>
            </w:tcBorders>
            <w:gridSpan w:val="2"/>
          </w:tcPr>
          <w:p>
            <w:pPr>
              <w:pStyle w:val="_Normal"/>
              <w:jc w:val="both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Валюта баланса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{balance_code_1600_offset_1}</w:t>
            </w:r>
          </w:p>
        </w:tc>
        <w:tc>
          <w:tcPr>
            <w:tcW w:w="1187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{balance_code_1600_offset_0}</w:t>
            </w:r>
          </w:p>
        </w:tc>
      </w:tr>
      <w:tr>
        <w:trPr/>
        <w:tc>
          <w:tcPr>
            <w:tcW w:w="5723" w:type="dxa"/>
            <w:tcBorders>
              <w:left w:val="single" w:color="00000a" w:sz="4"/>
              <w:right w:val="single" w:color="ffffff"/>
              <w:top w:val="single" w:color="00000a" w:sz="4"/>
              <w:bottom w:val="single" w:color="00000a" w:sz="4"/>
            </w:tcBorders>
            <w:gridSpan w:val="2"/>
          </w:tcPr>
          <w:p>
            <w:pPr>
              <w:pStyle w:val="_Normal"/>
              <w:jc w:val="both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Чистые активы за Последний завершенный год/ за последний отчетный период *</w:t>
            </w:r>
          </w:p>
        </w:tc>
        <w:tc>
          <w:tcPr>
            <w:tcW w:w="12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{balance_code_1300_offset_1}</w:t>
            </w:r>
          </w:p>
        </w:tc>
        <w:tc>
          <w:tcPr>
            <w:tcW w:w="1187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{balance_code_1300_offset_0}</w:t>
            </w:r>
          </w:p>
        </w:tc>
      </w:tr>
      <w:tr>
        <w:trPr/>
        <w:tc>
          <w:tcPr>
            <w:tcW w:w="572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both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Выручка за Предыдущий завершенный год/ за Последний завершенный год/ за последний отчетный период</w:t>
            </w:r>
          </w:p>
        </w:tc>
        <w:tc>
          <w:tcPr>
            <w:tcW w:w="1188" w:type="dxa"/>
            <w:tcBorders>
              <w:left w:val="single" w:color="00000a" w:sz="4"/>
              <w:right w:val="single" w:color="ffffff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{balance_code_2110_offset_2}</w:t>
            </w:r>
          </w:p>
        </w:tc>
        <w:tc>
          <w:tcPr>
            <w:tcW w:w="12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{balance_code_2110_offset_1}</w:t>
            </w:r>
          </w:p>
        </w:tc>
        <w:tc>
          <w:tcPr>
            <w:tcW w:w="1187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{balance_code_2110_offset_0}</w:t>
            </w:r>
          </w:p>
        </w:tc>
      </w:tr>
      <w:tr>
        <w:trPr/>
        <w:tc>
          <w:tcPr>
            <w:tcW w:w="5723" w:type="dxa"/>
            <w:tcBorders>
              <w:left w:val="single" w:color="00000a" w:sz="4"/>
              <w:right w:val="single" w:color="ffffff"/>
              <w:top w:val="single" w:color="00000a" w:sz="4"/>
              <w:bottom w:val="single" w:color="00000a" w:sz="4"/>
            </w:tcBorders>
            <w:gridSpan w:val="2"/>
          </w:tcPr>
          <w:p>
            <w:pPr>
              <w:pStyle w:val="_Normal"/>
              <w:jc w:val="both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Прибыль за Последний завершенный год/ за последний отчетный период</w:t>
            </w:r>
          </w:p>
        </w:tc>
        <w:tc>
          <w:tcPr>
            <w:tcW w:w="120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{balance_code_2400_offset_1}</w:t>
            </w:r>
          </w:p>
        </w:tc>
        <w:tc>
          <w:tcPr>
            <w:tcW w:w="1187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{balance_code_2400_offset_0}</w:t>
            </w:r>
          </w:p>
        </w:tc>
      </w:tr>
    </w:tbl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i/>
          <w:sz w:val="20"/>
        </w:rPr>
        <w:t xml:space="preserve">* заполняется только для юр. лиц, предоставляющих отчетность в ИФНС по форме № 1 и форме  № 2.</w:t>
      </w:r>
    </w:p>
    <w:p>
      <w:pPr>
        <w:pStyle w:val="_Normal"/>
        <w:spacing w:after="0"/>
        <w:spacing w:before="0"/>
      </w:pPr>
    </w:p>
    <w:tbl>
      <w:tblGrid>
        <w:gridCol w:w="530"/>
        <w:gridCol w:w="6714"/>
        <w:gridCol w:w="13"/>
        <w:gridCol w:w="2124"/>
      </w:tblGrid>
      <w:tblPr>
        <w:tblBorders>
          <w:left w:val="single"/>
          <w:right w:val="single"/>
          <w:top w:val="single"/>
          <w:bottom w:val="single"/>
        </w:tblBorders>
      </w:tblPr>
      <w:tr>
        <w:trPr>
          <w:trHeight w:val="270" w:hRule="exact"/>
        </w:trPr>
        <w:tc>
          <w:tcPr>
            <w:tcW w:w="530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</w:p>
        </w:tc>
        <w:tc>
          <w:tcPr>
            <w:tcW w:w="6714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  <w:gridSpan w:val="3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24"/>
                <w:color w:val="000000"/>
              </w:rPr>
              <w:t xml:space="preserve">Скорринг карта (Андеррайтинг)</w:t>
            </w:r>
          </w:p>
        </w:tc>
      </w:tr>
      <w:tr>
        <w:trPr>
          <w:trHeight w:val="270" w:hRule="exact"/>
        </w:trPr>
        <w:tc>
          <w:tcPr>
            <w:tcW w:w="530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</w:p>
        </w:tc>
        <w:tc>
          <w:tcPr>
            <w:tcW w:w="6714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  <w:gridSpan w:val="3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24"/>
                <w:color w:val="000000"/>
              </w:rPr>
              <w:t xml:space="preserve">Сумма БГ до 1 500 000 руб.</w:t>
            </w:r>
          </w:p>
        </w:tc>
      </w:tr>
      <w:tr>
        <w:trPr>
          <w:trHeight w:val="375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№ п/п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Наименование показателя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Соответствие</w:t>
            </w:r>
          </w:p>
        </w:tc>
      </w:tr>
      <w:tr>
        <w:trPr>
          <w:trHeight w:val="330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1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Дата регистрации Клиента более 6 мес.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{issue.humanized_is_org_registered_more_than_6_months_ago}</w:t>
            </w:r>
          </w:p>
        </w:tc>
      </w:tr>
      <w:tr>
        <w:trPr>
          <w:trHeight w:val="495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2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Лимит на Принципала (группу взаимосвязанных Заемщиков) ВСЕХ обязательств Банка менее 18 000 000 руб.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{issue.humanized_is_issuer_all_bank_liabilities_less_than_max}</w:t>
            </w:r>
          </w:p>
        </w:tc>
      </w:tr>
      <w:tr>
        <w:trPr>
          <w:trHeight w:val="480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3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Клиент исполнил не менее 1 контракта в рамках законов № 94-ФЗ, 44-ФЗ, 223-ФЗ, 185-ФЗ (615 ПП). 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{issue.humanized_is_issuer_executed_contracts_on_44_or_223_or_185_fz}</w:t>
            </w:r>
          </w:p>
        </w:tc>
      </w:tr>
      <w:tr>
        <w:trPr>
          <w:trHeight w:val="315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4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Наличие исполненного  государственного контракта за последние 3  года.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{issue.humanized_is_issuer_executed_goverment_contract_for_last_3_years}</w:t>
            </w:r>
          </w:p>
        </w:tc>
      </w:tr>
      <w:tr>
        <w:trPr>
          <w:trHeight w:val="315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5</w:t>
            </w:r>
          </w:p>
        </w:tc>
        <w:tc>
          <w:tcPr>
            <w:tcW w:w="6714" w:type="dxa"/>
            <w:shd w:fill="d8d8d8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  <w:shd w:fill="d8d8d8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  <w:shd w:fill="d8d8d8"/>
              </w:rPr>
              <w:t xml:space="preserve">При выдачи БГ по контракту предусматривающей выплату аванса:</w:t>
            </w:r>
          </w:p>
        </w:tc>
        <w:tc>
          <w:tcPr>
            <w:tcW w:w="13" w:type="dxa"/>
            <w:shd w:fill="d8d8d8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shd w:fill="d8d8d8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{issue.humanized_tender_has_prepayment}</w:t>
            </w:r>
          </w:p>
        </w:tc>
      </w:tr>
      <w:tr>
        <w:trPr>
          <w:trHeight w:val="435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5,1</w:t>
            </w:r>
          </w:p>
        </w:tc>
        <w:tc>
          <w:tcPr>
            <w:tcW w:w="6714" w:type="dxa"/>
            <w:shd w:fill="d8d8d8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right"/>
              <w:spacing w:after="0"/>
              <w:spacing w:before="0"/>
              <w:spacing w:line="240" w:lineRule="auto"/>
              <w:shd w:fill="d8d8d8"/>
            </w:pPr>
            <w:r>
              <w:rPr>
                <w:lang w:val="ru-RU"/>
                <w:rFonts w:ascii="Times New Roman" w:cs="Times New Roman" w:hAnsi="Times New Roman"/>
                <w:sz w:val="16"/>
                <w:color w:val="000000"/>
                <w:shd w:fill="d8d8d8"/>
              </w:rPr>
              <w:t xml:space="preserve">Клиент исполнял контракты с авансами сопоставимого или большего размера (допустимое отклонение в меньшую сторону не более 50 % включительно).</w:t>
            </w:r>
          </w:p>
        </w:tc>
        <w:tc>
          <w:tcPr>
            <w:tcW w:w="13" w:type="dxa"/>
            <w:shd w:fill="d8d8d8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shd w:fill="d8d8d8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{issue.</w:t>
            </w:r>
            <w:bookmarkStart w:id="280" w:name="__DdeLink__17242_1582496076"/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humanized_is_issuer_executed_contracts_with_comparable_advances</w:t>
            </w:r>
            <w:bookmarkEnd w:id="280"/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}</w:t>
            </w:r>
          </w:p>
        </w:tc>
      </w:tr>
      <w:tr>
        <w:trPr>
          <w:trHeight w:val="480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5,2</w:t>
            </w:r>
          </w:p>
        </w:tc>
        <w:tc>
          <w:tcPr>
            <w:tcW w:w="6714" w:type="dxa"/>
            <w:shd w:fill="d8d8d8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right"/>
              <w:spacing w:after="0"/>
              <w:spacing w:before="0"/>
              <w:spacing w:line="240" w:lineRule="auto"/>
              <w:shd w:fill="d8d8d8"/>
            </w:pPr>
            <w:r>
              <w:rPr>
                <w:lang w:val="ru-RU"/>
                <w:rFonts w:ascii="Times New Roman" w:cs="Times New Roman" w:hAnsi="Times New Roman"/>
                <w:sz w:val="16"/>
                <w:color w:val="000000"/>
                <w:shd w:fill="d8d8d8"/>
              </w:rPr>
              <w:t xml:space="preserve">Факт исполнения не менее 5 контрактов, заключенных в рамках законов № 44-ФЗ (включая № 94-ФЗ), 223-ФЗ, 185-ФЗ (615 ПП); </w:t>
            </w:r>
          </w:p>
        </w:tc>
        <w:tc>
          <w:tcPr>
            <w:tcW w:w="13" w:type="dxa"/>
            <w:shd w:fill="d8d8d8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shd w:fill="d8d8d8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{issue.</w:t>
            </w:r>
            <w:bookmarkStart w:id="293" w:name="__DdeLink__17244_1582496076"/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humanized_is_issuer_executed_gte_5_contracts_on_44_or_223_or_185_fz</w:t>
            </w:r>
            <w:bookmarkEnd w:id="293"/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}</w:t>
            </w:r>
          </w:p>
        </w:tc>
      </w:tr>
      <w:tr>
        <w:trPr>
          <w:trHeight w:val="480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5,3</w:t>
            </w:r>
          </w:p>
        </w:tc>
        <w:tc>
          <w:tcPr>
            <w:tcW w:w="6714" w:type="dxa"/>
            <w:shd w:fill="d8d8d8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right"/>
              <w:spacing w:after="0"/>
              <w:spacing w:before="0"/>
              <w:spacing w:line="240" w:lineRule="auto"/>
              <w:shd w:fill="d8d8d8"/>
            </w:pPr>
            <w:r>
              <w:rPr>
                <w:lang w:val="ru-RU"/>
                <w:rFonts w:ascii="Times New Roman" w:cs="Times New Roman" w:hAnsi="Times New Roman"/>
                <w:sz w:val="16"/>
                <w:color w:val="000000"/>
                <w:shd w:fill="d8d8d8"/>
              </w:rPr>
              <w:t xml:space="preserve">Выручка Клиента за последний завершенный год не менее, чем в 5 раз превышает сумму запрашиваемой и действующих в Банке гарантий</w:t>
            </w:r>
          </w:p>
        </w:tc>
        <w:tc>
          <w:tcPr>
            <w:tcW w:w="13" w:type="dxa"/>
            <w:shd w:fill="d8d8d8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shd w:fill="d8d8d8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{issue.</w:t>
            </w:r>
            <w:bookmarkStart w:id="306" w:name="__DdeLink__17246_1582496076"/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humanized_is_issuer_last_year_revenue_higher_in_5_times_than_all_bank_bgs</w:t>
            </w:r>
            <w:bookmarkEnd w:id="306"/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}</w:t>
            </w:r>
          </w:p>
        </w:tc>
      </w:tr>
      <w:tr>
        <w:trPr>
          <w:trHeight w:val="525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5,4</w:t>
            </w:r>
          </w:p>
        </w:tc>
        <w:tc>
          <w:tcPr>
            <w:tcW w:w="6714" w:type="dxa"/>
            <w:shd w:fill="d8d8d8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right"/>
              <w:spacing w:after="0"/>
              <w:spacing w:before="0"/>
              <w:spacing w:line="240" w:lineRule="auto"/>
              <w:shd w:fill="d8d8d8"/>
            </w:pPr>
            <w:r>
              <w:rPr>
                <w:lang w:val="ru-RU"/>
                <w:rFonts w:ascii="Times New Roman" w:cs="Times New Roman" w:hAnsi="Times New Roman"/>
                <w:sz w:val="16"/>
                <w:color w:val="000000"/>
                <w:shd w:fill="d8d8d8"/>
              </w:rPr>
              <w:t xml:space="preserve">Наличие Поручителя юридического лица удовлетворяющим одному из условий пп. 5.1, 5.2, 5.3.</w:t>
            </w:r>
          </w:p>
        </w:tc>
        <w:tc>
          <w:tcPr>
            <w:tcW w:w="13" w:type="dxa"/>
            <w:shd w:fill="d8d8d8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shd w:fill="d8d8d8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{issue.</w:t>
            </w:r>
            <w:bookmarkStart w:id="319" w:name="__DdeLink__17248_1582496076"/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humanized_is_issuer_has_garantor_for_advance_related_requirements</w:t>
            </w:r>
            <w:bookmarkEnd w:id="319"/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  <w:shd w:fill="d8d8d8"/>
              </w:rPr>
              <w:t xml:space="preserve">}</w:t>
            </w:r>
          </w:p>
        </w:tc>
      </w:tr>
      <w:tr>
        <w:trPr>
          <w:trHeight w:val="705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6</w:t>
            </w:r>
          </w:p>
        </w:tc>
        <w:tc>
          <w:tcPr>
            <w:tcW w:w="6714" w:type="dxa"/>
            <w:shd w:fill="ffffff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  <w:shd w:fill="ffffff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  <w:shd w:fill="ffffff"/>
              </w:rPr>
              <w:t xml:space="preserve">Величина чистых активов за последний завершенный квартал больше уставного капитала </w:t>
            </w:r>
            <w:r>
              <w:rPr>
                <w:lang w:val="ru-RU"/>
                <w:rFonts w:ascii="Times New Roman" w:cs="Times New Roman" w:hAnsi="Times New Roman"/>
                <w:i/>
                <w:sz w:val="18"/>
                <w:color w:val="000000"/>
                <w:shd w:fill="ffffff"/>
              </w:rPr>
              <w:t xml:space="preserve">(только для организаций, предоставивших отчетность по форме № 1 и №2)</w:t>
            </w: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  <w:shd w:fill="ffffff"/>
              </w:rPr>
              <w:t xml:space="preserve">.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{issue.humanized_last_account_period_net_assets_great_than_authorized_capital}</w:t>
            </w:r>
          </w:p>
        </w:tc>
      </w:tr>
      <w:tr>
        <w:trPr>
          <w:trHeight w:val="510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7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Деятельность Клиента в течение Последнего завершенного года являлась прибыльной.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{issue.humanuzed_is_org_activity_for_last_year_was_profilable}</w:t>
            </w:r>
          </w:p>
        </w:tc>
      </w:tr>
      <w:tr>
        <w:trPr>
          <w:trHeight w:val="315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8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Деятельность Клиента за последний отчетный период  является прибыльной.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{issue.humanuzed_is_org_activity_for_last_period_was_profilable}</w:t>
            </w:r>
          </w:p>
        </w:tc>
      </w:tr>
      <w:tr>
        <w:trPr>
          <w:trHeight w:val="315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9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Снижение цены Контракта менее 50% если предмет контракта «Поставка»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{issue.humanized_is_contract_price_reduction_lower_than_50_pct_on_supply_contract}</w:t>
            </w:r>
          </w:p>
        </w:tc>
      </w:tr>
      <w:tr>
        <w:trPr>
          <w:trHeight w:val="570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10</w:t>
            </w:r>
          </w:p>
        </w:tc>
        <w:tc>
          <w:tcPr>
            <w:tcW w:w="6714" w:type="dxa"/>
            <w:shd w:fill="ffffff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  <w:shd w:fill="ffffff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  <w:shd w:fill="ffffff"/>
              </w:rPr>
              <w:t xml:space="preserve">Финансовое положение хорошое </w:t>
            </w:r>
            <w:r>
              <w:rPr>
                <w:lang w:val="ru-RU"/>
                <w:rFonts w:ascii="Times New Roman" w:cs="Times New Roman" w:hAnsi="Times New Roman"/>
                <w:i/>
                <w:sz w:val="18"/>
                <w:color w:val="000000"/>
                <w:shd w:fill="ffffff"/>
              </w:rPr>
              <w:t xml:space="preserve">(Расчет производится согласно Положения о предоставлении банковских гарантий ПАО «БАНК СГБ» в рамках продукта «Экспресс - гарантии).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{issue.humanized_is_client_finance_situation_good}</w:t>
            </w:r>
          </w:p>
        </w:tc>
      </w:tr>
      <w:tr>
        <w:trPr>
          <w:trHeight w:val="315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11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Клиент не находится в регионе, с которым Банк не работает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{issue.humanized_is_issuer_not_in_blacklisted_region}</w:t>
            </w:r>
          </w:p>
        </w:tc>
      </w:tr>
      <w:tr>
        <w:trPr>
          <w:trHeight w:val="315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12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Бенефициар не находится в регионе, с которым Банк не работает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{issue.humanized_is_beneficiary_not_in_blacklisted_region}</w:t>
            </w:r>
          </w:p>
        </w:tc>
      </w:tr>
      <w:tr>
        <w:trPr>
          <w:trHeight w:val="315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13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Наличие положительного Заключения СБ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{issue.humanized_is_positive_security_department_conclusion}</w:t>
            </w:r>
          </w:p>
        </w:tc>
      </w:tr>
      <w:tr>
        <w:trPr>
          <w:trHeight w:val="510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14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Наличие положительного Заключения ПУ (в соответствии с Приказом по проверке ПУ)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{issue.humanized_is_positive_lawyers_department_conclusion}</w:t>
            </w:r>
          </w:p>
        </w:tc>
      </w:tr>
      <w:tr>
        <w:trPr>
          <w:trHeight w:val="960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15*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ffffff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Отсутствие информации об исполнительных производствах Приницпала его Участников на сумму более 20% чистых активов (ЧА) Клиента. </w:t>
            </w:r>
            <w:r>
              <w:rPr>
                <w:lang w:val="ru-RU"/>
                <w:rFonts w:ascii="Times New Roman" w:cs="Times New Roman" w:hAnsi="Times New Roman"/>
                <w:i/>
                <w:sz w:val="18"/>
                <w:color w:val="000000"/>
              </w:rPr>
              <w:t xml:space="preserve">ЧА – сумма 3 раздела Баланса «Капитал и Резервы» на последнюю отчетную дату, за исключением исполнительных производств по госконтрактам.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{issue.humanized_is_absent_info_about_court_acts_for_more_than_20_pct_of_net_assets}</w:t>
            </w:r>
          </w:p>
        </w:tc>
      </w:tr>
      <w:tr>
        <w:trPr>
          <w:trHeight w:val="1170" w:hRule="exact"/>
        </w:trPr>
        <w:tc>
          <w:tcPr>
            <w:tcW w:w="530" w:type="dxa"/>
            <w:tcBorders>
              <w:left w:val="single" w:color="00000a" w:sz="8"/>
              <w:right w:val="single" w:color="00000a" w:sz="8"/>
              <w:top w:val="single" w:color="00000a" w:sz="8"/>
              <w:bottom w:val="single" w:color="00000a" w:sz="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16*</w:t>
            </w:r>
          </w:p>
        </w:tc>
        <w:tc>
          <w:tcPr>
            <w:tcW w:w="6714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ffffff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Отсутствие информации о судебных разбирательствах Клиента в качестве ответчика (за исключением закрытых) на сумму более 30% чистых активов (ЧА) Клиента. </w:t>
            </w:r>
            <w:r>
              <w:rPr>
                <w:lang w:val="ru-RU"/>
                <w:rFonts w:ascii="Times New Roman" w:cs="Times New Roman" w:hAnsi="Times New Roman"/>
                <w:i/>
                <w:sz w:val="18"/>
                <w:color w:val="000000"/>
              </w:rPr>
              <w:t xml:space="preserve">ЧА – сумма 3 раздела Баланса «Капитал и Резервы» на последнюю отчетную дату, за исключением судебных разбирательств в качестве ответчика  по госконтрактам. </w:t>
            </w:r>
          </w:p>
        </w:tc>
        <w:tc>
          <w:tcPr>
            <w:tcW w:w="13" w:type="dxa"/>
            <w:tcBorders>
              <w:left w:val="single" w:color="000001" w:sz="8"/>
              <w:right w:val="single" w:color="000001" w:sz="8"/>
              <w:top w:val="single" w:color="00000a" w:sz="8"/>
              <w:bottom w:val="single" w:color="00000a" w:sz="8"/>
            </w:tcBorders>
            <w:gridSpan w:val="2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{issue.</w:t>
            </w:r>
            <w:bookmarkStart w:id="437" w:name="__DdeLink__20254_1008482545"/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humanized_is_absent_info_about_legal_proceedings_as_defendant_for_more_than_30_pct_of_net_assets</w:t>
            </w:r>
            <w:bookmarkEnd w:id="437"/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a"/>
              </w:rPr>
              <w:t xml:space="preserve">}</w:t>
            </w:r>
          </w:p>
        </w:tc>
      </w:tr>
      <w:tr>
        <w:trPr>
          <w:trHeight w:val="330" w:hRule="exact"/>
        </w:trPr>
        <w:tc>
          <w:tcPr>
            <w:tcW w:w="530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_Normal"/>
              <w:spacing w:after="0"/>
              <w:spacing w:before="0"/>
              <w:spacing w:line="240" w:lineRule="auto"/>
            </w:pPr>
          </w:p>
        </w:tc>
        <w:tc>
          <w:tcPr>
            <w:tcW w:w="6714" w:type="dxa"/>
            <w:tcBorders>
              <w:left w:val="single" w:color="00000a" w:sz="8"/>
              <w:right w:val="single" w:color="000001" w:sz="8"/>
              <w:top w:val="single" w:color="00000a" w:sz="8"/>
              <w:bottom w:val="single" w:color="ffffff"/>
            </w:tcBorders>
            <w:gridSpan w:val="3"/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 </w:t>
            </w:r>
          </w:p>
        </w:tc>
      </w:tr>
      <w:tr>
        <w:trPr>
          <w:trHeight w:val="555" w:hRule="exact"/>
        </w:trPr>
        <w:tc>
          <w:tcPr>
            <w:tcW w:w="530" w:type="dxa"/>
            <w:shd w:fill="d8d8d8"/>
            <w:tcBorders>
              <w:left w:val="single" w:color="d8d8d8"/>
              <w:right w:val="single" w:color="d8d8d8"/>
              <w:top w:val="single" w:color="d8d8d8"/>
              <w:bottom w:val="single" w:color="d8d8d8"/>
            </w:tcBorders>
            <w:gridSpan w:val="3"/>
          </w:tcPr>
          <w:p>
            <w:pPr>
              <w:pStyle w:val="_Normal"/>
              <w:spacing w:after="0"/>
              <w:spacing w:before="0"/>
              <w:spacing w:line="240" w:lineRule="auto"/>
              <w:shd w:fill="d8d8d8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  <w:shd w:fill="d8d8d8"/>
              </w:rPr>
              <w:t xml:space="preserve">Собственно заключение о возможности предоставления банковской гарантии:</w:t>
            </w:r>
          </w:p>
        </w:tc>
        <w:tc>
          <w:tcPr>
            <w:tcW w:w="2124" w:type="dxa"/>
            <w:shd w:fill="d8d8d8"/>
            <w:tcBorders>
              <w:left w:val="single" w:color="d8d8d8"/>
              <w:right w:val="single" w:color="d8d8d8"/>
              <w:top w:val="single" w:color="d8d8d8"/>
              <w:bottom w:val="single" w:color="d8d8d8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shd w:fill="d8d8d8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5b9bd5"/>
                <w:shd w:fill="d8d8d8"/>
              </w:rPr>
              <w:t xml:space="preserve">При наличии всех "ДА" выдача БГ возможна.</w:t>
            </w:r>
          </w:p>
        </w:tc>
      </w:tr>
      <w:tr>
        <w:trPr>
          <w:trHeight w:val="210" w:hRule="exact"/>
        </w:trPr>
        <w:tc>
          <w:tcPr>
            <w:tcW w:w="530" w:type="dxa"/>
            <w:shd w:fill="ffffff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  <w:gridSpan w:val="4"/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shd w:fill="ffffff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  <w:shd w:fill="ffffff"/>
              </w:rPr>
              <w:t xml:space="preserve"> </w:t>
            </w:r>
          </w:p>
        </w:tc>
      </w:tr>
      <w:tr>
        <w:trPr>
          <w:trHeight w:val="345" w:hRule="exact"/>
        </w:trPr>
        <w:tc>
          <w:tcPr>
            <w:tcW w:w="530" w:type="dxa"/>
            <w:tcBorders>
              <w:left w:val="single" w:color="ffffff"/>
              <w:right w:val="single" w:color="ffffff"/>
              <w:top w:val="single" w:color="ffffff"/>
            </w:tcBorders>
            <w:gridSpan w:val="4"/>
            <w:vMerge w:val="restart"/>
          </w:tcPr>
          <w:p>
            <w:pPr>
              <w:pStyle w:val="_Normal"/>
              <w:spacing w:after="0"/>
              <w:spacing w:before="0"/>
              <w:spacing w:line="240" w:lineRule="auto"/>
            </w:pPr>
            <w:r>
              <w:rPr>
                <w:lang w:val="ru-RU"/>
                <w:rFonts w:ascii="Times New Roman" w:cs="Times New Roman" w:hAnsi="Times New Roman"/>
                <w:b/>
                <w:sz w:val="18"/>
                <w:color w:val="000000"/>
              </w:rPr>
              <w:t xml:space="preserve">* - При наличии "НЕТ" по данным пунктам (при условии по всем остальным пунктам "ДА") решение по выдачи БГ перенаправляется на андеррайтера высшего уровня</w:t>
            </w:r>
          </w:p>
        </w:tc>
      </w:tr>
    </w:tbl>
    <w:p>
      <w:pPr>
        <w:pStyle w:val="_Normal"/>
        <w:jc w:val="both"/>
        <w:spacing w:after="0"/>
        <w:spacing w:before="0"/>
      </w:pPr>
    </w:p>
    <w:p>
      <w:pPr>
        <w:pStyle w:val="_Normal"/>
        <w:jc w:val="both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КРЕДИТНЫЙ РЕЙТИНГ КЛИЕНТА</w:t>
      </w:r>
    </w:p>
    <w:tbl>
      <w:tblGrid>
        <w:gridCol w:w="2909"/>
        <w:gridCol w:w="4054"/>
        <w:gridCol w:w="1093"/>
        <w:gridCol w:w="830"/>
      </w:tblGrid>
      <w:tblPr>
        <w:tblBorders>
          <w:left w:val="single" w:color="00000a" w:sz="4"/>
          <w:right w:val="single" w:color="00000a" w:sz="4"/>
          <w:top w:val="single" w:color="00000a" w:sz="4"/>
          <w:bottom w:val="single" w:color="00000a" w:sz="4"/>
        </w:tblBorders>
      </w:tblPr>
      <w:tr>
        <w:trPr>
          <w:trHeight w:val="248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</w:pPr>
            <w:r>
              <w:rPr>
                <w:rFonts w:ascii="Times New Roman" w:cs="Times New Roman" w:hAnsi="Times New Roman"/>
                <w:b/>
              </w:rPr>
              <w:t xml:space="preserve">Показатель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Используемые данные для определения показателя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Полученные значения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Полученный балл</w:t>
            </w:r>
          </w:p>
        </w:tc>
      </w:tr>
      <w:tr>
        <w:trPr>
          <w:trHeight w:val="263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Рентабельность деятельности Клиента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Чистая прибыль за последний ЗГ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  <w:b/>
                <w:shd w:fill="ffff00"/>
              </w:rPr>
              <w:t xml:space="preserve">{balance_code_2400_offset_1}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{issue.scoring_issuer_profitability}</w:t>
            </w:r>
          </w:p>
        </w:tc>
      </w:tr>
      <w:tr>
        <w:trPr>
          <w:trHeight w:val="263" w:hRule="exact"/>
        </w:trPr>
        <w:tc>
          <w:tcPr>
            <w:tcW w:w="2909" w:type="dxa"/>
            <w:tcBorders>
              <w:left w:val="single"/>
              <w:right w:val="single"/>
            </w:tcBorders>
            <w:vMerge w:val="continue"/>
          </w:tcPr>
          <w:p>
            <w:pPr/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Выручка за последний ЗГ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  <w:b/>
                <w:shd w:fill="ffff00"/>
              </w:rPr>
              <w:t xml:space="preserve">{balance_code_2110_offset_1}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bottom w:val="single" w:color="00000a" w:sz="4"/>
            </w:tcBorders>
            <w:vMerge w:val="continue"/>
          </w:tcPr>
          <w:p>
            <w:pPr/>
          </w:p>
        </w:tc>
      </w:tr>
      <w:tr>
        <w:trPr>
          <w:trHeight w:val="263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List Paragraph"/>
              <w:jc w:val="both"/>
              <w:ind w:hanging="0"/>
            </w:pPr>
            <w:r>
              <w:rPr>
                <w:sz w:val="22"/>
              </w:rPr>
              <w:t xml:space="preserve">Сокращение/прирост выручки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Выручка за последний ЗГ 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  <w:b/>
                <w:shd w:fill="ffff00"/>
              </w:rPr>
              <w:t xml:space="preserve">{balance_code_2110_offset_1}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</w:t>
            </w:r>
            <w:bookmarkStart w:id="511" w:name="__DdeLink__4412_4130706824"/>
            <w:r>
              <w:rPr>
                <w:rFonts w:ascii="Times New Roman" w:cs="Times New Roman" w:hAnsi="Times New Roman"/>
              </w:rPr>
              <w:t xml:space="preserve">scoring_revenue_reduction</w:t>
            </w:r>
            <w:bookmarkEnd w:id="511"/>
            <w:r>
              <w:rPr>
                <w:rFonts w:ascii="Times New Roman" w:cs="Times New Roman" w:hAnsi="Times New Roman"/>
              </w:rPr>
              <w:t xml:space="preserve">}</w:t>
            </w:r>
          </w:p>
        </w:tc>
      </w:tr>
      <w:tr>
        <w:trPr>
          <w:trHeight w:val="589" w:hRule="exact"/>
        </w:trPr>
        <w:tc>
          <w:tcPr>
            <w:tcW w:w="2909" w:type="dxa"/>
            <w:tcBorders>
              <w:left w:val="single"/>
              <w:right w:val="single"/>
            </w:tcBorders>
            <w:vMerge w:val="continue"/>
          </w:tcPr>
          <w:p>
            <w:pPr/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Выручка за предыдущий ЗГ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  <w:b/>
                <w:shd w:fill="ffff00"/>
              </w:rPr>
              <w:t xml:space="preserve">{balance_code_2110_offset_2}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bottom w:val="single" w:color="00000a" w:sz="4"/>
            </w:tcBorders>
            <w:vMerge w:val="continue"/>
          </w:tcPr>
          <w:p>
            <w:pPr/>
          </w:p>
        </w:tc>
      </w:tr>
      <w:tr>
        <w:trPr>
          <w:trHeight w:val="263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Текущая прибыль/убыток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Выручка за последний ОП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{balance_code_2110_offset_0}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{issue.scoring_current_profit}</w:t>
            </w:r>
          </w:p>
        </w:tc>
      </w:tr>
      <w:tr>
        <w:trPr>
          <w:trHeight w:val="263" w:hRule="exact"/>
        </w:trPr>
        <w:tc>
          <w:tcPr>
            <w:tcW w:w="2909" w:type="dxa"/>
            <w:tcBorders>
              <w:left w:val="single"/>
              <w:right w:val="single"/>
            </w:tcBorders>
            <w:vMerge w:val="continue"/>
          </w:tcPr>
          <w:p>
            <w:pPr/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Чистая прибыль за последний ОП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{balance_code_2400_offset_0}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bottom w:val="single" w:color="00000a" w:sz="4"/>
            </w:tcBorders>
            <w:vMerge w:val="continue"/>
          </w:tcPr>
          <w:p>
            <w:pPr/>
          </w:p>
        </w:tc>
      </w:tr>
      <w:tr>
        <w:trPr>
          <w:trHeight w:val="397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Обеспеченность собственными средствами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Чистые активы за последний ЗГ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{balance_code_1300_offset_1}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{issue.scoring_own_funds_ensurance}</w:t>
            </w:r>
          </w:p>
        </w:tc>
      </w:tr>
      <w:tr>
        <w:trPr>
          <w:trHeight w:val="491" w:hRule="exact"/>
        </w:trPr>
        <w:tc>
          <w:tcPr>
            <w:tcW w:w="2909" w:type="dxa"/>
            <w:tcBorders>
              <w:left w:val="single"/>
              <w:right w:val="single"/>
            </w:tcBorders>
            <w:vMerge w:val="continue"/>
          </w:tcPr>
          <w:p>
            <w:pPr/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Валюта баланса за последний ЗГ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spacing w:line="240" w:lineRule="auto"/>
              <w:tabs>
                <w:tab w:val="left" w:leader="underscore" w:pos="9923"/>
              </w:tabs>
            </w:pPr>
            <w:r>
              <w:rPr>
                <w:lang w:val="en-US"/>
                <w:rFonts w:ascii="Times New Roman" w:cs="Times New Roman" w:hAnsi="Times New Roman"/>
              </w:rPr>
              <w:t xml:space="preserve">{balance_code_1600_offset_1}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bottom w:val="single" w:color="00000a" w:sz="4"/>
            </w:tcBorders>
            <w:vMerge w:val="continue"/>
          </w:tcPr>
          <w:p>
            <w:pPr/>
          </w:p>
        </w:tc>
      </w:tr>
      <w:tr>
        <w:trPr>
          <w:trHeight w:val="315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Соответствие контракта профильной деятельности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bookmarkStart w:id="567" w:name="__DdeLink__5585_4130706824"/>
            <w:bookmarkEnd w:id="567"/>
            <w:r>
              <w:rPr>
                <w:i/>
                <w:sz w:val="22"/>
              </w:rPr>
              <w:t xml:space="preserve">Контракт соответствует профилю деятельности клиента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20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{issue.humanized_is_contract_corresponds_issuer_activity}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{issue.is_contract_corresponds_issuer_activity}</w:t>
            </w:r>
          </w:p>
        </w:tc>
      </w:tr>
      <w:tr>
        <w:trPr>
          <w:trHeight w:val="406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Количество исполненных контрактов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r>
              <w:rPr>
                <w:i/>
                <w:sz w:val="22"/>
              </w:rPr>
              <w:t xml:space="preserve">Штук</w:t>
            </w:r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{issue.finished_contracts_count}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{issue.scoring_finished_contracts_count}</w:t>
            </w:r>
          </w:p>
        </w:tc>
      </w:tr>
      <w:tr>
        <w:trPr>
          <w:trHeight w:val="425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Кредитная история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bookmarkStart w:id="594" w:name="__DdeLink__6205_85680802"/>
            <w:r>
              <w:rPr>
                <w:i/>
                <w:sz w:val="22"/>
              </w:rPr>
              <w:t xml:space="preserve">Количество случаев просрочки</w:t>
            </w:r>
            <w:bookmarkEnd w:id="594"/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—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top w:val="single" w:color="00000a" w:sz="4"/>
            </w:tcBorders>
            <w:vMerge w:val="restart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{issue.scoring_credit_history}</w:t>
            </w:r>
          </w:p>
        </w:tc>
      </w:tr>
      <w:tr>
        <w:trPr>
          <w:trHeight w:val="70" w:hRule="exact"/>
        </w:trPr>
        <w:tc>
          <w:tcPr>
            <w:tcW w:w="2909" w:type="dxa"/>
            <w:tcBorders>
              <w:left w:val="single"/>
              <w:right w:val="single"/>
            </w:tcBorders>
            <w:vMerge w:val="continue"/>
          </w:tcPr>
          <w:p>
            <w:pPr/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List Paragraph"/>
              <w:jc w:val="both"/>
              <w:ind w:hanging="0"/>
            </w:pPr>
            <w:bookmarkStart w:id="605" w:name="__DdeLink__6207_85680802"/>
            <w:r>
              <w:rPr>
                <w:i/>
                <w:sz w:val="22"/>
              </w:rPr>
              <w:t xml:space="preserve">Совокупное количество дней просрочки</w:t>
            </w:r>
            <w:bookmarkEnd w:id="605"/>
          </w:p>
        </w:tc>
        <w:tc>
          <w:tcPr>
            <w:tcW w:w="1093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—</w:t>
            </w:r>
          </w:p>
        </w:tc>
        <w:tc>
          <w:tcPr>
            <w:tcW w:w="830" w:type="dxa"/>
            <w:tcBorders>
              <w:left w:val="single" w:color="00000a" w:sz="4"/>
              <w:right w:val="single" w:color="00000a" w:sz="4"/>
              <w:bottom w:val="single" w:color="00000a" w:sz="4"/>
            </w:tcBorders>
            <w:vMerge w:val="continue"/>
          </w:tcPr>
          <w:p>
            <w:pPr/>
          </w:p>
        </w:tc>
      </w:tr>
      <w:tr>
        <w:trPr>
          <w:trHeight w:val="70" w:hRule="exact"/>
        </w:trPr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  <w:b/>
              </w:rPr>
              <w:t xml:space="preserve">Итоговое количество баллов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  <w:gridSpan w:val="3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{issue.scoring_rating_sum}</w:t>
            </w:r>
          </w:p>
        </w:tc>
      </w:tr>
      <w:tr>
        <w:trPr/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  <w:b/>
              </w:rPr>
              <w:t xml:space="preserve">Кредитный рейтинг Клиента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  <w:gridSpan w:val="3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{issue.scoring_credit_rating}</w:t>
            </w:r>
          </w:p>
        </w:tc>
      </w:tr>
      <w:tr>
        <w:trPr/>
        <w:tc>
          <w:tcPr>
            <w:tcW w:w="2909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  <w:b/>
              </w:rPr>
              <w:t xml:space="preserve">Финансовое положение Клиента</w:t>
            </w:r>
          </w:p>
        </w:tc>
        <w:tc>
          <w:tcPr>
            <w:tcW w:w="4054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  <w:gridSpan w:val="3"/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{issue.client_finance_situation}</w:t>
            </w:r>
          </w:p>
        </w:tc>
      </w:tr>
    </w:tbl>
    <w:p>
      <w:pPr>
        <w:pStyle w:val="_Normal"/>
        <w:jc w:val="both"/>
        <w:spacing w:after="0"/>
        <w:spacing w:before="0"/>
      </w:pPr>
      <w:r>
        <w:rPr>
          <w:rFonts w:ascii="Times New Roman" w:cs="Times New Roman" w:hAnsi="Times New Roman"/>
          <w:i/>
        </w:rPr>
        <w:t xml:space="preserve">* ЗГ – завершенный год, ОП – отчетный период</w:t>
      </w:r>
    </w:p>
    <w:p>
      <w:pPr>
        <w:pStyle w:val="_Normal"/>
        <w:spacing w:after="0"/>
        <w:spacing w:before="0"/>
      </w:pPr>
    </w:p>
    <w:p>
      <w:pPr>
        <w:pStyle w:val="_Normal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ОЦЕНКА РЕАЛЬНОСТИ ДЕЯТЕЛЬНОСТИ</w:t>
      </w:r>
    </w:p>
    <w:tbl>
      <w:tblGrid>
        <w:gridCol w:w="6826"/>
        <w:gridCol w:w="2060"/>
      </w:tblGrid>
      <w:tblPr>
        <w:tblBorders>
          <w:left w:val="single" w:color="00000a" w:sz="4"/>
          <w:right w:val="single" w:color="00000a" w:sz="4"/>
          <w:top w:val="single" w:color="00000a" w:sz="4"/>
          <w:bottom w:val="single" w:color="00000a" w:sz="4"/>
        </w:tblBorders>
      </w:tblPr>
      <w:tr>
        <w:trPr/>
        <w:tc>
          <w:tcPr>
            <w:tcW w:w="6826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Есть необходимость оценки реальности деятельности</w:t>
            </w:r>
          </w:p>
        </w:tc>
        <w:tc>
          <w:tcPr>
            <w:tcW w:w="2060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{issue.humanized_is_need_to_check_real_of_issuer_activity}</w:t>
            </w:r>
          </w:p>
        </w:tc>
      </w:tr>
      <w:tr>
        <w:trPr/>
        <w:tc>
          <w:tcPr>
            <w:tcW w:w="6826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Реальность деятельности подтверждается</w:t>
            </w:r>
          </w:p>
        </w:tc>
        <w:tc>
          <w:tcPr>
            <w:tcW w:w="2060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</w:t>
            </w:r>
            <w:bookmarkStart w:id="652" w:name="__DdeLink__5583_4130706824"/>
            <w:r>
              <w:rPr>
                <w:rFonts w:ascii="Times New Roman" w:cs="Times New Roman" w:hAnsi="Times New Roman"/>
              </w:rPr>
              <w:t xml:space="preserve">humanized_is_real_of_issuer_activity_confirms</w:t>
            </w:r>
            <w:bookmarkEnd w:id="652"/>
            <w:r>
              <w:rPr>
                <w:rFonts w:ascii="Times New Roman" w:cs="Times New Roman" w:hAnsi="Times New Roman"/>
              </w:rPr>
              <w:t xml:space="preserve">}</w:t>
            </w:r>
          </w:p>
        </w:tc>
      </w:tr>
    </w:tbl>
    <w:p>
      <w:pPr>
        <w:pStyle w:val="_Normal"/>
        <w:jc w:val="both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sz w:val="20"/>
        </w:rPr>
        <w:t xml:space="preserve">Обязательства в ПАО «БАНК СГБ»  (рассмотрено, выдано): </w:t>
      </w:r>
      <w:r>
        <w:rPr>
          <w:rFonts w:ascii="Times New Roman" w:cs="Times New Roman" w:hAnsi="Times New Roman"/>
          <w:sz w:val="20"/>
          <w:u w:val="single"/>
        </w:rPr>
        <w:t xml:space="preserve">{issue.total_bank_liabilities_vol} руб.</w:t>
      </w:r>
    </w:p>
    <w:tbl>
      <w:tblGrid>
        <w:gridCol w:w="8896"/>
      </w:tblGrid>
      <w:tblPr>
        <w:tblBorders>
          <w:left w:val="single"/>
          <w:right w:val="single"/>
          <w:top w:val="single"/>
          <w:bottom w:val="single"/>
        </w:tblBorders>
      </w:tblPr>
      <w:tr>
        <w:trPr/>
        <w:tc>
          <w:tcPr>
            <w:tcW w:w="8896" w:type="dxa"/>
            <w:tcBorders>
              <w:left w:val="single" w:color="ffffff"/>
              <w:right w:val="single" w:color="ffffff"/>
              <w:top w:val="single" w:color="ffffff"/>
              <w:bottom w:val="single" w:color="ffffff"/>
            </w:tcBorders>
          </w:tcPr>
          <w:p>
            <w:pPr>
              <w:pStyle w:val="_Normal"/>
              <w:jc w:val="center"/>
              <w:spacing w:after="0"/>
              <w:spacing w:before="0"/>
            </w:pPr>
            <w:r>
              <w:rPr>
                <w:lang w:val="ru-RU"/>
                <w:rFonts w:ascii="Times New Roman" w:cs="Times New Roman" w:hAnsi="Times New Roman"/>
                <w:i/>
                <w:sz w:val="20"/>
                <w:color w:val="000000"/>
              </w:rPr>
              <w:t xml:space="preserve">{issue.issuer_affiliates_with_bank_liabilities|for}{clean_on_empty}Св. комп. {obj[name]} ИНН {obj[inn]} Обязательства на сумму {obj[bank_liabilities_vol]}руб.{issue.issuer_affiliates_with_bank_liabilities|endfor}</w:t>
            </w:r>
          </w:p>
        </w:tc>
      </w:tr>
    </w:tbl>
    <w:p>
      <w:pPr>
        <w:pStyle w:val="_Normal"/>
        <w:spacing w:after="0"/>
        <w:spacing w:before="0"/>
      </w:pPr>
    </w:p>
    <w:p>
      <w:pPr>
        <w:pStyle w:val="_Normal"/>
        <w:jc w:val="both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ВЫВОД</w:t>
      </w:r>
    </w:p>
    <w:tbl>
      <w:tblGrid>
        <w:gridCol w:w="3635"/>
        <w:gridCol w:w="5251"/>
      </w:tblGrid>
      <w:tblPr>
        <w:tblBorders>
          <w:left w:val="single" w:color="00000a" w:sz="4"/>
          <w:right w:val="single" w:color="00000a" w:sz="4"/>
          <w:top w:val="single" w:color="00000a" w:sz="4"/>
          <w:bottom w:val="single" w:color="00000a" w:sz="4"/>
        </w:tblBorders>
      </w:tblPr>
      <w:tr>
        <w:trPr>
          <w:trHeight w:val="193" w:hRule="exact"/>
        </w:trPr>
        <w:tc>
          <w:tcPr>
            <w:tcW w:w="363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Возможность включить в ПОТ</w:t>
            </w:r>
          </w:p>
        </w:tc>
        <w:tc>
          <w:tcPr>
            <w:tcW w:w="525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  <w:shd w:fill="ffff00"/>
              </w:rPr>
              <w:t xml:space="preserve">{issue.scoring_credit_rating}</w:t>
            </w:r>
          </w:p>
        </w:tc>
      </w:tr>
      <w:tr>
        <w:trPr>
          <w:trHeight w:val="72" w:hRule="exact"/>
        </w:trPr>
        <w:tc>
          <w:tcPr>
            <w:tcW w:w="363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Категория качества ПОТ</w:t>
            </w:r>
          </w:p>
        </w:tc>
        <w:tc>
          <w:tcPr>
            <w:tcW w:w="525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  <w:shd w:fill="ffff00"/>
              </w:rPr>
              <w:t xml:space="preserve">{issue.bank_reserving_percent_quality_category}</w:t>
            </w:r>
          </w:p>
        </w:tc>
      </w:tr>
      <w:tr>
        <w:trPr>
          <w:trHeight w:val="217" w:hRule="exact"/>
        </w:trPr>
        <w:tc>
          <w:tcPr>
            <w:tcW w:w="3635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spacing w:after="0"/>
              <w:spacing w:before="0"/>
            </w:pPr>
            <w:r>
              <w:rPr>
                <w:rFonts w:ascii="Times New Roman" w:cs="Times New Roman" w:hAnsi="Times New Roman"/>
              </w:rPr>
              <w:t xml:space="preserve">Процент резервирование (в %)</w:t>
            </w:r>
          </w:p>
        </w:tc>
        <w:tc>
          <w:tcPr>
            <w:tcW w:w="5251" w:type="dxa"/>
            <w:tcBorders>
              <w:left w:val="single" w:color="00000a" w:sz="4"/>
              <w:right w:val="single" w:color="00000a" w:sz="4"/>
              <w:top w:val="single" w:color="00000a" w:sz="4"/>
              <w:bottom w:val="single" w:color="00000a" w:sz="4"/>
            </w:tcBorders>
          </w:tcPr>
          <w:p>
            <w:pPr>
              <w:pStyle w:val="_Normal"/>
              <w:jc w:val="center"/>
              <w:spacing w:after="0"/>
              <w:spacing w:before="0"/>
              <w:tabs>
                <w:tab w:val="left" w:leader="underscore" w:pos="9923"/>
              </w:tabs>
            </w:pPr>
            <w:r>
              <w:rPr>
                <w:rFonts w:ascii="Times New Roman" w:cs="Times New Roman" w:hAnsi="Times New Roman"/>
              </w:rPr>
              <w:t xml:space="preserve">{issue.bank_reserving_percent} %</w:t>
            </w:r>
          </w:p>
        </w:tc>
      </w:tr>
    </w:tbl>
    <w:p>
      <w:pPr>
        <w:pStyle w:val="_Normal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Поручительство:</w:t>
      </w:r>
      <w:r>
        <w:rPr>
          <w:rFonts w:ascii="Times New Roman" w:cs="Times New Roman" w:hAnsi="Times New Roman"/>
          <w:sz w:val="20"/>
        </w:rPr>
        <w:t xml:space="preserve"> {issue.humanized_is_surety_needed} </w:t>
      </w: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sz w:val="20"/>
        </w:rPr>
        <w:t xml:space="preserve">Комментарии (при необходимости) </w:t>
      </w:r>
      <w:r>
        <w:rPr>
          <w:rFonts w:ascii="Times New Roman" w:cs="Times New Roman" w:hAnsi="Times New Roman"/>
          <w:i/>
          <w:sz w:val="20"/>
        </w:rPr>
        <w:t xml:space="preserve">_______________________________________________________________</w:t>
      </w:r>
    </w:p>
    <w:p>
      <w:pPr>
        <w:pStyle w:val="_Normal"/>
        <w:spacing w:after="0"/>
        <w:spacing w:before="0"/>
        <w:shd w:fill="f2f2f2"/>
      </w:pPr>
      <w:r>
        <w:rPr>
          <w:rFonts w:ascii="Times New Roman" w:cs="Times New Roman" w:hAnsi="Times New Roman"/>
          <w:b/>
          <w:shd w:fill="f2f2f2"/>
        </w:rPr>
        <w:t xml:space="preserve">РЕШЕНИЕ </w:t>
      </w:r>
    </w:p>
    <w:p>
      <w:pPr>
        <w:pStyle w:val="_Normal"/>
        <w:spacing w:after="0"/>
        <w:spacing w:before="0"/>
        <w:shd w:fill="f2f2f2"/>
      </w:pPr>
      <w:r>
        <w:rPr>
          <w:rFonts w:ascii="Times New Roman" w:cs="Times New Roman" w:hAnsi="Times New Roman"/>
          <w:b/>
          <w:i/>
          <w:shd w:fill="f2f2f2"/>
        </w:rPr>
        <w:t xml:space="preserve">{issue.humanized_final_documents_operations_management_conclusion}</w:t>
      </w:r>
    </w:p>
    <w:p>
      <w:pPr>
        <w:pStyle w:val="_Normal"/>
        <w:spacing w:after="0"/>
        <w:spacing w:before="0"/>
        <w:shd w:fill="f2f2f2"/>
      </w:pPr>
      <w:r>
        <w:rPr>
          <w:rFonts w:ascii="Times New Roman" w:cs="Times New Roman" w:hAnsi="Times New Roman"/>
          <w:sz w:val="20"/>
          <w:shd w:fill="f2f2f2"/>
        </w:rPr>
        <w:t xml:space="preserve">Комментарии (при необходимости) </w:t>
      </w:r>
      <w:r>
        <w:rPr>
          <w:rFonts w:ascii="Times New Roman" w:cs="Times New Roman" w:hAnsi="Times New Roman"/>
          <w:i/>
          <w:sz w:val="20"/>
          <w:shd w:fill="f2f2f2"/>
        </w:rPr>
        <w:t xml:space="preserve">________________________________________________</w:t>
      </w:r>
    </w:p>
    <w:p>
      <w:pPr>
        <w:pStyle w:val="_Normal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Исполнитель </w:t>
      </w:r>
      <w:r>
        <w:rPr>
          <w:rFonts w:ascii="Times New Roman" w:cs="Times New Roman" w:hAnsi="Times New Roman"/>
          <w:b/>
          <w:u w:val="single"/>
        </w:rPr>
        <w:t xml:space="preserve">{user.last_name} {user.first_name[0]}.{user.middle_name[0]}.</w:t>
      </w: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i/>
          <w:sz w:val="16"/>
        </w:rPr>
        <w:t xml:space="preserve">                                                         (должность/ФИО)</w:t>
      </w:r>
    </w:p>
    <w:p>
      <w:pPr>
        <w:pStyle w:val="_Normal"/>
        <w:spacing w:after="0"/>
        <w:spacing w:before="0"/>
      </w:pP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b/>
        </w:rPr>
        <w:t xml:space="preserve">Акцептующий  УРДО _____	____________________________________</w:t>
      </w:r>
    </w:p>
    <w:p>
      <w:pPr>
        <w:pStyle w:val="_Normal"/>
        <w:spacing w:after="0"/>
        <w:spacing w:before="0"/>
      </w:pPr>
      <w:r>
        <w:rPr>
          <w:rFonts w:ascii="Times New Roman" w:cs="Times New Roman" w:hAnsi="Times New Roman"/>
          <w:i/>
          <w:sz w:val="16"/>
        </w:rPr>
        <w:t xml:space="preserve">                                                                   (должность/ФИО)</w:t>
      </w:r>
    </w:p>
    <w:p>
      <w:pPr>
        <w:pStyle w:val="_Normal"/>
        <w:jc w:val="right"/>
        <w:spacing w:after="0"/>
        <w:spacing w:before="0"/>
      </w:pPr>
    </w:p>
    <w:p>
      <w:pPr>
        <w:pStyle w:val="_Normal"/>
        <w:jc w:val="right"/>
        <w:spacing w:after="0"/>
        <w:spacing w:before="0"/>
      </w:pPr>
    </w:p>
    <w:p>
      <w:pPr>
        <w:pStyle w:val="_Normal"/>
        <w:jc w:val="left"/>
        <w:spacing w:after="200"/>
        <w:spacing w:before="0"/>
        <w:spacing w:line="276" w:lineRule="auto"/>
      </w:pPr>
    </w:p>
    <w:sectPr>
      <w:type w:val="continuous"/>
      <w:pgSz w:w="11906" w:h="16838" w:orient="portrait"/>
      <w:pgMar w:top="1134" w:left="1701" w:right="850" w:bottom="1134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dy Text">
    <w:name w:val="Body Text"/>
    <w:basedOn w:val="_Normal"/>
    <w:pPr>
      <w:spacing w:after="140"/>
      <w:spacing w:before="0"/>
      <w:spacing w:line="288" w:lineRule="auto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aption">
    <w:name w:val="Caption"/>
    <w:basedOn w:val="_Normal"/>
    <w:pPr>
      <w:spacing w:after="120"/>
      <w:spacing w:before="120"/>
    </w:pPr>
    <w:rPr>
      <w:i/>
      <w:sz w:val="24"/>
      <w:rFonts w:ascii="FreeSans" w:cs="FreeSans" w:hAnsi="FreeSans"/>
    </w:rPr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character" w:styleId="Default Paragraph Font">
    <w:name w:val="Default Paragraph Font"/>
    <w:basedOn w:val="Normal"/>
    <w:pPr/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ist">
    <w:name w:val="List"/>
    <w:basedOn w:val="Body Text"/>
    <w:pPr/>
    <w:rPr>
      <w:rFonts w:ascii="FreeSans" w:cs="FreeSans" w:hAnsi="FreeSans"/>
    </w:rPr>
  </w:style>
  <w:style w:type="paragraph" w:styleId="List Paragraph">
    <w:name w:val="List Paragraph"/>
    <w:basedOn w:val="_Normal"/>
    <w:pPr>
      <w:ind w:hanging="0"/>
      <w:ind w:left="720"/>
      <w:spacing w:after="0"/>
      <w:spacing w:before="0"/>
      <w:spacing w:line="240" w:lineRule="auto"/>
    </w:pPr>
    <w:rPr>
      <w:sz w:val="20"/>
      <w:rFonts w:ascii="Times New Roman" w:cs="Times New Roman" w:hAnsi="Times New Roman"/>
    </w:rPr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style w:type="paragraph" w:styleId="No List">
    <w:name w:val="No List"/>
    <w:basedOn w:val="Normal"/>
    <w:pPr/>
    <w:rPr/>
  </w:style>
  <w:docDefaults>
    <w:pPrDefault>
      <w:pPr/>
    </w:pPrDefault>
    <w:rPrDefault>
      <w:rPr>
        <w:rFonts w:ascii="Times New Roman" w:cs="Times New Roman" w:hAnsi="Times New Roman"/>
      </w:rPr>
    </w:rPrDefault>
  </w:docDefaults>
  <w:style w:type="paragraph" w:styleId="Normal Table">
    <w:name w:val="Normal Table"/>
    <w:basedOn w:val="Normal"/>
    <w:pPr/>
    <w:rPr/>
  </w:style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  <w:style w:type="paragraph" w:styleId="_Normal">
    <w:name w:val="_Normal"/>
    <w:basedOn w:val="Normal"/>
    <w:pPr>
      <w:jc w:val="left"/>
      <w:spacing w:after="200"/>
      <w:spacing w:before="0"/>
      <w:spacing w:line="276" w:lineRule="auto"/>
    </w:pPr>
    <w:rPr>
      <w:sz w:val="22"/>
      <w:rFonts w:ascii="Times New Roman" w:cs="Times New Roman" w:hAnsi="Times New Roman"/>
      <w:color w:val="00000a"/>
    </w:rPr>
  </w:style>
  <w:style w:type="character" w:styleId="Абзац списка Знак">
    <w:name w:val="Абзац списка Знак"/>
    <w:basedOn w:val="Normal"/>
    <w:pPr/>
    <w:rPr>
      <w:sz w:val="20"/>
      <w:rFonts w:ascii="Times New Roman" w:cs="Times New Roman" w:hAnsi="Times New Roman"/>
    </w:rPr>
  </w:style>
  <w:style w:type="paragraph" w:styleId="Заголовок">
    <w:name w:val="Заголовок"/>
    <w:basedOn w:val="_Normal"/>
    <w:next w:val="Body Text"/>
    <w:pPr>
      <w:spacing w:after="120"/>
      <w:spacing w:before="240"/>
    </w:pPr>
    <w:rPr>
      <w:sz w:val="28"/>
      <w:rFonts w:ascii="Liberation Sans" w:cs="Liberation Sans" w:hAnsi="Liberation Sans"/>
    </w:rPr>
  </w:style>
  <w:style w:type="paragraph" w:styleId="Заголовок таблицы">
    <w:name w:val="Заголовок таблицы"/>
    <w:basedOn w:val="Содержимое таблицы"/>
    <w:pPr>
      <w:jc w:val="center"/>
    </w:pPr>
    <w:rPr>
      <w:b/>
    </w:rPr>
  </w:style>
  <w:style w:type="paragraph" w:styleId="Содержимое таблицы">
    <w:name w:val="Содержимое таблицы"/>
    <w:basedOn w:val="_Normal"/>
    <w:pPr/>
    <w:rPr/>
  </w:style>
  <w:style w:type="paragraph" w:styleId="Текст в заданном формате">
    <w:name w:val="Текст в заданном формате"/>
    <w:basedOn w:val="_Normal"/>
    <w:pPr>
      <w:spacing w:after="0"/>
      <w:spacing w:before="0"/>
    </w:pPr>
    <w:rPr>
      <w:sz w:val="20"/>
      <w:rFonts w:ascii="Liberation Mono" w:cs="Liberation Mono" w:hAnsi="Liberation Mono"/>
    </w:rPr>
  </w:style>
  <w:style w:type="paragraph" w:styleId="Указатель">
    <w:name w:val="Указатель"/>
    <w:basedOn w:val="_Normal"/>
    <w:pPr/>
    <w:rPr>
      <w:rFonts w:ascii="FreeSans" w:cs="FreeSans" w:hAnsi="FreeSan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