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7"/>
        <w:gridCol w:w="10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7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4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6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Application>LibreOffice/6.0.1.1$Linux_X86_64 LibreOffice_project/00m0$Build-1</Application>
  <Pages>5</Pages>
  <Words>826</Words>
  <Characters>8519</Characters>
  <CharactersWithSpaces>9309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2018-02-13T12:39:15Z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