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2D344E"/>
        </w:rPr>
        <w:t xml:space="preserve">Access Insights — Website Content</w:t>
      </w:r>
    </w:p>
    <w:p>
      <w:pPr>
        <w:spacing w:after="240"/>
      </w:pPr>
      <w:r>
        <w:rPr>
          <w:i/>
          <w:iCs/>
          <w:color w:val="666B7A"/>
          <w:sz w:val="22"/>
          <w:szCs w:val="22"/>
        </w:rPr>
        <w:t xml:space="preserve">The single source of truth for every word on accessinsights.net. Edit here, discuss here, publish from here.</w:t>
      </w:r>
    </w:p>
    <w:p>
      <w:pPr>
        <w:pStyle w:val="Heading1"/>
      </w:pPr>
      <w:r>
        <w:rPr>
          <w:color w:val="D9398C"/>
        </w:rPr>
        <w:t xml:space="preserve">How this works</w:t>
      </w:r>
    </w:p>
    <w:p>
      <w:pPr>
        <w:pStyle w:val="ListParagraph"/>
        <w:numPr>
          <w:ilvl w:val="0"/>
          <w:numId w:val="2"/>
        </w:numPr>
        <w:spacing w:after="100"/>
      </w:pPr>
      <w:r>
        <w:rPr>
          <w:b/>
          <w:bCs/>
          <w:sz w:val="21"/>
          <w:szCs w:val="21"/>
        </w:rPr>
        <w:t xml:space="preserve">Edit the Content column only.</w:t>
      </w:r>
      <w:r>
        <w:rPr>
          <w:sz w:val="21"/>
          <w:szCs w:val="21"/>
        </w:rPr>
        <w:t xml:space="preserve"> That column is exactly what appears on the website, word for word.</w:t>
      </w:r>
    </w:p>
    <w:p>
      <w:pPr>
        <w:pStyle w:val="ListParagraph"/>
        <w:numPr>
          <w:ilvl w:val="0"/>
          <w:numId w:val="2"/>
        </w:numPr>
        <w:spacing w:after="100"/>
      </w:pPr>
      <w:r>
        <w:rPr>
          <w:b/>
          <w:bCs/>
          <w:sz w:val="21"/>
          <w:szCs w:val="21"/>
        </w:rPr>
        <w:t xml:space="preserve">Use the Notes column, Word comments, and tracked changes to discuss.</w:t>
      </w:r>
      <w:r>
        <w:rPr>
          <w:sz w:val="21"/>
          <w:szCs w:val="21"/>
        </w:rPr>
        <w:t xml:space="preserve"> None of these affect the website. Notes are for open questions, alternatives, and decisions.</w:t>
      </w:r>
    </w:p>
    <w:p>
      <w:pPr>
        <w:pStyle w:val="ListParagraph"/>
        <w:numPr>
          <w:ilvl w:val="0"/>
          <w:numId w:val="2"/>
        </w:numPr>
        <w:spacing w:after="100"/>
      </w:pPr>
      <w:r>
        <w:rPr>
          <w:b/>
          <w:bCs/>
          <w:sz w:val="21"/>
          <w:szCs w:val="21"/>
        </w:rPr>
        <w:t xml:space="preserve">Never change the Field column.</w:t>
      </w:r>
      <w:r>
        <w:rPr>
          <w:sz w:val="21"/>
          <w:szCs w:val="21"/>
        </w:rPr>
        <w:t xml:space="preserve"> Those keys are how the publish script knows where each piece of text belongs on the page.</w:t>
      </w:r>
    </w:p>
    <w:p>
      <w:pPr>
        <w:pStyle w:val="ListParagraph"/>
        <w:numPr>
          <w:ilvl w:val="0"/>
          <w:numId w:val="2"/>
        </w:numPr>
        <w:spacing w:after="100"/>
      </w:pPr>
      <w:r>
        <w:rPr>
          <w:b/>
          <w:bCs/>
          <w:sz w:val="21"/>
          <w:szCs w:val="21"/>
        </w:rPr>
        <w:t xml:space="preserve">Keep one row per field, and keep each Content cell to a single paragraph.</w:t>
      </w:r>
      <w:r>
        <w:rPr>
          <w:sz w:val="21"/>
          <w:szCs w:val="21"/>
        </w:rPr>
        <w:t xml:space="preserve"> Do not add or delete rows.</w:t>
      </w:r>
    </w:p>
    <w:p>
      <w:pPr>
        <w:pStyle w:val="ListParagraph"/>
        <w:numPr>
          <w:ilvl w:val="0"/>
          <w:numId w:val="2"/>
        </w:numPr>
        <w:spacing w:after="100"/>
      </w:pPr>
      <w:r>
        <w:rPr>
          <w:b/>
          <w:bCs/>
          <w:sz w:val="21"/>
          <w:szCs w:val="21"/>
        </w:rPr>
        <w:t xml:space="preserve">When the team is ready to publish:</w:t>
      </w:r>
      <w:r>
        <w:rPr>
          <w:sz w:val="21"/>
          <w:szCs w:val="21"/>
        </w:rPr>
        <w:t xml:space="preserve"> accept all tracked changes, save the document into the website folder as content/website-content.docx, and run the publish command in content/README.md (or hand this document to Claude and ask it to publish). The whole site is regenerated from this document in one step.</w:t>
      </w:r>
    </w:p>
    <w:p>
      <w:pPr>
        <w:spacing w:after="240" w:before="120"/>
      </w:pPr>
      <w:r>
        <w:rPr>
          <w:i/>
          <w:iCs/>
          <w:color w:val="666B7A"/>
          <w:sz w:val="20"/>
          <w:szCs w:val="20"/>
        </w:rPr>
        <w:t xml:space="preserve">Publishing regenerates the entire site from this document, so this document always wins.</w:t>
      </w:r>
    </w:p>
    <w:p>
      <w:pPr>
        <w:pStyle w:val="Heading1"/>
        <w:spacing w:before="360"/>
      </w:pPr>
      <w:r>
        <w:rPr>
          <w:color w:val="2D344E"/>
        </w:rPr>
        <w:t xml:space="preserve">Hero</w:t>
      </w:r>
    </w:p>
    <w:p>
      <w:pPr>
        <w:spacing w:after="160"/>
      </w:pPr>
      <w:r>
        <w:rPr>
          <w:i/>
          <w:iCs/>
          <w:color w:val="666B7A"/>
          <w:sz w:val="20"/>
          <w:szCs w:val="20"/>
        </w:rPr>
        <w:t xml:space="preserve">The opening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hero.title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Accessibility isn’t a feature. It’s the future.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hero.lead</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 Insights is a research and design agency built by the people who helped write the rules of accessibility, including the chief architect of the ADA. We find the human needs that matter most, prove what works in real communities, and design solutions that reach everyone. Your support makes that possible.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Why accessibility</w:t>
      </w:r>
    </w:p>
    <w:p>
      <w:pPr>
        <w:spacing w:after="160"/>
      </w:pPr>
      <w:r>
        <w:rPr>
          <w:i/>
          <w:iCs/>
          <w:color w:val="666B7A"/>
          <w:sz w:val="20"/>
          <w:szCs w:val="20"/>
        </w:rPr>
        <w:t xml:space="preserve">The market case and the stat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The largest overlooked market in the world</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why.p1</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1.6 billion people, nearly 20% of humanity, live with a significant disability, and as populations age that number is climbing toward 2 billion by 2050. They directly control $2.6 trillion in disposable income. In the U.S. alone, the disability consumer market is now worth $675 billion. Yet most products are still designed as if these people don’t exist.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why.stat1.number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1.6B+</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why.stat1.label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people worldwide live with disabilities, the world’s largest emerging market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why.stat1.source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(Return on Disability, 2024)</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why.stat2.number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$2.6T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why.stat2.label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in disposable income directly controlled by people with disabilities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why.stat2.source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(Return on Disability, 2024)</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why.stat3.number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$675B</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why.stat3.label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U.S. disability consumer market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why.stat3.source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(Disability:IN / AIR, 2026)</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why.p2</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This is not a niche. Everyone moves in and out of disability across a lifetime: an injury, an aging parent, a loud room, a bright screen, arms full of groceries. Products designed for the edges work better at the center. Curb cuts, captions, voice interfaces, and audiobooks all began as accessibility solutions and became universal ones.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Our approach</w:t>
      </w:r>
    </w:p>
    <w:p>
      <w:pPr>
        <w:spacing w:after="160"/>
      </w:pPr>
      <w:r>
        <w:rPr>
          <w:i/>
          <w:iCs/>
          <w:color w:val="666B7A"/>
          <w:sz w:val="20"/>
          <w:szCs w:val="20"/>
        </w:rPr>
        <w:t xml:space="preserve">Accessible by design, at no added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Accessibility built in costs no more than accessibility left out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approach.p1</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Retrofitting accessibility is expensive. Designing for it from day one isn’t. When accessibility drives the earliest decisions about what to build, for whom, and how it should behave, the result costs no more than a traditional design process and produces a product more people can buy, use, and love.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approach.p2</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That is what we do. We take any product or service, whether yours, a startup’s, or a city’s, and run it through a process where ethnographic research, inclusive design, and engineering judgment work together. The output isn’t a compliance checklist. It’s a better product with a bigger market.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approach.card1.title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Same budget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approach.card1.text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Accessibility is a design input, not a line item. Built in from the first sketch, it adds insight, not cost.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approach.card2.title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Bigger market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approach.card2.text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Every barrier removed adds customers: people with disabilities, older adults, and everyone in a temporarily limiting situation.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approach.card3.title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Better product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approach.card3.text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Constraints sharpen design. Solutions that work in the hardest cases work brilliantly in the easy ones.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How we work (pipeline)</w:t>
      </w:r>
    </w:p>
    <w:p>
      <w:pPr>
        <w:spacing w:after="160"/>
      </w:pPr>
      <w:r>
        <w:rPr>
          <w:i/>
          <w:iCs/>
          <w:color w:val="666B7A"/>
          <w:sz w:val="20"/>
          <w:szCs w:val="20"/>
        </w:rPr>
        <w:t xml:space="preserve">The three-step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From unmet need to scaled impact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pipeline.intro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We find the strongest unmet needs among people with disabilities and older adults, test solutions where people actually live, and connect what works to the partners who can scale it.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pipeline.step1.title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1. Find the needs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pipeline.step1.text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Ethnographic research surfaces lived barriers, workarounds, and trust signals. That is evidence of what actually matters, not what teams assume matters.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pipeline.step2.title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2. Test where people live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pipeline.step2.text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Our Living Labs, collaborations with independent and assisted living communities, put prototypes into real daily life, with resident, staff, and leadership voices heard together.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pipeline.step3.title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3. Activate partners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pipeline.step3.text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Validated solutions connect to organizations with the reach, sites, and capacity to deliver them to the people who need them.</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pipeline.note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Living Labs are the distinctive middle of our pipeline, the place where promising ideas meet real lives before anyone bets on scaling them.</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Where we are now (current work)</w:t>
      </w:r>
    </w:p>
    <w:p>
      <w:pPr>
        <w:spacing w:after="160"/>
      </w:pPr>
      <w:r>
        <w:rPr>
          <w:i/>
          <w:iCs/>
          <w:color w:val="666B7A"/>
          <w:sz w:val="20"/>
          <w:szCs w:val="20"/>
        </w:rPr>
        <w:t xml:space="preserve">Status and current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Building durable accessibility infrastructure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current.p1</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 Insights is completing our first Living Lab pilot, advancing two open projects, and building research methods, community, and partnerships designed to last. We work alongside mission-aligned organizations and people who want this kind of infrastructure to exist.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current.p2</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Our team spent decades inside one of the world’s largest technology companies learning how ideas become products. We now apply that experience exclusively to disability, aging, and human variability, combining policy authority at the level of the ADA, deep ethnographic research, and shipped product engineering in one room.</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current.item1.title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First Living Lab pilot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current.item1.text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Completing our first Living Lab pilot, with published findings.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current.item2.title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UnisonOS &amp; Virtual Lex</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current.item2.text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Continued development of our two open projects, moving from validated need toward real-world use.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current.item3.title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Durable infrastructure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current.item3.text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Research methods, community, and partnerships that persist beyond any single grant.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current.item4.title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 repeatable model</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current.item4.text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 demonstration that accessible design is a repeatable process any organization can adopt.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Services (work with us)</w:t>
      </w:r>
    </w:p>
    <w:p>
      <w:pPr>
        <w:spacing w:after="160"/>
      </w:pPr>
      <w:r>
        <w:rPr>
          <w:i/>
          <w:iCs/>
          <w:color w:val="666B7A"/>
          <w:sz w:val="20"/>
          <w:szCs w:val="20"/>
        </w:rPr>
        <w:t xml:space="preserve">Client offerings and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Bring us any product. We’ll make it work for more people.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services.intro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We take on client work across any industry: software, hardware, services, environments. Whatever you’re building, we add the research depth and design discipline that opens it to the widest possible audience, on a traditional timeline and budget.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services.card1.title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Ethnographic and user research</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services.card1.text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Fieldwork with real users in real contexts, including populations most agencies never reach, to find the needs worth building for.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services.card2.title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Inclusive interaction and visual design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services.card2.text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Product and service design where accessibility drives the concept, not the compliance review. More than 30 years of shipped work, from communication systems to mixed reality.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services.card3.title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Accessibility strategy and policy guidance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services.card3.text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Standards, ADA, and international policy expertise from the people who helped write it, applied to your roadmap rather than recited at it.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services.card4.title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Prototyping and validation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services.card4.text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Prototypes informed by engineering judgment and tested in our Living Labs and with our research community before you invest in scale.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services.cta</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Tell us what you’re building</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Trust and commitments</w:t>
      </w:r>
    </w:p>
    <w:p>
      <w:pPr>
        <w:spacing w:after="160"/>
      </w:pPr>
      <w:r>
        <w:rPr>
          <w:i/>
          <w:iCs/>
          <w:color w:val="666B7A"/>
          <w:sz w:val="20"/>
          <w:szCs w:val="20"/>
        </w:rPr>
        <w:t xml:space="preserve">The four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Built around trust, participation, and impact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trust.intro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Research with disabled and older communities carries real responsibility. We design programs that respect participants, protect information, and create value for everyone involved.</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trust.item1.title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Voluntary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trust.item1.text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Participation is always voluntary, with consent at every step.</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trust.item2.title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Private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trust.item2.text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Consent and privacy are top priorities, with retention and deletion built in. We do not sell participant data.</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trust.item3.title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Accessible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trust.item3.text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Accessibility is built into the research experience itself, not bolted on.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trust.item4.title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Accountable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trust.item4.text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Clear governance and auditability, so contributions and outcomes are understood.</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Team</w:t>
      </w:r>
    </w:p>
    <w:p>
      <w:pPr>
        <w:spacing w:after="160"/>
      </w:pPr>
      <w:r>
        <w:rPr>
          <w:i/>
          <w:iCs/>
          <w:color w:val="666B7A"/>
          <w:sz w:val="20"/>
          <w:szCs w:val="20"/>
        </w:rPr>
        <w:t xml:space="preserve">Heading, intro, seven bios, and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Genuine expertise in accessibility is rare. Expertise at this depth is rarer still.</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team.intro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We came together after decades at Intel Corporation: researchers, designers, engineers, and disability rights pioneers, including the chief architect of the ADA. We have shaped the laws millions rely on and the tools billions use. Several of us bring lived experience of disability to every project we touch.</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team.m1.name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Darryl Adams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team.m1.role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Founder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team.m1.bio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AI &amp; accessibility innovator focused on inclusive access and real-world impact.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team.m2.name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Lex Frieden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team.m2.role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Senior Advisor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team.m2.bio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Chief architect of the Americans with Disabilities Act and a founder of the independent living movement, with five decades shaping U.S. and international disability policy.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team.m3.name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Susan Faulkner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team.m3.role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Research Director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team.m3.bio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User experience researcher and leader with over 30 years delivering high-impact results focused on accessibility.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team.m4.name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Richard Beckwith, PhD</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team.m4.role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Research Fellow</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team.m4.bio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Long career in research supporting design across disability, education, and aging: UX, AI (especially NLP), and sensing.</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team.m5.name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Marco Beltman, PhD</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team.m5.role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Research Fellow, Sensory Technology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team.m5.bio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Principal engineer with a PhD in acoustics, 39 patents, and a volunteer raft guide opening rivers to people of all abilities.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team.m6.name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Becky Chierichetti</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team.m6.role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Principal Design Researcher</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team.m6.bio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UX researcher exploring AI, mixed reality, and accessibility at the boundary of physical and digital worlds.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team.m7.name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Pete Denman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team.m7.role</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Principal Design and Interaction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team.m7.bio</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Designed Stephen Hawking’s communication system, with over 30 years in visual and interaction design, bringing the perspective of a wheelchair user to every project.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team.numbers.heading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By the numbers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team.stat1.number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60+</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team.stat1.label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patents across acoustics, AR, and AI</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team.stat2.number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1,200+</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team.stat2.label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lectures, from the White House to the UN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team.stat3.number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167+</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team.stat3.label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peer-reviewed publications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team.stat4.number</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200+ yrs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team.stat4.label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combined shaping policy &amp; standards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For participants</w:t>
      </w:r>
    </w:p>
    <w:p>
      <w:pPr>
        <w:spacing w:after="160"/>
      </w:pPr>
      <w:r>
        <w:rPr>
          <w:i/>
          <w:iCs/>
          <w:color w:val="666B7A"/>
          <w:sz w:val="20"/>
          <w:szCs w:val="20"/>
        </w:rPr>
        <w:t xml:space="preserve">Join the research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join.heading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Help shape what’s next</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join.text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Join the Access Insights research community and help ensure tomorrow’s technology reflects real human experience. Already a member? Log in for your studies, preferences, and support paths. Everyone is welcome.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join.cta</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Join the Research Community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Closing</w:t>
      </w:r>
    </w:p>
    <w:p>
      <w:pPr>
        <w:spacing w:after="160"/>
      </w:pPr>
      <w:r>
        <w:rPr>
          <w:i/>
          <w:iCs/>
          <w:color w:val="666B7A"/>
          <w:sz w:val="20"/>
          <w:szCs w:val="20"/>
        </w:rPr>
        <w:t xml:space="preserve">Build the future with us +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closing.heading</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Build the future with us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closing.text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Whether you’re an organization that shares our mission, a team with a product to open to more people, or a person whose experience should shape what gets built, there is a place for you here.</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closing.cta1.label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Work with us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closing.cta1.desc</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For organizations and product teams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closing.cta2.label</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Join the community</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closing.cta2.desc</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For research participants</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p>
      <w:pPr>
        <w:pStyle w:val="Heading1"/>
        <w:spacing w:before="360"/>
      </w:pPr>
      <w:r>
        <w:rPr>
          <w:color w:val="2D344E"/>
        </w:rPr>
        <w:t xml:space="preserve">Footer</w:t>
      </w:r>
    </w:p>
    <w:p>
      <w:pPr>
        <w:spacing w:after="160"/>
      </w:pPr>
      <w:r>
        <w:rPr>
          <w:i/>
          <w:iCs/>
          <w:color w:val="666B7A"/>
          <w:sz w:val="20"/>
          <w:szCs w:val="20"/>
        </w:rPr>
        <w:t xml:space="preserve">Bottom of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710"/>
        <w:gridCol w:w="2100"/>
      </w:tblGrid>
      <w:tr>
        <w:trPr>
          <w:tblHeader/>
        </w:trPr>
        <w:tc>
          <w:tcPr>
            <w:tcW w:type="dxa" w:w="255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Field</w:t>
            </w:r>
          </w:p>
        </w:tc>
        <w:tc>
          <w:tcPr>
            <w:tcW w:type="dxa" w:w="471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Content</w:t>
            </w:r>
          </w:p>
        </w:tc>
        <w:tc>
          <w:tcPr>
            <w:tcW w:type="dxa" w:w="2100"/>
            <w:tcBorders>
              <w:top w:val="single" w:color="C9CCD8" w:sz="4"/>
              <w:left w:val="single" w:color="C9CCD8" w:sz="4"/>
              <w:bottom w:val="single" w:color="C9CCD8" w:sz="4"/>
              <w:right w:val="single" w:color="C9CCD8" w:sz="4"/>
            </w:tcBorders>
            <w:shd w:fill="2D344E" w:val="clear"/>
            <w:tcMar>
              <w:top w:type="dxa" w:w="80"/>
              <w:left w:type="dxa" w:w="120"/>
              <w:bottom w:type="dxa" w:w="80"/>
              <w:right w:type="dxa" w:w="120"/>
            </w:tcMar>
          </w:tcPr>
          <w:p>
            <w:r>
              <w:rPr>
                <w:rFonts w:ascii="Segoe UI" w:cs="Segoe UI" w:eastAsia="Segoe UI" w:hAnsi="Segoe UI"/>
                <w:b/>
                <w:bCs/>
                <w:color w:val="FFFFFF"/>
                <w:sz w:val="20"/>
                <w:szCs w:val="20"/>
              </w:rPr>
              <w:t xml:space="preserve">Notes / discussion</w:t>
            </w:r>
          </w:p>
        </w:tc>
      </w:tr>
      <w:tr>
        <w:tc>
          <w:tcPr>
            <w:tcW w:type="dxa" w:w="2550"/>
            <w:tcBorders>
              <w:top w:val="single" w:color="C9CCD8" w:sz="4"/>
              <w:left w:val="single" w:color="C9CCD8" w:sz="4"/>
              <w:bottom w:val="single" w:color="C9CCD8" w:sz="4"/>
              <w:right w:val="single" w:color="C9CCD8" w:sz="4"/>
            </w:tcBorders>
            <w:shd w:fill="F2F3F7" w:val="clear"/>
            <w:tcMar>
              <w:top w:type="dxa" w:w="80"/>
              <w:left w:type="dxa" w:w="120"/>
              <w:bottom w:type="dxa" w:w="80"/>
              <w:right w:type="dxa" w:w="120"/>
            </w:tcMar>
          </w:tcPr>
          <w:p>
            <w:r>
              <w:rPr>
                <w:rFonts w:ascii="Consolas" w:cs="Consolas" w:eastAsia="Consolas" w:hAnsi="Consolas"/>
                <w:color w:val="666B7A"/>
                <w:sz w:val="17"/>
                <w:szCs w:val="17"/>
              </w:rPr>
              <w:t xml:space="preserve">footer.text</w:t>
            </w:r>
          </w:p>
        </w:tc>
        <w:tc>
          <w:tcPr>
            <w:tcW w:type="dxa" w:w="471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1"/>
                <w:szCs w:val="21"/>
              </w:rPr>
              <w:t xml:space="preserve">© 2026 Access Insights · Portland, Oregon</w:t>
            </w:r>
          </w:p>
        </w:tc>
        <w:tc>
          <w:tcPr>
            <w:tcW w:type="dxa" w:w="2100"/>
            <w:tcBorders>
              <w:top w:val="single" w:color="C9CCD8" w:sz="4"/>
              <w:left w:val="single" w:color="C9CCD8" w:sz="4"/>
              <w:bottom w:val="single" w:color="C9CCD8" w:sz="4"/>
              <w:right w:val="single" w:color="C9CCD8" w:sz="4"/>
            </w:tcBorders>
            <w:tcMar>
              <w:top w:type="dxa" w:w="80"/>
              <w:left w:type="dxa" w:w="120"/>
              <w:bottom w:type="dxa" w:w="80"/>
              <w:right w:type="dxa" w:w="120"/>
            </w:tcMar>
          </w:tcPr>
          <w:p>
            <w:r>
              <w:rPr>
                <w:rFonts w:ascii="Segoe UI" w:cs="Segoe UI" w:eastAsia="Segoe UI" w:hAnsi="Segoe UI"/>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1F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Segoe UI" w:cs="Segoe UI" w:eastAsia="Segoe UI" w:hAnsi="Segoe UI"/>
      <w:b/>
      <w:bCs/>
      <w:color w:val="2D344E"/>
      <w:sz w:val="52"/>
      <w:szCs w:val="52"/>
    </w:rPr>
  </w:style>
  <w:style w:type="paragraph" w:styleId="Heading1">
    <w:name w:val="Heading 1"/>
    <w:basedOn w:val="Normal"/>
    <w:next w:val="Normal"/>
    <w:qFormat/>
    <w:pPr>
      <w:spacing w:after="120" w:before="240"/>
    </w:pPr>
    <w:rPr>
      <w:rFonts w:ascii="Segoe UI" w:cs="Segoe UI" w:eastAsia="Segoe UI" w:hAnsi="Segoe UI"/>
      <w:b/>
      <w:bCs/>
      <w:color w:val="2D344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2026-07-16T20:50:42.994Z</dcterms:created>
  <dcterms:modified xsi:type="dcterms:W3CDTF">2026-07-16T20:50:43.009Z</dcterms:modified>
</cp:coreProperties>
</file>

<file path=docProps/custom.xml><?xml version="1.0" encoding="utf-8"?>
<Properties xmlns="http://schemas.openxmlformats.org/officeDocument/2006/custom-properties" xmlns:vt="http://schemas.openxmlformats.org/officeDocument/2006/docPropsVTypes"/>
</file>