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TopServ Pricing Page Developer Handoff</w:t>
      </w:r>
    </w:p>
    <w:p>
      <w:r>
        <w:rPr>
          <w:b/>
        </w:rPr>
        <w:t>Updated October 14 2026 | Matching extract from the Website Implementation Plan</w:t>
      </w:r>
    </w:p>
    <w:p>
      <w:r>
        <w:rPr>
          <w:b w:val="0"/>
        </w:rPr>
        <w:t>Replace the staging pricing page at /programs-pricing/pricing with the approved BrandFormance offer. This replaces the earlier October 8 handoff, including its names, amounts, activation, percentage split and payout ladder. The master Website Implementation Plan contains the sitewide audit and all T01–T14 tasks.</w:t>
      </w:r>
    </w:p>
    <w:p>
      <w:r>
        <w:rPr>
          <w:b w:val="0"/>
        </w:rPr>
        <w:t>Page order: hero and video → equal program cards → activation → managed scope → program-fit factors → scorecard → illustrative calculation → verified proof → FAQs → final CTA. Then verify responsive layout, source HTML, metadata, calendar, grader and events.</w:t>
      </w:r>
    </w:p>
    <w:p>
      <w:r>
        <w:rPr>
          <w:b w:val="0"/>
        </w:rPr>
        <w:t>Primary CTA: Find My BrandFormance Program → team discovery calendar. Secondary: Get Your Brand Grade → /brand-assessment. The grader is being completed; build its finished-state route and verify the actual result flow before release. A direct discovery-call route must remain available.</w:t>
      </w:r>
    </w:p>
    <w:p>
      <w:pPr>
        <w:pStyle w:val="Heading2"/>
      </w:pPr>
      <w:r>
        <w:t>Developer acceptance checklist</w:t>
      </w:r>
    </w:p>
    <w:p>
      <w:pPr>
        <w:pStyle w:val="ListBullet"/>
      </w:pPr>
      <w:r>
        <w:t>All prices are text, not image-only content. Base, quarterly maximum, activation and separate advertising labels remain visible on mobile.</w:t>
      </w:r>
    </w:p>
    <w:p>
      <w:pPr>
        <w:pStyle w:val="ListBullet"/>
      </w:pPr>
      <w:r>
        <w:t>Use one shared configuration. Do not call the fee split 60/40, 50/50, a bonus or a guaranteed result.</w:t>
      </w:r>
    </w:p>
    <w:p>
      <w:pPr>
        <w:pStyle w:val="ListBullet"/>
      </w:pPr>
      <w:r>
        <w:t>All categories earn independently at the 60% floor. The example totals $6,660; its Be Chosen category earns $0.</w:t>
      </w:r>
    </w:p>
    <w:p>
      <w:pPr>
        <w:pStyle w:val="ListBullet"/>
      </w:pPr>
      <w:r>
        <w:t>Month one is included in activation; base starts month two. First performance period covers service months 2–4.</w:t>
      </w:r>
    </w:p>
    <w:p>
      <w:pPr>
        <w:pStyle w:val="ListBullet"/>
      </w:pPr>
      <w:r>
        <w:t>FAQ answers are in HTML, schema matches the copy, and client ownership language matches the agreement.</w:t>
      </w:r>
    </w:p>
    <w:p>
      <w:pPr>
        <w:pStyle w:val="ListBullet"/>
      </w:pPr>
      <w:r>
        <w:t>Calendar booking and grader delivery are verified with test records; capture confirmed events without duplicates.</w:t>
      </w:r>
    </w:p>
    <w:p>
      <w:pPr>
        <w:pStyle w:val="ListBullet"/>
      </w:pPr>
      <w:r>
        <w:t>The video thumbnail is replaced with Jonathan’s actual approved film when ready; a nonfunctional play control must not ship.</w:t>
      </w:r>
    </w:p>
    <w:p>
      <w:pPr>
        <w:pStyle w:val="ListBullet"/>
      </w:pPr>
      <w:r>
        <w:t>Before release, search all sitewide copy, schemas, policies and the HVAC budget article for old offer statements.</w:t>
      </w:r>
    </w:p>
    <w:p>
      <w:pPr>
        <w:pStyle w:val="Heading1"/>
        <w:pageBreakBefore/>
      </w:pPr>
      <w:r>
        <w:t>Approved offer and measurement rules</w:t>
      </w:r>
    </w:p>
    <w:p>
      <w:r>
        <w:rPr>
          <w:b w:val="0"/>
        </w:rPr>
        <w:t>Use this configuration everywhere the offer appears. Program levels reflect required resources, not different quantities of deliverables or a promise of greater success.</w:t>
      </w:r>
    </w:p>
    <w:tbl>
      <w:tblPr>
        <w:tblW w:type="auto" w:w="0"/>
        <w:tblLayout w:type="fixed"/>
        <w:tblLook w:firstColumn="1" w:firstRow="1" w:lastColumn="0" w:lastRow="0" w:noHBand="0" w:noVBand="1" w:val="04A0"/>
      </w:tblPr>
      <w:tblGrid>
        <w:gridCol w:w="3096"/>
        <w:gridCol w:w="2232"/>
        <w:gridCol w:w="2592"/>
        <w:gridCol w:w="2448"/>
      </w:tblGrid>
      <w:tr>
        <w:trPr>
          <w:cantSplit/>
          <w:tblHeader/>
        </w:trPr>
        <w:tc>
          <w:tcPr>
            <w:tcW w:type="dxa" w:w="3096"/>
            <w:shd w:fill="202522"/>
            <w:tcMar>
              <w:top w:w="80" w:type="dxa"/>
              <w:left w:w="80" w:type="dxa"/>
              <w:bottom w:w="80" w:type="dxa"/>
              <w:right w:w="80" w:type="dxa"/>
            </w:tcMar>
          </w:tcPr>
          <w:p>
            <w:pPr>
              <w:spacing w:after="60" w:before="40" w:line="245" w:lineRule="auto"/>
            </w:pPr>
            <w:r>
              <w:rPr>
                <w:b/>
                <w:color w:val="FFFFFF"/>
                <w:sz w:val="18"/>
              </w:rPr>
              <w:t>Program</w:t>
            </w:r>
          </w:p>
        </w:tc>
        <w:tc>
          <w:tcPr>
            <w:tcW w:type="dxa" w:w="2232"/>
            <w:shd w:fill="202522"/>
            <w:tcMar>
              <w:top w:w="80" w:type="dxa"/>
              <w:left w:w="80" w:type="dxa"/>
              <w:bottom w:w="80" w:type="dxa"/>
              <w:right w:w="80" w:type="dxa"/>
            </w:tcMar>
          </w:tcPr>
          <w:p>
            <w:pPr>
              <w:spacing w:after="60" w:before="40" w:line="245" w:lineRule="auto"/>
            </w:pPr>
            <w:r>
              <w:rPr>
                <w:b/>
                <w:color w:val="FFFFFF"/>
                <w:sz w:val="18"/>
              </w:rPr>
              <w:t>Monthly base from month 2</w:t>
            </w:r>
          </w:p>
        </w:tc>
        <w:tc>
          <w:tcPr>
            <w:tcW w:type="dxa" w:w="2592"/>
            <w:shd w:fill="202522"/>
            <w:tcMar>
              <w:top w:w="80" w:type="dxa"/>
              <w:left w:w="80" w:type="dxa"/>
              <w:bottom w:w="80" w:type="dxa"/>
              <w:right w:w="80" w:type="dxa"/>
            </w:tcMar>
          </w:tcPr>
          <w:p>
            <w:pPr>
              <w:spacing w:after="60" w:before="40" w:line="245" w:lineRule="auto"/>
            </w:pPr>
            <w:r>
              <w:rPr>
                <w:b/>
                <w:color w:val="FFFFFF"/>
                <w:sz w:val="18"/>
              </w:rPr>
              <w:t>Performance Pay cap per quarter</w:t>
            </w:r>
          </w:p>
        </w:tc>
        <w:tc>
          <w:tcPr>
            <w:tcW w:type="dxa" w:w="2448"/>
            <w:shd w:fill="202522"/>
            <w:tcMar>
              <w:top w:w="80" w:type="dxa"/>
              <w:left w:w="80" w:type="dxa"/>
              <w:bottom w:w="80" w:type="dxa"/>
              <w:right w:w="80" w:type="dxa"/>
            </w:tcMar>
          </w:tcPr>
          <w:p>
            <w:pPr>
              <w:spacing w:after="60" w:before="40" w:line="245" w:lineRule="auto"/>
            </w:pPr>
            <w:r>
              <w:rPr>
                <w:b/>
                <w:color w:val="FFFFFF"/>
                <w:sz w:val="18"/>
              </w:rPr>
              <w:t>Monthly equivalent of cap</w:t>
            </w:r>
          </w:p>
        </w:tc>
      </w:tr>
      <w:tr>
        <w:trPr>
          <w:cantSplit/>
        </w:trPr>
        <w:tc>
          <w:tcPr>
            <w:tcW w:type="dxa" w:w="3096"/>
            <w:shd w:fill="F0F3F0"/>
            <w:tcMar>
              <w:top w:w="80" w:type="dxa"/>
              <w:left w:w="80" w:type="dxa"/>
              <w:bottom w:w="80" w:type="dxa"/>
              <w:right w:w="80" w:type="dxa"/>
            </w:tcMar>
          </w:tcPr>
          <w:p>
            <w:pPr>
              <w:spacing w:after="60" w:before="40" w:line="245" w:lineRule="auto"/>
            </w:pPr>
            <w:r>
              <w:rPr>
                <w:b w:val="0"/>
                <w:sz w:val="18"/>
              </w:rPr>
              <w:t>BrandFormance Program 1</w:t>
            </w:r>
          </w:p>
        </w:tc>
        <w:tc>
          <w:tcPr>
            <w:tcW w:type="dxa" w:w="2232"/>
            <w:shd w:fill="F0F3F0"/>
            <w:tcMar>
              <w:top w:w="80" w:type="dxa"/>
              <w:left w:w="80" w:type="dxa"/>
              <w:bottom w:w="80" w:type="dxa"/>
              <w:right w:w="80" w:type="dxa"/>
            </w:tcMar>
          </w:tcPr>
          <w:p>
            <w:pPr>
              <w:spacing w:after="60" w:before="40" w:line="245" w:lineRule="auto"/>
            </w:pPr>
            <w:r>
              <w:rPr>
                <w:b w:val="0"/>
                <w:sz w:val="18"/>
              </w:rPr>
              <w:t>$3,000</w:t>
            </w:r>
          </w:p>
        </w:tc>
        <w:tc>
          <w:tcPr>
            <w:tcW w:type="dxa" w:w="2592"/>
            <w:shd w:fill="F0F3F0"/>
            <w:tcMar>
              <w:top w:w="80" w:type="dxa"/>
              <w:left w:w="80" w:type="dxa"/>
              <w:bottom w:w="80" w:type="dxa"/>
              <w:right w:w="80" w:type="dxa"/>
            </w:tcMar>
          </w:tcPr>
          <w:p>
            <w:pPr>
              <w:spacing w:after="60" w:before="40" w:line="245" w:lineRule="auto"/>
            </w:pPr>
            <w:r>
              <w:rPr>
                <w:b w:val="0"/>
                <w:sz w:val="18"/>
              </w:rPr>
              <w:t>$6,000</w:t>
            </w:r>
          </w:p>
        </w:tc>
        <w:tc>
          <w:tcPr>
            <w:tcW w:type="dxa" w:w="2448"/>
            <w:shd w:fill="F0F3F0"/>
            <w:tcMar>
              <w:top w:w="80" w:type="dxa"/>
              <w:left w:w="80" w:type="dxa"/>
              <w:bottom w:w="80" w:type="dxa"/>
              <w:right w:w="80" w:type="dxa"/>
            </w:tcMar>
          </w:tcPr>
          <w:p>
            <w:pPr>
              <w:spacing w:after="60" w:before="40" w:line="245" w:lineRule="auto"/>
            </w:pPr>
            <w:r>
              <w:rPr>
                <w:b w:val="0"/>
                <w:sz w:val="18"/>
              </w:rPr>
              <w:t>Up to $2,000</w:t>
            </w:r>
          </w:p>
        </w:tc>
      </w:tr>
      <w:tr>
        <w:trPr>
          <w:cantSplit/>
        </w:trPr>
        <w:tc>
          <w:tcPr>
            <w:tcW w:type="dxa" w:w="3096"/>
            <w:shd w:fill="FFFFFF"/>
            <w:tcMar>
              <w:top w:w="80" w:type="dxa"/>
              <w:left w:w="80" w:type="dxa"/>
              <w:bottom w:w="80" w:type="dxa"/>
              <w:right w:w="80" w:type="dxa"/>
            </w:tcMar>
          </w:tcPr>
          <w:p>
            <w:pPr>
              <w:spacing w:after="60" w:before="40" w:line="245" w:lineRule="auto"/>
            </w:pPr>
            <w:r>
              <w:rPr>
                <w:b w:val="0"/>
                <w:sz w:val="18"/>
              </w:rPr>
              <w:t>BrandFormance Program 2</w:t>
            </w:r>
          </w:p>
        </w:tc>
        <w:tc>
          <w:tcPr>
            <w:tcW w:type="dxa" w:w="2232"/>
            <w:shd w:fill="FFFFFF"/>
            <w:tcMar>
              <w:top w:w="80" w:type="dxa"/>
              <w:left w:w="80" w:type="dxa"/>
              <w:bottom w:w="80" w:type="dxa"/>
              <w:right w:w="80" w:type="dxa"/>
            </w:tcMar>
          </w:tcPr>
          <w:p>
            <w:pPr>
              <w:spacing w:after="60" w:before="40" w:line="245" w:lineRule="auto"/>
            </w:pPr>
            <w:r>
              <w:rPr>
                <w:b w:val="0"/>
                <w:sz w:val="18"/>
              </w:rPr>
              <w:t>$5,000</w:t>
            </w:r>
          </w:p>
        </w:tc>
        <w:tc>
          <w:tcPr>
            <w:tcW w:type="dxa" w:w="2592"/>
            <w:shd w:fill="FFFFFF"/>
            <w:tcMar>
              <w:top w:w="80" w:type="dxa"/>
              <w:left w:w="80" w:type="dxa"/>
              <w:bottom w:w="80" w:type="dxa"/>
              <w:right w:w="80" w:type="dxa"/>
            </w:tcMar>
          </w:tcPr>
          <w:p>
            <w:pPr>
              <w:spacing w:after="60" w:before="40" w:line="245" w:lineRule="auto"/>
            </w:pPr>
            <w:r>
              <w:rPr>
                <w:b w:val="0"/>
                <w:sz w:val="18"/>
              </w:rPr>
              <w:t>$9,000</w:t>
            </w:r>
          </w:p>
        </w:tc>
        <w:tc>
          <w:tcPr>
            <w:tcW w:type="dxa" w:w="2448"/>
            <w:shd w:fill="FFFFFF"/>
            <w:tcMar>
              <w:top w:w="80" w:type="dxa"/>
              <w:left w:w="80" w:type="dxa"/>
              <w:bottom w:w="80" w:type="dxa"/>
              <w:right w:w="80" w:type="dxa"/>
            </w:tcMar>
          </w:tcPr>
          <w:p>
            <w:pPr>
              <w:spacing w:after="60" w:before="40" w:line="245" w:lineRule="auto"/>
            </w:pPr>
            <w:r>
              <w:rPr>
                <w:b w:val="0"/>
                <w:sz w:val="18"/>
              </w:rPr>
              <w:t>Up to $3,000</w:t>
            </w:r>
          </w:p>
        </w:tc>
      </w:tr>
      <w:tr>
        <w:trPr>
          <w:cantSplit/>
        </w:trPr>
        <w:tc>
          <w:tcPr>
            <w:tcW w:type="dxa" w:w="3096"/>
            <w:shd w:fill="F0F3F0"/>
            <w:tcMar>
              <w:top w:w="80" w:type="dxa"/>
              <w:left w:w="80" w:type="dxa"/>
              <w:bottom w:w="80" w:type="dxa"/>
              <w:right w:w="80" w:type="dxa"/>
            </w:tcMar>
          </w:tcPr>
          <w:p>
            <w:pPr>
              <w:spacing w:after="60" w:before="40" w:line="245" w:lineRule="auto"/>
            </w:pPr>
            <w:r>
              <w:rPr>
                <w:b w:val="0"/>
                <w:sz w:val="18"/>
              </w:rPr>
              <w:t>BrandFormance Program 3</w:t>
            </w:r>
          </w:p>
        </w:tc>
        <w:tc>
          <w:tcPr>
            <w:tcW w:type="dxa" w:w="2232"/>
            <w:shd w:fill="F0F3F0"/>
            <w:tcMar>
              <w:top w:w="80" w:type="dxa"/>
              <w:left w:w="80" w:type="dxa"/>
              <w:bottom w:w="80" w:type="dxa"/>
              <w:right w:w="80" w:type="dxa"/>
            </w:tcMar>
          </w:tcPr>
          <w:p>
            <w:pPr>
              <w:spacing w:after="60" w:before="40" w:line="245" w:lineRule="auto"/>
            </w:pPr>
            <w:r>
              <w:rPr>
                <w:b w:val="0"/>
                <w:sz w:val="18"/>
              </w:rPr>
              <w:t>$8,000</w:t>
            </w:r>
          </w:p>
        </w:tc>
        <w:tc>
          <w:tcPr>
            <w:tcW w:type="dxa" w:w="2592"/>
            <w:shd w:fill="F0F3F0"/>
            <w:tcMar>
              <w:top w:w="80" w:type="dxa"/>
              <w:left w:w="80" w:type="dxa"/>
              <w:bottom w:w="80" w:type="dxa"/>
              <w:right w:w="80" w:type="dxa"/>
            </w:tcMar>
          </w:tcPr>
          <w:p>
            <w:pPr>
              <w:spacing w:after="60" w:before="40" w:line="245" w:lineRule="auto"/>
            </w:pPr>
            <w:r>
              <w:rPr>
                <w:b w:val="0"/>
                <w:sz w:val="18"/>
              </w:rPr>
              <w:t>$12,000</w:t>
            </w:r>
          </w:p>
        </w:tc>
        <w:tc>
          <w:tcPr>
            <w:tcW w:type="dxa" w:w="2448"/>
            <w:shd w:fill="F0F3F0"/>
            <w:tcMar>
              <w:top w:w="80" w:type="dxa"/>
              <w:left w:w="80" w:type="dxa"/>
              <w:bottom w:w="80" w:type="dxa"/>
              <w:right w:w="80" w:type="dxa"/>
            </w:tcMar>
          </w:tcPr>
          <w:p>
            <w:pPr>
              <w:spacing w:after="60" w:before="40" w:line="245" w:lineRule="auto"/>
            </w:pPr>
            <w:r>
              <w:rPr>
                <w:b w:val="0"/>
                <w:sz w:val="18"/>
              </w:rPr>
              <w:t>Up to $4,000</w:t>
            </w:r>
          </w:p>
        </w:tc>
      </w:tr>
    </w:tbl>
    <w:p>
      <w:pPr>
        <w:spacing w:after="20"/>
      </w:pPr>
    </w:p>
    <w:p>
      <w:r>
        <w:rPr>
          <w:b w:val="0"/>
        </w:rPr>
        <w:t>Activation is $15,000 once. It includes first-month service, website work and the initial video production, including strategy, scripting, planning, crew, travel, lodging and editing. The first shoot is two days, with a third included if TopServ determines it is needed. Advertising is separate. Additional shoots and approved extras are priced separately.</w:t>
      </w:r>
    </w:p>
    <w:p>
      <w:r>
        <w:rPr>
          <w:b w:val="0"/>
        </w:rPr>
        <w:t>Month one has no additional base invoice and no Performance Pay. Regular base billing starts in month two. The first performance period is service months 2–4; later periods are consecutive three-service-month groups, not necessarily calendar quarters.</w:t>
      </w:r>
    </w:p>
    <w:tbl>
      <w:tblPr>
        <w:tblW w:type="auto" w:w="0"/>
        <w:tblLayout w:type="fixed"/>
        <w:tblLook w:firstColumn="1" w:firstRow="1" w:lastColumn="0" w:lastRow="0" w:noHBand="0" w:noVBand="1" w:val="04A0"/>
      </w:tblPr>
      <w:tblGrid>
        <w:gridCol w:w="2160"/>
        <w:gridCol w:w="864"/>
        <w:gridCol w:w="7344"/>
      </w:tblGrid>
      <w:tr>
        <w:trPr>
          <w:cantSplit/>
          <w:tblHeader/>
        </w:trPr>
        <w:tc>
          <w:tcPr>
            <w:tcW w:type="dxa" w:w="2160"/>
            <w:shd w:fill="202522"/>
            <w:tcMar>
              <w:top w:w="80" w:type="dxa"/>
              <w:left w:w="80" w:type="dxa"/>
              <w:bottom w:w="80" w:type="dxa"/>
              <w:right w:w="80" w:type="dxa"/>
            </w:tcMar>
          </w:tcPr>
          <w:p>
            <w:pPr>
              <w:spacing w:after="60" w:before="40" w:line="245" w:lineRule="auto"/>
            </w:pPr>
            <w:r>
              <w:rPr>
                <w:b/>
                <w:color w:val="FFFFFF"/>
                <w:sz w:val="18"/>
              </w:rPr>
              <w:t>Category</w:t>
            </w:r>
          </w:p>
        </w:tc>
        <w:tc>
          <w:tcPr>
            <w:tcW w:type="dxa" w:w="864"/>
            <w:shd w:fill="202522"/>
            <w:tcMar>
              <w:top w:w="80" w:type="dxa"/>
              <w:left w:w="80" w:type="dxa"/>
              <w:bottom w:w="80" w:type="dxa"/>
              <w:right w:w="80" w:type="dxa"/>
            </w:tcMar>
          </w:tcPr>
          <w:p>
            <w:pPr>
              <w:spacing w:after="60" w:before="40" w:line="245" w:lineRule="auto"/>
            </w:pPr>
            <w:r>
              <w:rPr>
                <w:b/>
                <w:color w:val="FFFFFF"/>
                <w:sz w:val="18"/>
              </w:rPr>
              <w:t>Weight</w:t>
            </w:r>
          </w:p>
        </w:tc>
        <w:tc>
          <w:tcPr>
            <w:tcW w:type="dxa" w:w="7344"/>
            <w:shd w:fill="202522"/>
            <w:tcMar>
              <w:top w:w="80" w:type="dxa"/>
              <w:left w:w="80" w:type="dxa"/>
              <w:bottom w:w="80" w:type="dxa"/>
              <w:right w:w="80" w:type="dxa"/>
            </w:tcMar>
          </w:tcPr>
          <w:p>
            <w:pPr>
              <w:spacing w:after="60" w:before="40" w:line="245" w:lineRule="auto"/>
            </w:pPr>
            <w:r>
              <w:rPr>
                <w:b/>
                <w:color w:val="FFFFFF"/>
                <w:sz w:val="18"/>
              </w:rPr>
              <w:t>Payment metric</w:t>
            </w:r>
          </w:p>
        </w:tc>
      </w:tr>
      <w:tr>
        <w:trPr>
          <w:cantSplit/>
        </w:trPr>
        <w:tc>
          <w:tcPr>
            <w:tcW w:type="dxa" w:w="2160"/>
            <w:shd w:fill="F0F3F0"/>
            <w:tcMar>
              <w:top w:w="80" w:type="dxa"/>
              <w:left w:w="80" w:type="dxa"/>
              <w:bottom w:w="80" w:type="dxa"/>
              <w:right w:w="80" w:type="dxa"/>
            </w:tcMar>
          </w:tcPr>
          <w:p>
            <w:pPr>
              <w:spacing w:after="60" w:before="40" w:line="245" w:lineRule="auto"/>
            </w:pPr>
            <w:r>
              <w:rPr>
                <w:b w:val="0"/>
                <w:sz w:val="18"/>
              </w:rPr>
              <w:t>Be Seen</w:t>
            </w:r>
          </w:p>
        </w:tc>
        <w:tc>
          <w:tcPr>
            <w:tcW w:type="dxa" w:w="864"/>
            <w:shd w:fill="F0F3F0"/>
            <w:tcMar>
              <w:top w:w="80" w:type="dxa"/>
              <w:left w:w="80" w:type="dxa"/>
              <w:bottom w:w="80" w:type="dxa"/>
              <w:right w:w="80" w:type="dxa"/>
            </w:tcMar>
          </w:tcPr>
          <w:p>
            <w:pPr>
              <w:spacing w:after="60" w:before="40" w:line="245" w:lineRule="auto"/>
            </w:pPr>
            <w:r>
              <w:rPr>
                <w:b w:val="0"/>
                <w:sz w:val="18"/>
              </w:rPr>
              <w:t>30%</w:t>
            </w:r>
          </w:p>
        </w:tc>
        <w:tc>
          <w:tcPr>
            <w:tcW w:type="dxa" w:w="7344"/>
            <w:shd w:fill="F0F3F0"/>
            <w:tcMar>
              <w:top w:w="80" w:type="dxa"/>
              <w:left w:w="80" w:type="dxa"/>
              <w:bottom w:w="80" w:type="dxa"/>
              <w:right w:w="80" w:type="dxa"/>
            </w:tcMar>
          </w:tcPr>
          <w:p>
            <w:pPr>
              <w:spacing w:after="60" w:before="40" w:line="245" w:lineRule="auto"/>
            </w:pPr>
            <w:r>
              <w:rPr>
                <w:b w:val="0"/>
                <w:sz w:val="18"/>
              </w:rPr>
              <w:t>Verified weekly brand reach and average frequency on one primary platform.</w:t>
            </w:r>
          </w:p>
        </w:tc>
      </w:tr>
      <w:tr>
        <w:trPr>
          <w:cantSplit/>
        </w:trPr>
        <w:tc>
          <w:tcPr>
            <w:tcW w:type="dxa" w:w="2160"/>
            <w:shd w:fill="FFFFFF"/>
            <w:tcMar>
              <w:top w:w="80" w:type="dxa"/>
              <w:left w:w="80" w:type="dxa"/>
              <w:bottom w:w="80" w:type="dxa"/>
              <w:right w:w="80" w:type="dxa"/>
            </w:tcMar>
          </w:tcPr>
          <w:p>
            <w:pPr>
              <w:spacing w:after="60" w:before="40" w:line="245" w:lineRule="auto"/>
            </w:pPr>
            <w:r>
              <w:rPr>
                <w:b w:val="0"/>
                <w:sz w:val="18"/>
              </w:rPr>
              <w:t>Be Found</w:t>
            </w:r>
          </w:p>
        </w:tc>
        <w:tc>
          <w:tcPr>
            <w:tcW w:type="dxa" w:w="864"/>
            <w:shd w:fill="FFFFFF"/>
            <w:tcMar>
              <w:top w:w="80" w:type="dxa"/>
              <w:left w:w="80" w:type="dxa"/>
              <w:bottom w:w="80" w:type="dxa"/>
              <w:right w:w="80" w:type="dxa"/>
            </w:tcMar>
          </w:tcPr>
          <w:p>
            <w:pPr>
              <w:spacing w:after="60" w:before="40" w:line="245" w:lineRule="auto"/>
            </w:pPr>
            <w:r>
              <w:rPr>
                <w:b w:val="0"/>
                <w:sz w:val="18"/>
              </w:rPr>
              <w:t>30%</w:t>
            </w:r>
          </w:p>
        </w:tc>
        <w:tc>
          <w:tcPr>
            <w:tcW w:type="dxa" w:w="7344"/>
            <w:shd w:fill="FFFFFF"/>
            <w:tcMar>
              <w:top w:w="80" w:type="dxa"/>
              <w:left w:w="80" w:type="dxa"/>
              <w:bottom w:w="80" w:type="dxa"/>
              <w:right w:w="80" w:type="dxa"/>
            </w:tcMar>
          </w:tcPr>
          <w:p>
            <w:pPr>
              <w:spacing w:after="60" w:before="40" w:line="245" w:lineRule="auto"/>
            </w:pPr>
            <w:r>
              <w:rPr>
                <w:b w:val="0"/>
                <w:sz w:val="18"/>
              </w:rPr>
              <w:t>Growth in total branded and non-branded organic sessions.</w:t>
            </w:r>
          </w:p>
        </w:tc>
      </w:tr>
      <w:tr>
        <w:trPr>
          <w:cantSplit/>
        </w:trPr>
        <w:tc>
          <w:tcPr>
            <w:tcW w:type="dxa" w:w="2160"/>
            <w:shd w:fill="F0F3F0"/>
            <w:tcMar>
              <w:top w:w="80" w:type="dxa"/>
              <w:left w:w="80" w:type="dxa"/>
              <w:bottom w:w="80" w:type="dxa"/>
              <w:right w:w="80" w:type="dxa"/>
            </w:tcMar>
          </w:tcPr>
          <w:p>
            <w:pPr>
              <w:spacing w:after="60" w:before="40" w:line="245" w:lineRule="auto"/>
            </w:pPr>
            <w:r>
              <w:rPr>
                <w:b w:val="0"/>
                <w:sz w:val="18"/>
              </w:rPr>
              <w:t>Be Chosen</w:t>
            </w:r>
          </w:p>
        </w:tc>
        <w:tc>
          <w:tcPr>
            <w:tcW w:type="dxa" w:w="864"/>
            <w:shd w:fill="F0F3F0"/>
            <w:tcMar>
              <w:top w:w="80" w:type="dxa"/>
              <w:left w:w="80" w:type="dxa"/>
              <w:bottom w:w="80" w:type="dxa"/>
              <w:right w:w="80" w:type="dxa"/>
            </w:tcMar>
          </w:tcPr>
          <w:p>
            <w:pPr>
              <w:spacing w:after="60" w:before="40" w:line="245" w:lineRule="auto"/>
            </w:pPr>
            <w:r>
              <w:rPr>
                <w:b w:val="0"/>
                <w:sz w:val="18"/>
              </w:rPr>
              <w:t>30%</w:t>
            </w:r>
          </w:p>
        </w:tc>
        <w:tc>
          <w:tcPr>
            <w:tcW w:type="dxa" w:w="7344"/>
            <w:shd w:fill="F0F3F0"/>
            <w:tcMar>
              <w:top w:w="80" w:type="dxa"/>
              <w:left w:w="80" w:type="dxa"/>
              <w:bottom w:w="80" w:type="dxa"/>
              <w:right w:w="80" w:type="dxa"/>
            </w:tcMar>
          </w:tcPr>
          <w:p>
            <w:pPr>
              <w:spacing w:after="60" w:before="40" w:line="245" w:lineRule="auto"/>
            </w:pPr>
            <w:r>
              <w:rPr>
                <w:b w:val="0"/>
                <w:sz w:val="18"/>
              </w:rPr>
              <w:t>Growth in distinct qualified service opportunities from new and existing customers.</w:t>
            </w:r>
          </w:p>
        </w:tc>
      </w:tr>
      <w:tr>
        <w:trPr>
          <w:cantSplit/>
        </w:trPr>
        <w:tc>
          <w:tcPr>
            <w:tcW w:type="dxa" w:w="2160"/>
            <w:shd w:fill="FFFFFF"/>
            <w:tcMar>
              <w:top w:w="80" w:type="dxa"/>
              <w:left w:w="80" w:type="dxa"/>
              <w:bottom w:w="80" w:type="dxa"/>
              <w:right w:w="80" w:type="dxa"/>
            </w:tcMar>
          </w:tcPr>
          <w:p>
            <w:pPr>
              <w:spacing w:after="60" w:before="40" w:line="245" w:lineRule="auto"/>
            </w:pPr>
            <w:r>
              <w:rPr>
                <w:b w:val="0"/>
                <w:sz w:val="18"/>
              </w:rPr>
              <w:t>Client Experience</w:t>
            </w:r>
          </w:p>
        </w:tc>
        <w:tc>
          <w:tcPr>
            <w:tcW w:type="dxa" w:w="864"/>
            <w:shd w:fill="FFFFFF"/>
            <w:tcMar>
              <w:top w:w="80" w:type="dxa"/>
              <w:left w:w="80" w:type="dxa"/>
              <w:bottom w:w="80" w:type="dxa"/>
              <w:right w:w="80" w:type="dxa"/>
            </w:tcMar>
          </w:tcPr>
          <w:p>
            <w:pPr>
              <w:spacing w:after="60" w:before="40" w:line="245" w:lineRule="auto"/>
            </w:pPr>
            <w:r>
              <w:rPr>
                <w:b w:val="0"/>
                <w:sz w:val="18"/>
              </w:rPr>
              <w:t>10%</w:t>
            </w:r>
          </w:p>
        </w:tc>
        <w:tc>
          <w:tcPr>
            <w:tcW w:type="dxa" w:w="7344"/>
            <w:shd w:fill="FFFFFF"/>
            <w:tcMar>
              <w:top w:w="80" w:type="dxa"/>
              <w:left w:w="80" w:type="dxa"/>
              <w:bottom w:w="80" w:type="dxa"/>
              <w:right w:w="80" w:type="dxa"/>
            </w:tcMar>
          </w:tcPr>
          <w:p>
            <w:pPr>
              <w:spacing w:after="60" w:before="40" w:line="245" w:lineRule="auto"/>
            </w:pPr>
            <w:r>
              <w:rPr>
                <w:b w:val="0"/>
                <w:sz w:val="18"/>
              </w:rPr>
              <w:t>Monthly feedback on communication, follow-through and responsiveness.</w:t>
            </w:r>
          </w:p>
        </w:tc>
      </w:tr>
    </w:tbl>
    <w:p>
      <w:pPr>
        <w:spacing w:after="20"/>
      </w:pPr>
    </w:p>
    <w:p>
      <w:r>
        <w:rPr>
          <w:b/>
        </w:rPr>
        <w:t>Each category earns independently. Below 60% achievement earns $0 in that category. From 60% through 100%, earn that percentage of its available amount. Cap scores at 100%. No aggregate gate, payout bands or 95% full-payment threshold remains.</w:t>
      </w:r>
    </w:p>
    <w:p>
      <w:r>
        <w:rPr>
          <w:b w:val="0"/>
        </w:rPr>
        <w:t>Baselines and targets are established during activation. Proposed targets are due at least 10 calendar days before each period and require approval before measurement. Monthly and quarterly reports are due within 10 days after their respective periods. Both parties verify and expressly approve payable results before a Performance Pay request or invoice. Late reporting leaves payment pending rather than forfeited.</w:t>
      </w:r>
    </w:p>
    <w:p>
      <w:r>
        <w:rPr>
          <w:b w:val="0"/>
        </w:rPr>
        <w:t>Do not describe this as a fixed 60/40 or 50/50 fee split. If full recurring fees are shown for clarity, use $5,000 / $8,000 / $12,000 monthly equivalents when fully earned, secondary to the base prices and clearly labeled. They exclude activation and advertising.</w:t>
      </w:r>
    </w:p>
    <w:p>
      <w:pPr>
        <w:pStyle w:val="Heading1"/>
        <w:pageBreakBefore/>
      </w:pPr>
      <w:r>
        <w:t>Pricing page copy and layout</w:t>
      </w:r>
    </w:p>
    <w:p>
      <w:r>
        <w:rPr>
          <w:b w:val="0"/>
        </w:rPr>
        <w:t>Route: /programs-pricing/pricing. Keep existing navigation and URL. Follow the approved dark and lime mockup. The copy below is website copy; implementation notes stay out of the published page.</w:t>
      </w:r>
    </w:p>
    <w:p>
      <w:pPr>
        <w:pStyle w:val="Heading2"/>
      </w:pPr>
      <w:r>
        <w:t>Hero</w:t>
      </w:r>
    </w:p>
    <w:p>
      <w:r>
        <w:rPr>
          <w:b w:val="0"/>
        </w:rPr>
        <w:t>Eyebrow: BRANDFORMANCE PROGRAMS</w:t>
      </w:r>
    </w:p>
    <w:p>
      <w:r>
        <w:rPr>
          <w:b/>
        </w:rPr>
        <w:t>H1: Built around your goals. Earned through performance.</w:t>
      </w:r>
    </w:p>
    <w:p>
      <w:r>
        <w:rPr>
          <w:b w:val="0"/>
        </w:rPr>
        <w:t>Your market. Your competition. Your starting point. Your growth goals. We recommend the resources your plan requires.</w:t>
      </w:r>
    </w:p>
    <w:p>
      <w:r>
        <w:rPr>
          <w:b w:val="0"/>
        </w:rPr>
        <w:t>Primary button: Find My BrandFormance Program. Destination: the team discovery-call calendar. Secondary link: Get Your Brand Grade. Destination: /brand-assessment.</w:t>
      </w:r>
    </w:p>
    <w:p>
      <w:r>
        <w:rPr>
          <w:b w:val="0"/>
        </w:rPr>
        <w:t>Place Jonathan’s explanation video beside the hero. Use an honest thumbnail before the recording is ready; never ship a play button that does nothing. All essential information must also appear as text.</w:t>
      </w:r>
    </w:p>
    <w:p>
      <w:pPr>
        <w:pStyle w:val="Heading2"/>
      </w:pPr>
      <w:r>
        <w:t>Program cards</w:t>
      </w:r>
    </w:p>
    <w:p>
      <w:r>
        <w:rPr>
          <w:b w:val="0"/>
        </w:rPr>
        <w:t>H2: The right program for your growth plan.</w:t>
        <w:br/>
        <w:t>One approach. A resource level matched to your business.</w:t>
      </w:r>
    </w:p>
    <w:tbl>
      <w:tblPr>
        <w:tblW w:type="auto" w:w="0"/>
        <w:tblLayout w:type="fixed"/>
        <w:tblLook w:firstColumn="1" w:firstRow="1" w:lastColumn="0" w:lastRow="0" w:noHBand="0" w:noVBand="1" w:val="04A0"/>
      </w:tblPr>
      <w:tblGrid>
        <w:gridCol w:w="2592"/>
        <w:gridCol w:w="2520"/>
        <w:gridCol w:w="5256"/>
      </w:tblGrid>
      <w:tr>
        <w:trPr>
          <w:cantSplit/>
          <w:tblHeader/>
        </w:trPr>
        <w:tc>
          <w:tcPr>
            <w:tcW w:type="dxa" w:w="2592"/>
            <w:shd w:fill="202522"/>
            <w:tcMar>
              <w:top w:w="80" w:type="dxa"/>
              <w:left w:w="80" w:type="dxa"/>
              <w:bottom w:w="80" w:type="dxa"/>
              <w:right w:w="80" w:type="dxa"/>
            </w:tcMar>
          </w:tcPr>
          <w:p>
            <w:pPr>
              <w:spacing w:after="60" w:before="40" w:line="245" w:lineRule="auto"/>
            </w:pPr>
            <w:r>
              <w:rPr>
                <w:b/>
                <w:color w:val="FFFFFF"/>
                <w:sz w:val="18"/>
              </w:rPr>
              <w:t>Card</w:t>
            </w:r>
          </w:p>
        </w:tc>
        <w:tc>
          <w:tcPr>
            <w:tcW w:type="dxa" w:w="2520"/>
            <w:shd w:fill="202522"/>
            <w:tcMar>
              <w:top w:w="80" w:type="dxa"/>
              <w:left w:w="80" w:type="dxa"/>
              <w:bottom w:w="80" w:type="dxa"/>
              <w:right w:w="80" w:type="dxa"/>
            </w:tcMar>
          </w:tcPr>
          <w:p>
            <w:pPr>
              <w:spacing w:after="60" w:before="40" w:line="245" w:lineRule="auto"/>
            </w:pPr>
            <w:r>
              <w:rPr>
                <w:b/>
                <w:color w:val="FFFFFF"/>
                <w:sz w:val="18"/>
              </w:rPr>
              <w:t>Prominent price</w:t>
            </w:r>
          </w:p>
        </w:tc>
        <w:tc>
          <w:tcPr>
            <w:tcW w:type="dxa" w:w="5256"/>
            <w:shd w:fill="202522"/>
            <w:tcMar>
              <w:top w:w="80" w:type="dxa"/>
              <w:left w:w="80" w:type="dxa"/>
              <w:bottom w:w="80" w:type="dxa"/>
              <w:right w:w="80" w:type="dxa"/>
            </w:tcMar>
          </w:tcPr>
          <w:p>
            <w:pPr>
              <w:spacing w:after="60" w:before="40" w:line="245" w:lineRule="auto"/>
            </w:pPr>
            <w:r>
              <w:rPr>
                <w:b/>
                <w:color w:val="FFFFFF"/>
                <w:sz w:val="18"/>
              </w:rPr>
              <w:t>Performance copy beneath price</w:t>
            </w:r>
          </w:p>
        </w:tc>
      </w:tr>
      <w:tr>
        <w:trPr>
          <w:cantSplit/>
        </w:trPr>
        <w:tc>
          <w:tcPr>
            <w:tcW w:type="dxa" w:w="2592"/>
            <w:shd w:fill="F0F3F0"/>
            <w:tcMar>
              <w:top w:w="80" w:type="dxa"/>
              <w:left w:w="80" w:type="dxa"/>
              <w:bottom w:w="80" w:type="dxa"/>
              <w:right w:w="80" w:type="dxa"/>
            </w:tcMar>
          </w:tcPr>
          <w:p>
            <w:pPr>
              <w:spacing w:after="60" w:before="40" w:line="245" w:lineRule="auto"/>
            </w:pPr>
            <w:r>
              <w:rPr>
                <w:b w:val="0"/>
                <w:sz w:val="18"/>
              </w:rPr>
              <w:t>BrandFormance Program 1</w:t>
            </w:r>
          </w:p>
        </w:tc>
        <w:tc>
          <w:tcPr>
            <w:tcW w:type="dxa" w:w="2520"/>
            <w:shd w:fill="F0F3F0"/>
            <w:tcMar>
              <w:top w:w="80" w:type="dxa"/>
              <w:left w:w="80" w:type="dxa"/>
              <w:bottom w:w="80" w:type="dxa"/>
              <w:right w:w="80" w:type="dxa"/>
            </w:tcMar>
          </w:tcPr>
          <w:p>
            <w:pPr>
              <w:spacing w:after="60" w:before="40" w:line="245" w:lineRule="auto"/>
            </w:pPr>
            <w:r>
              <w:rPr>
                <w:b w:val="0"/>
                <w:sz w:val="18"/>
              </w:rPr>
              <w:t>$3,000 / month base</w:t>
            </w:r>
          </w:p>
        </w:tc>
        <w:tc>
          <w:tcPr>
            <w:tcW w:type="dxa" w:w="5256"/>
            <w:shd w:fill="F0F3F0"/>
            <w:tcMar>
              <w:top w:w="80" w:type="dxa"/>
              <w:left w:w="80" w:type="dxa"/>
              <w:bottom w:w="80" w:type="dxa"/>
              <w:right w:w="80" w:type="dxa"/>
            </w:tcMar>
          </w:tcPr>
          <w:p>
            <w:pPr>
              <w:spacing w:after="60" w:before="40" w:line="245" w:lineRule="auto"/>
            </w:pPr>
            <w:r>
              <w:rPr>
                <w:b w:val="0"/>
                <w:sz w:val="18"/>
              </w:rPr>
              <w:t>Plus earned Performance Pay</w:t>
              <w:br/>
              <w:t>Up to $6,000 / quarter</w:t>
              <w:br/>
              <w:t>Equivalent to up to $2,000 per month</w:t>
            </w:r>
          </w:p>
        </w:tc>
      </w:tr>
      <w:tr>
        <w:trPr>
          <w:cantSplit/>
        </w:trPr>
        <w:tc>
          <w:tcPr>
            <w:tcW w:type="dxa" w:w="2592"/>
            <w:shd w:fill="FFFFFF"/>
            <w:tcMar>
              <w:top w:w="80" w:type="dxa"/>
              <w:left w:w="80" w:type="dxa"/>
              <w:bottom w:w="80" w:type="dxa"/>
              <w:right w:w="80" w:type="dxa"/>
            </w:tcMar>
          </w:tcPr>
          <w:p>
            <w:pPr>
              <w:spacing w:after="60" w:before="40" w:line="245" w:lineRule="auto"/>
            </w:pPr>
            <w:r>
              <w:rPr>
                <w:b w:val="0"/>
                <w:sz w:val="18"/>
              </w:rPr>
              <w:t>BrandFormance Program 2</w:t>
            </w:r>
          </w:p>
        </w:tc>
        <w:tc>
          <w:tcPr>
            <w:tcW w:type="dxa" w:w="2520"/>
            <w:shd w:fill="FFFFFF"/>
            <w:tcMar>
              <w:top w:w="80" w:type="dxa"/>
              <w:left w:w="80" w:type="dxa"/>
              <w:bottom w:w="80" w:type="dxa"/>
              <w:right w:w="80" w:type="dxa"/>
            </w:tcMar>
          </w:tcPr>
          <w:p>
            <w:pPr>
              <w:spacing w:after="60" w:before="40" w:line="245" w:lineRule="auto"/>
            </w:pPr>
            <w:r>
              <w:rPr>
                <w:b w:val="0"/>
                <w:sz w:val="18"/>
              </w:rPr>
              <w:t>$5,000 / month base</w:t>
            </w:r>
          </w:p>
        </w:tc>
        <w:tc>
          <w:tcPr>
            <w:tcW w:type="dxa" w:w="5256"/>
            <w:shd w:fill="FFFFFF"/>
            <w:tcMar>
              <w:top w:w="80" w:type="dxa"/>
              <w:left w:w="80" w:type="dxa"/>
              <w:bottom w:w="80" w:type="dxa"/>
              <w:right w:w="80" w:type="dxa"/>
            </w:tcMar>
          </w:tcPr>
          <w:p>
            <w:pPr>
              <w:spacing w:after="60" w:before="40" w:line="245" w:lineRule="auto"/>
            </w:pPr>
            <w:r>
              <w:rPr>
                <w:b w:val="0"/>
                <w:sz w:val="18"/>
              </w:rPr>
              <w:t>Plus earned Performance Pay</w:t>
              <w:br/>
              <w:t>Up to $9,000 / quarter</w:t>
              <w:br/>
              <w:t>Equivalent to up to $3,000 per month</w:t>
            </w:r>
          </w:p>
        </w:tc>
      </w:tr>
      <w:tr>
        <w:trPr>
          <w:cantSplit/>
        </w:trPr>
        <w:tc>
          <w:tcPr>
            <w:tcW w:type="dxa" w:w="2592"/>
            <w:shd w:fill="F0F3F0"/>
            <w:tcMar>
              <w:top w:w="80" w:type="dxa"/>
              <w:left w:w="80" w:type="dxa"/>
              <w:bottom w:w="80" w:type="dxa"/>
              <w:right w:w="80" w:type="dxa"/>
            </w:tcMar>
          </w:tcPr>
          <w:p>
            <w:pPr>
              <w:spacing w:after="60" w:before="40" w:line="245" w:lineRule="auto"/>
            </w:pPr>
            <w:r>
              <w:rPr>
                <w:b w:val="0"/>
                <w:sz w:val="18"/>
              </w:rPr>
              <w:t>BrandFormance Program 3</w:t>
            </w:r>
          </w:p>
        </w:tc>
        <w:tc>
          <w:tcPr>
            <w:tcW w:type="dxa" w:w="2520"/>
            <w:shd w:fill="F0F3F0"/>
            <w:tcMar>
              <w:top w:w="80" w:type="dxa"/>
              <w:left w:w="80" w:type="dxa"/>
              <w:bottom w:w="80" w:type="dxa"/>
              <w:right w:w="80" w:type="dxa"/>
            </w:tcMar>
          </w:tcPr>
          <w:p>
            <w:pPr>
              <w:spacing w:after="60" w:before="40" w:line="245" w:lineRule="auto"/>
            </w:pPr>
            <w:r>
              <w:rPr>
                <w:b w:val="0"/>
                <w:sz w:val="18"/>
              </w:rPr>
              <w:t>$8,000 / month base</w:t>
            </w:r>
          </w:p>
        </w:tc>
        <w:tc>
          <w:tcPr>
            <w:tcW w:type="dxa" w:w="5256"/>
            <w:shd w:fill="F0F3F0"/>
            <w:tcMar>
              <w:top w:w="80" w:type="dxa"/>
              <w:left w:w="80" w:type="dxa"/>
              <w:bottom w:w="80" w:type="dxa"/>
              <w:right w:w="80" w:type="dxa"/>
            </w:tcMar>
          </w:tcPr>
          <w:p>
            <w:pPr>
              <w:spacing w:after="60" w:before="40" w:line="245" w:lineRule="auto"/>
            </w:pPr>
            <w:r>
              <w:rPr>
                <w:b w:val="0"/>
                <w:sz w:val="18"/>
              </w:rPr>
              <w:t>Plus earned Performance Pay</w:t>
              <w:br/>
              <w:t>Up to $12,000 / quarter</w:t>
              <w:br/>
              <w:t>Equivalent to up to $4,000 per month</w:t>
            </w:r>
          </w:p>
        </w:tc>
      </w:tr>
    </w:tbl>
    <w:p>
      <w:pPr>
        <w:spacing w:after="20"/>
      </w:pPr>
    </w:p>
    <w:p>
      <w:r>
        <w:rPr>
          <w:b w:val="0"/>
        </w:rPr>
        <w:t>Use the same CTA on every card: Find My BrandFormance Program. Equal dimensions, type hierarchy and emphasis; no Most Popular badge, preselected tier or success ladder. On mobile stack Programs 1, 2 and 3.</w:t>
      </w:r>
    </w:p>
    <w:p>
      <w:r>
        <w:rPr>
          <w:b w:val="0"/>
        </w:rPr>
        <w:t>Below cards: Performance Pay is earned and billed quarterly. Advertising spend is separate. Programs are recommended after assessment, not selected by content quantities. Monthly base billing begins in month two.</w:t>
      </w:r>
    </w:p>
    <w:p>
      <w:pPr>
        <w:pStyle w:val="Heading2"/>
      </w:pPr>
      <w:r>
        <w:t>Activation panel</w:t>
      </w:r>
    </w:p>
    <w:p>
      <w:r>
        <w:rPr>
          <w:b/>
        </w:rPr>
        <w:t>$15,000 one-time activation</w:t>
      </w:r>
    </w:p>
    <w:p>
      <w:r>
        <w:rPr>
          <w:b w:val="0"/>
        </w:rPr>
        <w:t>Includes your first month of service, new agentic website, and initial video production, including planning, travel, lodging and editing. Monthly base billing starts in month two. Advertising spend is separate.</w:t>
      </w:r>
    </w:p>
    <w:p>
      <w:r>
        <w:rPr>
          <w:b w:val="0"/>
        </w:rPr>
        <w:t>Scope strip: One connected BrandFormance system. Website and Hosting | SEO and AIO | Paid Media | Social and Reputation | Video and Strategy.</w:t>
      </w:r>
    </w:p>
    <w:p>
      <w:pPr>
        <w:pStyle w:val="Heading1"/>
        <w:pageBreakBefore/>
      </w:pPr>
      <w:r>
        <w:t>Program fit and performance page copy</w:t>
      </w:r>
    </w:p>
    <w:p>
      <w:pPr>
        <w:pStyle w:val="Heading2"/>
      </w:pPr>
      <w:r>
        <w:t>How we recommend your program</w:t>
      </w:r>
    </w:p>
    <w:p>
      <w:r>
        <w:rPr>
          <w:b w:val="0"/>
        </w:rPr>
        <w:t>H2: Your program follows your market and goals.</w:t>
      </w:r>
    </w:p>
    <w:p>
      <w:r>
        <w:rPr>
          <w:b w:val="0"/>
        </w:rPr>
        <w:t>We assess the geography and households you serve, your competition, your current brand equity and the growth you want to pursue. A smaller market with ambitious growth goals can require more resources than a larger market with modest goals. We recommend the program that fits your plan, then adapt the work within the approved scope and budget.</w:t>
      </w:r>
    </w:p>
    <w:p>
      <w:r>
        <w:rPr>
          <w:b w:val="0"/>
        </w:rPr>
        <w:t>Show four factor tiles: Market and service area | Competition | Current brand equity | Growth goals. Service complexity and capacity can be discussed during discovery. Do not invent numeric placement weights or grader cutoffs. A Brand Grade is not the performance-payment score.</w:t>
      </w:r>
    </w:p>
    <w:p>
      <w:pPr>
        <w:pStyle w:val="Heading2"/>
      </w:pPr>
      <w:r>
        <w:t>Performance section</w:t>
      </w:r>
    </w:p>
    <w:p>
      <w:r>
        <w:rPr>
          <w:b w:val="0"/>
        </w:rPr>
        <w:t>H2: Four clear ways we earn our performance pay.</w:t>
      </w:r>
    </w:p>
    <w:tbl>
      <w:tblPr>
        <w:tblW w:type="auto" w:w="0"/>
        <w:tblLayout w:type="fixed"/>
        <w:tblLook w:firstColumn="1" w:firstRow="1" w:lastColumn="0" w:lastRow="0" w:noHBand="0" w:noVBand="1" w:val="04A0"/>
      </w:tblPr>
      <w:tblGrid>
        <w:gridCol w:w="2160"/>
        <w:gridCol w:w="864"/>
        <w:gridCol w:w="7344"/>
      </w:tblGrid>
      <w:tr>
        <w:trPr>
          <w:cantSplit/>
          <w:tblHeader/>
        </w:trPr>
        <w:tc>
          <w:tcPr>
            <w:tcW w:type="dxa" w:w="2160"/>
            <w:shd w:fill="202522"/>
            <w:tcMar>
              <w:top w:w="80" w:type="dxa"/>
              <w:left w:w="80" w:type="dxa"/>
              <w:bottom w:w="80" w:type="dxa"/>
              <w:right w:w="80" w:type="dxa"/>
            </w:tcMar>
          </w:tcPr>
          <w:p>
            <w:pPr>
              <w:spacing w:after="60" w:before="40" w:line="245" w:lineRule="auto"/>
            </w:pPr>
            <w:r>
              <w:rPr>
                <w:b/>
                <w:color w:val="FFFFFF"/>
                <w:sz w:val="18"/>
              </w:rPr>
              <w:t>Category</w:t>
            </w:r>
          </w:p>
        </w:tc>
        <w:tc>
          <w:tcPr>
            <w:tcW w:type="dxa" w:w="864"/>
            <w:shd w:fill="202522"/>
            <w:tcMar>
              <w:top w:w="80" w:type="dxa"/>
              <w:left w:w="80" w:type="dxa"/>
              <w:bottom w:w="80" w:type="dxa"/>
              <w:right w:w="80" w:type="dxa"/>
            </w:tcMar>
          </w:tcPr>
          <w:p>
            <w:pPr>
              <w:spacing w:after="60" w:before="40" w:line="245" w:lineRule="auto"/>
            </w:pPr>
            <w:r>
              <w:rPr>
                <w:b/>
                <w:color w:val="FFFFFF"/>
                <w:sz w:val="18"/>
              </w:rPr>
              <w:t>Weight</w:t>
            </w:r>
          </w:p>
        </w:tc>
        <w:tc>
          <w:tcPr>
            <w:tcW w:type="dxa" w:w="7344"/>
            <w:shd w:fill="202522"/>
            <w:tcMar>
              <w:top w:w="80" w:type="dxa"/>
              <w:left w:w="80" w:type="dxa"/>
              <w:bottom w:w="80" w:type="dxa"/>
              <w:right w:w="80" w:type="dxa"/>
            </w:tcMar>
          </w:tcPr>
          <w:p>
            <w:pPr>
              <w:spacing w:after="60" w:before="40" w:line="245" w:lineRule="auto"/>
            </w:pPr>
            <w:r>
              <w:rPr>
                <w:b/>
                <w:color w:val="FFFFFF"/>
                <w:sz w:val="18"/>
              </w:rPr>
              <w:t>Visible explanation</w:t>
            </w:r>
          </w:p>
        </w:tc>
      </w:tr>
      <w:tr>
        <w:trPr>
          <w:cantSplit/>
        </w:trPr>
        <w:tc>
          <w:tcPr>
            <w:tcW w:type="dxa" w:w="2160"/>
            <w:shd w:fill="F0F3F0"/>
            <w:tcMar>
              <w:top w:w="80" w:type="dxa"/>
              <w:left w:w="80" w:type="dxa"/>
              <w:bottom w:w="80" w:type="dxa"/>
              <w:right w:w="80" w:type="dxa"/>
            </w:tcMar>
          </w:tcPr>
          <w:p>
            <w:pPr>
              <w:spacing w:after="60" w:before="40" w:line="245" w:lineRule="auto"/>
            </w:pPr>
            <w:r>
              <w:rPr>
                <w:b w:val="0"/>
                <w:sz w:val="18"/>
              </w:rPr>
              <w:t>Be Seen</w:t>
            </w:r>
          </w:p>
        </w:tc>
        <w:tc>
          <w:tcPr>
            <w:tcW w:type="dxa" w:w="864"/>
            <w:shd w:fill="F0F3F0"/>
            <w:tcMar>
              <w:top w:w="80" w:type="dxa"/>
              <w:left w:w="80" w:type="dxa"/>
              <w:bottom w:w="80" w:type="dxa"/>
              <w:right w:w="80" w:type="dxa"/>
            </w:tcMar>
          </w:tcPr>
          <w:p>
            <w:pPr>
              <w:spacing w:after="60" w:before="40" w:line="245" w:lineRule="auto"/>
            </w:pPr>
            <w:r>
              <w:rPr>
                <w:b w:val="0"/>
                <w:sz w:val="18"/>
              </w:rPr>
              <w:t>30%</w:t>
            </w:r>
          </w:p>
        </w:tc>
        <w:tc>
          <w:tcPr>
            <w:tcW w:type="dxa" w:w="7344"/>
            <w:shd w:fill="F0F3F0"/>
            <w:tcMar>
              <w:top w:w="80" w:type="dxa"/>
              <w:left w:w="80" w:type="dxa"/>
              <w:bottom w:w="80" w:type="dxa"/>
              <w:right w:w="80" w:type="dxa"/>
            </w:tcMar>
          </w:tcPr>
          <w:p>
            <w:pPr>
              <w:spacing w:after="60" w:before="40" w:line="245" w:lineRule="auto"/>
            </w:pPr>
            <w:r>
              <w:rPr>
                <w:b w:val="0"/>
                <w:sz w:val="18"/>
              </w:rPr>
              <w:t>Verified weekly brand reach and frequency.</w:t>
            </w:r>
          </w:p>
        </w:tc>
      </w:tr>
      <w:tr>
        <w:trPr>
          <w:cantSplit/>
        </w:trPr>
        <w:tc>
          <w:tcPr>
            <w:tcW w:type="dxa" w:w="2160"/>
            <w:shd w:fill="FFFFFF"/>
            <w:tcMar>
              <w:top w:w="80" w:type="dxa"/>
              <w:left w:w="80" w:type="dxa"/>
              <w:bottom w:w="80" w:type="dxa"/>
              <w:right w:w="80" w:type="dxa"/>
            </w:tcMar>
          </w:tcPr>
          <w:p>
            <w:pPr>
              <w:spacing w:after="60" w:before="40" w:line="245" w:lineRule="auto"/>
            </w:pPr>
            <w:r>
              <w:rPr>
                <w:b w:val="0"/>
                <w:sz w:val="18"/>
              </w:rPr>
              <w:t>Be Found</w:t>
            </w:r>
          </w:p>
        </w:tc>
        <w:tc>
          <w:tcPr>
            <w:tcW w:type="dxa" w:w="864"/>
            <w:shd w:fill="FFFFFF"/>
            <w:tcMar>
              <w:top w:w="80" w:type="dxa"/>
              <w:left w:w="80" w:type="dxa"/>
              <w:bottom w:w="80" w:type="dxa"/>
              <w:right w:w="80" w:type="dxa"/>
            </w:tcMar>
          </w:tcPr>
          <w:p>
            <w:pPr>
              <w:spacing w:after="60" w:before="40" w:line="245" w:lineRule="auto"/>
            </w:pPr>
            <w:r>
              <w:rPr>
                <w:b w:val="0"/>
                <w:sz w:val="18"/>
              </w:rPr>
              <w:t>30%</w:t>
            </w:r>
          </w:p>
        </w:tc>
        <w:tc>
          <w:tcPr>
            <w:tcW w:type="dxa" w:w="7344"/>
            <w:shd w:fill="FFFFFF"/>
            <w:tcMar>
              <w:top w:w="80" w:type="dxa"/>
              <w:left w:w="80" w:type="dxa"/>
              <w:bottom w:w="80" w:type="dxa"/>
              <w:right w:w="80" w:type="dxa"/>
            </w:tcMar>
          </w:tcPr>
          <w:p>
            <w:pPr>
              <w:spacing w:after="60" w:before="40" w:line="245" w:lineRule="auto"/>
            </w:pPr>
            <w:r>
              <w:rPr>
                <w:b w:val="0"/>
                <w:sz w:val="18"/>
              </w:rPr>
              <w:t>Growth in branded and non-branded organic traffic.</w:t>
            </w:r>
          </w:p>
        </w:tc>
      </w:tr>
      <w:tr>
        <w:trPr>
          <w:cantSplit/>
        </w:trPr>
        <w:tc>
          <w:tcPr>
            <w:tcW w:type="dxa" w:w="2160"/>
            <w:shd w:fill="F0F3F0"/>
            <w:tcMar>
              <w:top w:w="80" w:type="dxa"/>
              <w:left w:w="80" w:type="dxa"/>
              <w:bottom w:w="80" w:type="dxa"/>
              <w:right w:w="80" w:type="dxa"/>
            </w:tcMar>
          </w:tcPr>
          <w:p>
            <w:pPr>
              <w:spacing w:after="60" w:before="40" w:line="245" w:lineRule="auto"/>
            </w:pPr>
            <w:r>
              <w:rPr>
                <w:b w:val="0"/>
                <w:sz w:val="18"/>
              </w:rPr>
              <w:t>Be Chosen</w:t>
            </w:r>
          </w:p>
        </w:tc>
        <w:tc>
          <w:tcPr>
            <w:tcW w:type="dxa" w:w="864"/>
            <w:shd w:fill="F0F3F0"/>
            <w:tcMar>
              <w:top w:w="80" w:type="dxa"/>
              <w:left w:w="80" w:type="dxa"/>
              <w:bottom w:w="80" w:type="dxa"/>
              <w:right w:w="80" w:type="dxa"/>
            </w:tcMar>
          </w:tcPr>
          <w:p>
            <w:pPr>
              <w:spacing w:after="60" w:before="40" w:line="245" w:lineRule="auto"/>
            </w:pPr>
            <w:r>
              <w:rPr>
                <w:b w:val="0"/>
                <w:sz w:val="18"/>
              </w:rPr>
              <w:t>30%</w:t>
            </w:r>
          </w:p>
        </w:tc>
        <w:tc>
          <w:tcPr>
            <w:tcW w:type="dxa" w:w="7344"/>
            <w:shd w:fill="F0F3F0"/>
            <w:tcMar>
              <w:top w:w="80" w:type="dxa"/>
              <w:left w:w="80" w:type="dxa"/>
              <w:bottom w:w="80" w:type="dxa"/>
              <w:right w:w="80" w:type="dxa"/>
            </w:tcMar>
          </w:tcPr>
          <w:p>
            <w:pPr>
              <w:spacing w:after="60" w:before="40" w:line="245" w:lineRule="auto"/>
            </w:pPr>
            <w:r>
              <w:rPr>
                <w:b w:val="0"/>
                <w:sz w:val="18"/>
              </w:rPr>
              <w:t>Qualified service opportunities from new and existing customers.</w:t>
            </w:r>
          </w:p>
        </w:tc>
      </w:tr>
      <w:tr>
        <w:trPr>
          <w:cantSplit/>
        </w:trPr>
        <w:tc>
          <w:tcPr>
            <w:tcW w:type="dxa" w:w="2160"/>
            <w:shd w:fill="FFFFFF"/>
            <w:tcMar>
              <w:top w:w="80" w:type="dxa"/>
              <w:left w:w="80" w:type="dxa"/>
              <w:bottom w:w="80" w:type="dxa"/>
              <w:right w:w="80" w:type="dxa"/>
            </w:tcMar>
          </w:tcPr>
          <w:p>
            <w:pPr>
              <w:spacing w:after="60" w:before="40" w:line="245" w:lineRule="auto"/>
            </w:pPr>
            <w:r>
              <w:rPr>
                <w:b w:val="0"/>
                <w:sz w:val="18"/>
              </w:rPr>
              <w:t>Client Experience</w:t>
            </w:r>
          </w:p>
        </w:tc>
        <w:tc>
          <w:tcPr>
            <w:tcW w:type="dxa" w:w="864"/>
            <w:shd w:fill="FFFFFF"/>
            <w:tcMar>
              <w:top w:w="80" w:type="dxa"/>
              <w:left w:w="80" w:type="dxa"/>
              <w:bottom w:w="80" w:type="dxa"/>
              <w:right w:w="80" w:type="dxa"/>
            </w:tcMar>
          </w:tcPr>
          <w:p>
            <w:pPr>
              <w:spacing w:after="60" w:before="40" w:line="245" w:lineRule="auto"/>
            </w:pPr>
            <w:r>
              <w:rPr>
                <w:b w:val="0"/>
                <w:sz w:val="18"/>
              </w:rPr>
              <w:t>10%</w:t>
            </w:r>
          </w:p>
        </w:tc>
        <w:tc>
          <w:tcPr>
            <w:tcW w:type="dxa" w:w="7344"/>
            <w:shd w:fill="FFFFFF"/>
            <w:tcMar>
              <w:top w:w="80" w:type="dxa"/>
              <w:left w:w="80" w:type="dxa"/>
              <w:bottom w:w="80" w:type="dxa"/>
              <w:right w:w="80" w:type="dxa"/>
            </w:tcMar>
          </w:tcPr>
          <w:p>
            <w:pPr>
              <w:spacing w:after="60" w:before="40" w:line="245" w:lineRule="auto"/>
            </w:pPr>
            <w:r>
              <w:rPr>
                <w:b w:val="0"/>
                <w:sz w:val="18"/>
              </w:rPr>
              <w:t>Your feedback on our partnership.</w:t>
            </w:r>
          </w:p>
        </w:tc>
      </w:tr>
    </w:tbl>
    <w:p>
      <w:pPr>
        <w:spacing w:after="20"/>
      </w:pPr>
    </w:p>
    <w:p>
      <w:r>
        <w:rPr>
          <w:b w:val="0"/>
        </w:rPr>
        <w:t>Each category earns independently. Below 60% achievement: $0. At 60%–100%: that percentage of the category’s available payment. Targets agreed during activation. Progress reported monthly. First performance period: months 2–4.</w:t>
      </w:r>
    </w:p>
    <w:p>
      <w:pPr>
        <w:pStyle w:val="Heading2"/>
      </w:pPr>
      <w:r>
        <w:t>What earning it looks like</w:t>
      </w:r>
    </w:p>
    <w:p>
      <w:r>
        <w:rPr>
          <w:b w:val="0"/>
        </w:rPr>
        <w:t>Keep this label visible: Illustrative Program 3 example, not actual client results. The percentages are achievement against agreed targets, not traffic growth or survey ratings.</w:t>
      </w:r>
    </w:p>
    <w:tbl>
      <w:tblPr>
        <w:tblW w:type="auto" w:w="0"/>
        <w:tblLayout w:type="fixed"/>
        <w:tblLook w:firstColumn="1" w:firstRow="1" w:lastColumn="0" w:lastRow="0" w:noHBand="0" w:noVBand="1" w:val="04A0"/>
      </w:tblPr>
      <w:tblGrid>
        <w:gridCol w:w="3312"/>
        <w:gridCol w:w="2160"/>
        <w:gridCol w:w="2448"/>
        <w:gridCol w:w="2448"/>
      </w:tblGrid>
      <w:tr>
        <w:trPr>
          <w:cantSplit/>
          <w:tblHeader/>
        </w:trPr>
        <w:tc>
          <w:tcPr>
            <w:tcW w:type="dxa" w:w="3312"/>
            <w:shd w:fill="202522"/>
            <w:tcMar>
              <w:top w:w="80" w:type="dxa"/>
              <w:left w:w="80" w:type="dxa"/>
              <w:bottom w:w="80" w:type="dxa"/>
              <w:right w:w="80" w:type="dxa"/>
            </w:tcMar>
          </w:tcPr>
          <w:p>
            <w:pPr>
              <w:spacing w:after="60" w:before="40" w:line="245" w:lineRule="auto"/>
            </w:pPr>
            <w:r>
              <w:rPr>
                <w:b/>
                <w:color w:val="FFFFFF"/>
                <w:sz w:val="18"/>
              </w:rPr>
              <w:t>Category</w:t>
            </w:r>
          </w:p>
        </w:tc>
        <w:tc>
          <w:tcPr>
            <w:tcW w:type="dxa" w:w="2160"/>
            <w:shd w:fill="202522"/>
            <w:tcMar>
              <w:top w:w="80" w:type="dxa"/>
              <w:left w:w="80" w:type="dxa"/>
              <w:bottom w:w="80" w:type="dxa"/>
              <w:right w:w="80" w:type="dxa"/>
            </w:tcMar>
          </w:tcPr>
          <w:p>
            <w:pPr>
              <w:spacing w:after="60" w:before="40" w:line="245" w:lineRule="auto"/>
            </w:pPr>
            <w:r>
              <w:rPr>
                <w:b/>
                <w:color w:val="FFFFFF"/>
                <w:sz w:val="18"/>
              </w:rPr>
              <w:t>Achievement</w:t>
            </w:r>
          </w:p>
        </w:tc>
        <w:tc>
          <w:tcPr>
            <w:tcW w:type="dxa" w:w="2448"/>
            <w:shd w:fill="202522"/>
            <w:tcMar>
              <w:top w:w="80" w:type="dxa"/>
              <w:left w:w="80" w:type="dxa"/>
              <w:bottom w:w="80" w:type="dxa"/>
              <w:right w:w="80" w:type="dxa"/>
            </w:tcMar>
          </w:tcPr>
          <w:p>
            <w:pPr>
              <w:spacing w:after="60" w:before="40" w:line="245" w:lineRule="auto"/>
            </w:pPr>
            <w:r>
              <w:rPr>
                <w:b/>
                <w:color w:val="FFFFFF"/>
                <w:sz w:val="18"/>
              </w:rPr>
              <w:t>Available</w:t>
            </w:r>
          </w:p>
        </w:tc>
        <w:tc>
          <w:tcPr>
            <w:tcW w:type="dxa" w:w="2448"/>
            <w:shd w:fill="202522"/>
            <w:tcMar>
              <w:top w:w="80" w:type="dxa"/>
              <w:left w:w="80" w:type="dxa"/>
              <w:bottom w:w="80" w:type="dxa"/>
              <w:right w:w="80" w:type="dxa"/>
            </w:tcMar>
          </w:tcPr>
          <w:p>
            <w:pPr>
              <w:spacing w:after="60" w:before="40" w:line="245" w:lineRule="auto"/>
            </w:pPr>
            <w:r>
              <w:rPr>
                <w:b/>
                <w:color w:val="FFFFFF"/>
                <w:sz w:val="18"/>
              </w:rPr>
              <w:t>Earned</w:t>
            </w:r>
          </w:p>
        </w:tc>
      </w:tr>
      <w:tr>
        <w:trPr>
          <w:cantSplit/>
        </w:trPr>
        <w:tc>
          <w:tcPr>
            <w:tcW w:type="dxa" w:w="3312"/>
            <w:shd w:fill="F0F3F0"/>
            <w:tcMar>
              <w:top w:w="80" w:type="dxa"/>
              <w:left w:w="80" w:type="dxa"/>
              <w:bottom w:w="80" w:type="dxa"/>
              <w:right w:w="80" w:type="dxa"/>
            </w:tcMar>
          </w:tcPr>
          <w:p>
            <w:pPr>
              <w:spacing w:after="60" w:before="40" w:line="245" w:lineRule="auto"/>
            </w:pPr>
            <w:r>
              <w:rPr>
                <w:b w:val="0"/>
                <w:sz w:val="18"/>
              </w:rPr>
              <w:t>Be Seen</w:t>
            </w:r>
          </w:p>
        </w:tc>
        <w:tc>
          <w:tcPr>
            <w:tcW w:type="dxa" w:w="2160"/>
            <w:shd w:fill="F0F3F0"/>
            <w:tcMar>
              <w:top w:w="80" w:type="dxa"/>
              <w:left w:w="80" w:type="dxa"/>
              <w:bottom w:w="80" w:type="dxa"/>
              <w:right w:w="80" w:type="dxa"/>
            </w:tcMar>
          </w:tcPr>
          <w:p>
            <w:pPr>
              <w:spacing w:after="60" w:before="40" w:line="245" w:lineRule="auto"/>
            </w:pPr>
            <w:r>
              <w:rPr>
                <w:b w:val="0"/>
                <w:sz w:val="18"/>
              </w:rPr>
              <w:t>80%</w:t>
            </w:r>
          </w:p>
        </w:tc>
        <w:tc>
          <w:tcPr>
            <w:tcW w:type="dxa" w:w="2448"/>
            <w:shd w:fill="F0F3F0"/>
            <w:tcMar>
              <w:top w:w="80" w:type="dxa"/>
              <w:left w:w="80" w:type="dxa"/>
              <w:bottom w:w="80" w:type="dxa"/>
              <w:right w:w="80" w:type="dxa"/>
            </w:tcMar>
          </w:tcPr>
          <w:p>
            <w:pPr>
              <w:spacing w:after="60" w:before="40" w:line="245" w:lineRule="auto"/>
            </w:pPr>
            <w:r>
              <w:rPr>
                <w:b w:val="0"/>
                <w:sz w:val="18"/>
              </w:rPr>
              <w:t>$3,600</w:t>
            </w:r>
          </w:p>
        </w:tc>
        <w:tc>
          <w:tcPr>
            <w:tcW w:type="dxa" w:w="2448"/>
            <w:shd w:fill="F0F3F0"/>
            <w:tcMar>
              <w:top w:w="80" w:type="dxa"/>
              <w:left w:w="80" w:type="dxa"/>
              <w:bottom w:w="80" w:type="dxa"/>
              <w:right w:w="80" w:type="dxa"/>
            </w:tcMar>
          </w:tcPr>
          <w:p>
            <w:pPr>
              <w:spacing w:after="60" w:before="40" w:line="245" w:lineRule="auto"/>
            </w:pPr>
            <w:r>
              <w:rPr>
                <w:b w:val="0"/>
                <w:sz w:val="18"/>
              </w:rPr>
              <w:t>$2,880</w:t>
            </w:r>
          </w:p>
        </w:tc>
      </w:tr>
      <w:tr>
        <w:trPr>
          <w:cantSplit/>
        </w:trPr>
        <w:tc>
          <w:tcPr>
            <w:tcW w:type="dxa" w:w="3312"/>
            <w:shd w:fill="FFFFFF"/>
            <w:tcMar>
              <w:top w:w="80" w:type="dxa"/>
              <w:left w:w="80" w:type="dxa"/>
              <w:bottom w:w="80" w:type="dxa"/>
              <w:right w:w="80" w:type="dxa"/>
            </w:tcMar>
          </w:tcPr>
          <w:p>
            <w:pPr>
              <w:spacing w:after="60" w:before="40" w:line="245" w:lineRule="auto"/>
            </w:pPr>
            <w:r>
              <w:rPr>
                <w:b w:val="0"/>
                <w:sz w:val="18"/>
              </w:rPr>
              <w:t>Be Found</w:t>
            </w:r>
          </w:p>
        </w:tc>
        <w:tc>
          <w:tcPr>
            <w:tcW w:type="dxa" w:w="2160"/>
            <w:shd w:fill="FFFFFF"/>
            <w:tcMar>
              <w:top w:w="80" w:type="dxa"/>
              <w:left w:w="80" w:type="dxa"/>
              <w:bottom w:w="80" w:type="dxa"/>
              <w:right w:w="80" w:type="dxa"/>
            </w:tcMar>
          </w:tcPr>
          <w:p>
            <w:pPr>
              <w:spacing w:after="60" w:before="40" w:line="245" w:lineRule="auto"/>
            </w:pPr>
            <w:r>
              <w:rPr>
                <w:b w:val="0"/>
                <w:sz w:val="18"/>
              </w:rPr>
              <w:t>75%</w:t>
            </w:r>
          </w:p>
        </w:tc>
        <w:tc>
          <w:tcPr>
            <w:tcW w:type="dxa" w:w="2448"/>
            <w:shd w:fill="FFFFFF"/>
            <w:tcMar>
              <w:top w:w="80" w:type="dxa"/>
              <w:left w:w="80" w:type="dxa"/>
              <w:bottom w:w="80" w:type="dxa"/>
              <w:right w:w="80" w:type="dxa"/>
            </w:tcMar>
          </w:tcPr>
          <w:p>
            <w:pPr>
              <w:spacing w:after="60" w:before="40" w:line="245" w:lineRule="auto"/>
            </w:pPr>
            <w:r>
              <w:rPr>
                <w:b w:val="0"/>
                <w:sz w:val="18"/>
              </w:rPr>
              <w:t>$3,600</w:t>
            </w:r>
          </w:p>
        </w:tc>
        <w:tc>
          <w:tcPr>
            <w:tcW w:type="dxa" w:w="2448"/>
            <w:shd w:fill="FFFFFF"/>
            <w:tcMar>
              <w:top w:w="80" w:type="dxa"/>
              <w:left w:w="80" w:type="dxa"/>
              <w:bottom w:w="80" w:type="dxa"/>
              <w:right w:w="80" w:type="dxa"/>
            </w:tcMar>
          </w:tcPr>
          <w:p>
            <w:pPr>
              <w:spacing w:after="60" w:before="40" w:line="245" w:lineRule="auto"/>
            </w:pPr>
            <w:r>
              <w:rPr>
                <w:b w:val="0"/>
                <w:sz w:val="18"/>
              </w:rPr>
              <w:t>$2,700</w:t>
            </w:r>
          </w:p>
        </w:tc>
      </w:tr>
      <w:tr>
        <w:trPr>
          <w:cantSplit/>
        </w:trPr>
        <w:tc>
          <w:tcPr>
            <w:tcW w:type="dxa" w:w="3312"/>
            <w:shd w:fill="F0F3F0"/>
            <w:tcMar>
              <w:top w:w="80" w:type="dxa"/>
              <w:left w:w="80" w:type="dxa"/>
              <w:bottom w:w="80" w:type="dxa"/>
              <w:right w:w="80" w:type="dxa"/>
            </w:tcMar>
          </w:tcPr>
          <w:p>
            <w:pPr>
              <w:spacing w:after="60" w:before="40" w:line="245" w:lineRule="auto"/>
            </w:pPr>
            <w:r>
              <w:rPr>
                <w:b w:val="0"/>
                <w:sz w:val="18"/>
              </w:rPr>
              <w:t>Be Chosen</w:t>
            </w:r>
          </w:p>
        </w:tc>
        <w:tc>
          <w:tcPr>
            <w:tcW w:type="dxa" w:w="2160"/>
            <w:shd w:fill="F0F3F0"/>
            <w:tcMar>
              <w:top w:w="80" w:type="dxa"/>
              <w:left w:w="80" w:type="dxa"/>
              <w:bottom w:w="80" w:type="dxa"/>
              <w:right w:w="80" w:type="dxa"/>
            </w:tcMar>
          </w:tcPr>
          <w:p>
            <w:pPr>
              <w:spacing w:after="60" w:before="40" w:line="245" w:lineRule="auto"/>
            </w:pPr>
            <w:r>
              <w:rPr>
                <w:b w:val="0"/>
                <w:sz w:val="18"/>
              </w:rPr>
              <w:t>50%</w:t>
            </w:r>
          </w:p>
        </w:tc>
        <w:tc>
          <w:tcPr>
            <w:tcW w:type="dxa" w:w="2448"/>
            <w:shd w:fill="F0F3F0"/>
            <w:tcMar>
              <w:top w:w="80" w:type="dxa"/>
              <w:left w:w="80" w:type="dxa"/>
              <w:bottom w:w="80" w:type="dxa"/>
              <w:right w:w="80" w:type="dxa"/>
            </w:tcMar>
          </w:tcPr>
          <w:p>
            <w:pPr>
              <w:spacing w:after="60" w:before="40" w:line="245" w:lineRule="auto"/>
            </w:pPr>
            <w:r>
              <w:rPr>
                <w:b w:val="0"/>
                <w:sz w:val="18"/>
              </w:rPr>
              <w:t>$3,600</w:t>
            </w:r>
          </w:p>
        </w:tc>
        <w:tc>
          <w:tcPr>
            <w:tcW w:type="dxa" w:w="2448"/>
            <w:shd w:fill="F0F3F0"/>
            <w:tcMar>
              <w:top w:w="80" w:type="dxa"/>
              <w:left w:w="80" w:type="dxa"/>
              <w:bottom w:w="80" w:type="dxa"/>
              <w:right w:w="80" w:type="dxa"/>
            </w:tcMar>
          </w:tcPr>
          <w:p>
            <w:pPr>
              <w:spacing w:after="60" w:before="40" w:line="245" w:lineRule="auto"/>
            </w:pPr>
            <w:r>
              <w:rPr>
                <w:b w:val="0"/>
                <w:sz w:val="18"/>
              </w:rPr>
              <w:t>$0</w:t>
            </w:r>
          </w:p>
        </w:tc>
      </w:tr>
      <w:tr>
        <w:trPr>
          <w:cantSplit/>
        </w:trPr>
        <w:tc>
          <w:tcPr>
            <w:tcW w:type="dxa" w:w="3312"/>
            <w:shd w:fill="FFFFFF"/>
            <w:tcMar>
              <w:top w:w="80" w:type="dxa"/>
              <w:left w:w="80" w:type="dxa"/>
              <w:bottom w:w="80" w:type="dxa"/>
              <w:right w:w="80" w:type="dxa"/>
            </w:tcMar>
          </w:tcPr>
          <w:p>
            <w:pPr>
              <w:spacing w:after="60" w:before="40" w:line="245" w:lineRule="auto"/>
            </w:pPr>
            <w:r>
              <w:rPr>
                <w:b w:val="0"/>
                <w:sz w:val="18"/>
              </w:rPr>
              <w:t>Client Experience</w:t>
            </w:r>
          </w:p>
        </w:tc>
        <w:tc>
          <w:tcPr>
            <w:tcW w:type="dxa" w:w="2160"/>
            <w:shd w:fill="FFFFFF"/>
            <w:tcMar>
              <w:top w:w="80" w:type="dxa"/>
              <w:left w:w="80" w:type="dxa"/>
              <w:bottom w:w="80" w:type="dxa"/>
              <w:right w:w="80" w:type="dxa"/>
            </w:tcMar>
          </w:tcPr>
          <w:p>
            <w:pPr>
              <w:spacing w:after="60" w:before="40" w:line="245" w:lineRule="auto"/>
            </w:pPr>
            <w:r>
              <w:rPr>
                <w:b w:val="0"/>
                <w:sz w:val="18"/>
              </w:rPr>
              <w:t>90%</w:t>
            </w:r>
          </w:p>
        </w:tc>
        <w:tc>
          <w:tcPr>
            <w:tcW w:type="dxa" w:w="2448"/>
            <w:shd w:fill="FFFFFF"/>
            <w:tcMar>
              <w:top w:w="80" w:type="dxa"/>
              <w:left w:w="80" w:type="dxa"/>
              <w:bottom w:w="80" w:type="dxa"/>
              <w:right w:w="80" w:type="dxa"/>
            </w:tcMar>
          </w:tcPr>
          <w:p>
            <w:pPr>
              <w:spacing w:after="60" w:before="40" w:line="245" w:lineRule="auto"/>
            </w:pPr>
            <w:r>
              <w:rPr>
                <w:b w:val="0"/>
                <w:sz w:val="18"/>
              </w:rPr>
              <w:t>$1,200</w:t>
            </w:r>
          </w:p>
        </w:tc>
        <w:tc>
          <w:tcPr>
            <w:tcW w:type="dxa" w:w="2448"/>
            <w:shd w:fill="FFFFFF"/>
            <w:tcMar>
              <w:top w:w="80" w:type="dxa"/>
              <w:left w:w="80" w:type="dxa"/>
              <w:bottom w:w="80" w:type="dxa"/>
              <w:right w:w="80" w:type="dxa"/>
            </w:tcMar>
          </w:tcPr>
          <w:p>
            <w:pPr>
              <w:spacing w:after="60" w:before="40" w:line="245" w:lineRule="auto"/>
            </w:pPr>
            <w:r>
              <w:rPr>
                <w:b w:val="0"/>
                <w:sz w:val="18"/>
              </w:rPr>
              <w:t>$1,080</w:t>
            </w:r>
          </w:p>
        </w:tc>
      </w:tr>
      <w:tr>
        <w:trPr>
          <w:cantSplit/>
        </w:trPr>
        <w:tc>
          <w:tcPr>
            <w:tcW w:type="dxa" w:w="3312"/>
            <w:shd w:fill="F0F3F0"/>
            <w:tcMar>
              <w:top w:w="80" w:type="dxa"/>
              <w:left w:w="80" w:type="dxa"/>
              <w:bottom w:w="80" w:type="dxa"/>
              <w:right w:w="80" w:type="dxa"/>
            </w:tcMar>
          </w:tcPr>
          <w:p>
            <w:pPr>
              <w:spacing w:after="60" w:before="40" w:line="245" w:lineRule="auto"/>
            </w:pPr>
            <w:r>
              <w:rPr>
                <w:b w:val="0"/>
                <w:sz w:val="18"/>
              </w:rPr>
              <w:t>Total</w:t>
            </w:r>
          </w:p>
        </w:tc>
        <w:tc>
          <w:tcPr>
            <w:tcW w:type="dxa" w:w="2160"/>
            <w:shd w:fill="F0F3F0"/>
            <w:tcMar>
              <w:top w:w="80" w:type="dxa"/>
              <w:left w:w="80" w:type="dxa"/>
              <w:bottom w:w="80" w:type="dxa"/>
              <w:right w:w="80" w:type="dxa"/>
            </w:tcMar>
          </w:tcPr>
          <w:p>
            <w:pPr>
              <w:spacing w:after="60" w:before="40" w:line="245" w:lineRule="auto"/>
            </w:pPr>
            <w:r>
              <w:rPr>
                <w:b w:val="0"/>
                <w:sz w:val="18"/>
              </w:rPr>
            </w:r>
          </w:p>
        </w:tc>
        <w:tc>
          <w:tcPr>
            <w:tcW w:type="dxa" w:w="2448"/>
            <w:shd w:fill="F0F3F0"/>
            <w:tcMar>
              <w:top w:w="80" w:type="dxa"/>
              <w:left w:w="80" w:type="dxa"/>
              <w:bottom w:w="80" w:type="dxa"/>
              <w:right w:w="80" w:type="dxa"/>
            </w:tcMar>
          </w:tcPr>
          <w:p>
            <w:pPr>
              <w:spacing w:after="60" w:before="40" w:line="245" w:lineRule="auto"/>
            </w:pPr>
            <w:r>
              <w:rPr>
                <w:b w:val="0"/>
                <w:sz w:val="18"/>
              </w:rPr>
              <w:t>Up to $12,000</w:t>
            </w:r>
          </w:p>
        </w:tc>
        <w:tc>
          <w:tcPr>
            <w:tcW w:type="dxa" w:w="2448"/>
            <w:shd w:fill="F0F3F0"/>
            <w:tcMar>
              <w:top w:w="80" w:type="dxa"/>
              <w:left w:w="80" w:type="dxa"/>
              <w:bottom w:w="80" w:type="dxa"/>
              <w:right w:w="80" w:type="dxa"/>
            </w:tcMar>
          </w:tcPr>
          <w:p>
            <w:pPr>
              <w:spacing w:after="60" w:before="40" w:line="245" w:lineRule="auto"/>
            </w:pPr>
            <w:r>
              <w:rPr>
                <w:b w:val="0"/>
                <w:sz w:val="18"/>
              </w:rPr>
              <w:t>$6,660</w:t>
            </w:r>
          </w:p>
        </w:tc>
      </w:tr>
    </w:tbl>
    <w:p>
      <w:pPr>
        <w:spacing w:after="20"/>
      </w:pPr>
    </w:p>
    <w:p>
      <w:r>
        <w:rPr>
          <w:b w:val="0"/>
        </w:rPr>
        <w:t>Earned quarterly Performance Pay: $6,660 of $12,000. Be Chosen earns $0 because it is below 60%. Three base payments total $24,000; adding earned pay gives $30,660 for this full funded period, before advertising. Activation was paid in month one, outside this first performance period. Results require usable evidence and mutual approval.</w:t>
      </w:r>
    </w:p>
    <w:p>
      <w:r>
        <w:rPr>
          <w:b w:val="0"/>
        </w:rPr>
        <w:t>Proof before FAQs: See BrandFormance in practice. Use approved Spencer and Watts Right films or story links with verified summaries. Do not imply these clients used the new payment model.</w:t>
      </w:r>
    </w:p>
    <w:p>
      <w:r>
        <w:rPr>
          <w:b w:val="0"/>
        </w:rPr>
        <w:t>Final CTA after FAQs: Let’s find your BrandFormance program. Button: Find My BrandFormance Program. Secondary link: Get Your Brand Grade.</w:t>
      </w:r>
    </w:p>
    <w:p>
      <w:pPr>
        <w:pStyle w:val="Heading1"/>
        <w:pageBreakBefore/>
      </w:pPr>
      <w:r>
        <w:t>Pricing FAQs and metadata</w:t>
      </w:r>
    </w:p>
    <w:p>
      <w:pPr>
        <w:pStyle w:val="Heading3"/>
      </w:pPr>
      <w:r>
        <w:t>What will I pay each month?</w:t>
      </w:r>
    </w:p>
    <w:p>
      <w:r>
        <w:rPr>
          <w:b w:val="0"/>
        </w:rPr>
        <w:t>Your recommended program has a monthly base of $3,000, $5,000 or $8,000, beginning in month two. Performance Pay is additional, earned and billed quarterly. Activation is $15,000 once and includes your first month. Advertising is separate.</w:t>
      </w:r>
    </w:p>
    <w:p>
      <w:pPr>
        <w:pStyle w:val="Heading3"/>
      </w:pPr>
      <w:r>
        <w:t>How is Performance Pay earned?</w:t>
      </w:r>
    </w:p>
    <w:p>
      <w:r>
        <w:rPr>
          <w:b w:val="0"/>
        </w:rPr>
        <w:t>We agree on targets and measurement rules before the performance period. Each of four categories earns independently: below 60% achievement earns nothing for that category; at 60% or above, we earn that percentage of its available payment. Both parties verify and approve the quarterly calculation.</w:t>
      </w:r>
    </w:p>
    <w:p>
      <w:pPr>
        <w:pStyle w:val="Heading3"/>
      </w:pPr>
      <w:r>
        <w:t>What does activation include?</w:t>
      </w:r>
    </w:p>
    <w:p>
      <w:r>
        <w:rPr>
          <w:b w:val="0"/>
        </w:rPr>
        <w:t>Your first month of service, website build and initial video production, including strategy, scripting, planning, filming, travel, lodging and editing. The initial shoot is two days, with a third included if needed as determined by TopServ. Further shoots require separate written pricing.</w:t>
      </w:r>
    </w:p>
    <w:p>
      <w:pPr>
        <w:pStyle w:val="Heading3"/>
      </w:pPr>
      <w:r>
        <w:t>Is advertising included?</w:t>
      </w:r>
    </w:p>
    <w:p>
      <w:r>
        <w:rPr>
          <w:b w:val="0"/>
        </w:rPr>
        <w:t>Advertising is a separate, approved budget. BrandFormance requires funding for at least 3.0 average weekly exposures per reached audience member on the designated primary platform, alongside agreed reach. We size the territory to a sustainable budget; frequency is not identical exposure to every homeowner.</w:t>
      </w:r>
    </w:p>
    <w:p>
      <w:pPr>
        <w:pStyle w:val="Heading3"/>
      </w:pPr>
      <w:r>
        <w:t>Why not choose the lowest program?</w:t>
      </w:r>
    </w:p>
    <w:p>
      <w:r>
        <w:rPr>
          <w:b w:val="0"/>
        </w:rPr>
        <w:t>We recommend resources around your market, competition, current brand position and growth goals. The higher-priced program is appropriate when the work requires it; paying more does not inherently produce greater success.</w:t>
      </w:r>
    </w:p>
    <w:p>
      <w:pPr>
        <w:pStyle w:val="Heading3"/>
      </w:pPr>
      <w:r>
        <w:t>Does my program include a website?</w:t>
      </w:r>
    </w:p>
    <w:p>
      <w:r>
        <w:rPr>
          <w:b w:val="0"/>
        </w:rPr>
        <w:t>Yes. We build a new agentic website and provide hosting and ongoing management. You retain your original site and domain. Ownership of the custom new site transfers after 12 completed service months. An optional earlier purchase is available under the agreement; platform and third-party licenses apply.</w:t>
      </w:r>
    </w:p>
    <w:p>
      <w:pPr>
        <w:pStyle w:val="Heading3"/>
      </w:pPr>
      <w:r>
        <w:t>What is the commitment?</w:t>
      </w:r>
    </w:p>
    <w:p>
      <w:r>
        <w:rPr>
          <w:b w:val="0"/>
        </w:rPr>
        <w:t>The initial commitment is 90 days. After that initial term, either party may give 30 days’ written notice. The agreement explains cancellation, breach remedies, ownership and transition.</w:t>
      </w:r>
    </w:p>
    <w:p>
      <w:pPr>
        <w:pStyle w:val="Heading3"/>
      </w:pPr>
      <w:r>
        <w:t>Do you guarantee rankings, AI mentions or revenue?</w:t>
      </w:r>
    </w:p>
    <w:p>
      <w:r>
        <w:rPr>
          <w:b w:val="0"/>
        </w:rPr>
        <w:t>No. We agree on measurable marketing targets and report progress. Client capacity, sales execution and market conditions also affect business results. AI citations and cost metrics may be reported separately; they are not additional payment categories.</w:t>
      </w:r>
    </w:p>
    <w:p>
      <w:pPr>
        <w:pStyle w:val="Heading2"/>
      </w:pPr>
      <w:r>
        <w:t>Metadata and implementation</w:t>
      </w:r>
    </w:p>
    <w:p>
      <w:r>
        <w:rPr>
          <w:b w:val="0"/>
        </w:rPr>
        <w:t>Title: BrandFormance Pricing and Programs | TopServ Digital</w:t>
        <w:br/>
        <w:t>Description: Explore BrandFormance programs with $3,000, $5,000 or $8,000 monthly bases, quarterly earned Performance Pay and $15,000 activation. Ad spend is separate.</w:t>
      </w:r>
    </w:p>
    <w:p>
      <w:r>
        <w:rPr>
          <w:b w:val="0"/>
        </w:rPr>
        <w:t>Preserve the canonical on the approved production domain. Render pricing, disclosures and FAQ answers in HTML. Update visible copy and any FAQ or Service descriptions together. Do not mark a base fee as an all-inclusive offer price.</w:t>
      </w:r>
    </w:p>
    <w:p>
      <w:pPr>
        <w:pStyle w:val="Heading1"/>
        <w:pageBreakBefore/>
      </w:pPr>
      <w:r>
        <w:t>Pricing video script and filming plan</w:t>
      </w:r>
    </w:p>
    <w:p>
      <w:r>
        <w:rPr>
          <w:b w:val="0"/>
        </w:rPr>
        <w:t>Asset: How BrandFormance pricing works. Presenter: Jonathan Bannister. Target: approximately 100–120 seconds at a natural pace. Record next week as planned; final duration metadata must match the exported file.</w:t>
      </w:r>
    </w:p>
    <w:p>
      <w:pPr>
        <w:pStyle w:val="Heading2"/>
      </w:pPr>
      <w:r>
        <w:t>Script</w:t>
      </w:r>
    </w:p>
    <w:p>
      <w:r>
        <w:rPr>
          <w:b w:val="0"/>
        </w:rPr>
        <w:t>“How much should it take to grow your business? That depends on your market, your competition, where your brand stands today and what you want to accomplish.</w:t>
      </w:r>
    </w:p>
    <w:p>
      <w:r>
        <w:rPr>
          <w:b w:val="0"/>
        </w:rPr>
        <w:t>That’s how we recommend a BrandFormance program. We look at the resources your plan needs, then recommend Program 1, 2 or 3.</w:t>
      </w:r>
    </w:p>
    <w:p>
      <w:r>
        <w:rPr>
          <w:b w:val="0"/>
        </w:rPr>
        <w:t>The monthly bases are three thousand, five thousand and eight thousand dollars. Alongside that base is Performance Pay we have to earn, up to six thousand, nine thousand or twelve thousand dollars per quarter, depending on your program.</w:t>
      </w:r>
    </w:p>
    <w:p>
      <w:r>
        <w:rPr>
          <w:b w:val="0"/>
        </w:rPr>
        <w:t>We agree on the targets with you. Then we report on four things: Be Seen, Be Found, Be Chosen and your experience working with us.</w:t>
      </w:r>
    </w:p>
    <w:p>
      <w:r>
        <w:rPr>
          <w:b w:val="0"/>
        </w:rPr>
        <w:t>Each category stands on its own. Below sixty percent achievement, we earn nothing for that category. At sixty percent or above, we earn that percentage of its available payment. We review the evidence and approve the calculation together.</w:t>
      </w:r>
    </w:p>
    <w:p>
      <w:r>
        <w:rPr>
          <w:b w:val="0"/>
        </w:rPr>
        <w:t>Getting started is a fifteen-thousand-dollar activation. That includes your first month, your new website and our initial video production, including planning, travel and editing. Advertising spend is separate. Monthly base billing starts in month two.</w:t>
      </w:r>
    </w:p>
    <w:p>
      <w:r>
        <w:rPr>
          <w:b w:val="0"/>
        </w:rPr>
        <w:t>Our job is to recommend the right resources, put them to work and show you the progress. Book a discovery call with our team, and let’s find your BrandFormance program.”</w:t>
      </w:r>
    </w:p>
    <w:p>
      <w:pPr>
        <w:pStyle w:val="Heading2"/>
      </w:pPr>
      <w:r>
        <w:t>Shoot and edit instructions</w:t>
      </w:r>
    </w:p>
    <w:p>
      <w:pPr>
        <w:pStyle w:val="ListBullet"/>
      </w:pPr>
      <w:r>
        <w:t>Film horizontally in 16:9 at eye level, framed waist or chest up. Use a clean office or branded set, a lavalier microphone and soft front lighting. Look into the lens. Record two full takes plus clean pickups for all dollar amounts.</w:t>
      </w:r>
    </w:p>
    <w:p>
      <w:pPr>
        <w:pStyle w:val="ListBullet"/>
      </w:pPr>
      <w:r>
        <w:t>Keep the delivery direct and conversational. Overlay the three base prices, then their quarterly caps; display all four scorecard categories together. Label every money amount as monthly base, quarterly maximum or one-time activation.</w:t>
      </w:r>
    </w:p>
    <w:p>
      <w:pPr>
        <w:pStyle w:val="ListBullet"/>
      </w:pPr>
      <w:r>
        <w:t>Use a real frame of Jonathan for the final thumbnail. Add accurate captions, a short text summary and a transcript. Keep playback user initiated. Do not use the illustrative empty-chair mockup as a promise that a playable film already exists.</w:t>
      </w:r>
    </w:p>
    <w:p>
      <w:pPr>
        <w:pStyle w:val="ListBullet"/>
      </w:pPr>
      <w:r>
        <w:t>Export the web master and thumbnail, verify desktop and mobile playback, then set the actual duration and upload date in VideoObject. The site can proceed with complete text while the video is being finished.</w:t>
      </w:r>
    </w:p>
    <w:p>
      <w:pPr>
        <w:pStyle w:val="Heading1"/>
        <w:pageBreakBefore/>
      </w:pPr>
      <w:r>
        <w:t>Approved pricing page visual reference</w:t>
      </w:r>
    </w:p>
    <w:p>
      <w:r>
        <w:rPr>
          <w:b w:val="0"/>
        </w:rPr>
        <w:t>Use the approved image as visual direction. Implement the live page in responsive HTML using the site’s existing logo and font tokens. The written specifications control prices, disclosures, destinations and behavior. Add the program-fit section and complete FAQs described in this handoff.</w:t>
      </w:r>
    </w:p>
    <w:p>
      <w:pPr>
        <w:jc w:val="center"/>
      </w:pPr>
      <w:r>
        <w:drawing>
          <wp:inline xmlns:a="http://schemas.openxmlformats.org/drawingml/2006/main" xmlns:pic="http://schemas.openxmlformats.org/drawingml/2006/picture">
            <wp:extent cx="2875999" cy="6949440"/>
            <wp:docPr id="1" name="Picture 1"/>
            <wp:cNvGraphicFramePr>
              <a:graphicFrameLocks noChangeAspect="1"/>
            </wp:cNvGraphicFramePr>
            <a:graphic>
              <a:graphicData uri="http://schemas.openxmlformats.org/drawingml/2006/picture">
                <pic:pic>
                  <pic:nvPicPr>
                    <pic:cNvPr id="0" name="exec-6a785855-3c88-4c6e-8210-549d691b5812.png"/>
                    <pic:cNvPicPr/>
                  </pic:nvPicPr>
                  <pic:blipFill>
                    <a:blip r:embed="rId10"/>
                    <a:stretch>
                      <a:fillRect/>
                    </a:stretch>
                  </pic:blipFill>
                  <pic:spPr>
                    <a:xfrm>
                      <a:off x="0" y="0"/>
                      <a:ext cx="2875999" cy="6949440"/>
                    </a:xfrm>
                    <a:prstGeom prst="rect"/>
                  </pic:spPr>
                </pic:pic>
              </a:graphicData>
            </a:graphic>
          </wp:inline>
        </w:drawing>
      </w:r>
    </w:p>
    <w:p>
      <w:r>
        <w:rPr>
          <w:b/>
        </w:rPr>
        <w:t>No program receives a popularity badge or stronger success claim. Keep the quarterly fee and separate advertising disclosure visible near every price.</w:t>
      </w:r>
    </w:p>
    <w:sectPr w:rsidR="00FC693F" w:rsidRPr="0006063C" w:rsidSect="00034616">
      <w:footerReference w:type="default" r:id="rId9"/>
      <w:pgSz w:w="12240" w:h="15840"/>
      <w:pgMar w:top="893" w:right="936" w:bottom="893"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TopServ Digital | Website implementation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TopServ Pricing Page Developer Handoff</dc:title>
  <dc:subject/>
  <dc:creator>TopServ Digital</dc:creator>
  <cp:keywords/>
  <dc:description>generated by python-docx</dc:description>
  <cp:lastModifiedBy/>
  <cp:revision>1</cp:revision>
  <dcterms:created xsi:type="dcterms:W3CDTF">2013-12-23T23:15:00Z</dcterms:created>
  <dcterms:modified xsi:type="dcterms:W3CDTF">2013-12-23T23:15:00Z</dcterms:modified>
  <cp:category/>
</cp:coreProperties>
</file>