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00" w:val="clear"/>
            <w:tcMar>
              <w:top w:type="dxa" w:w="240"/>
              <w:left w:type="dxa" w:w="480"/>
              <w:bottom w:type="dxa" w:w="160"/>
              <w:right w:type="dxa" w:w="4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8960C"/>
                <w:spacing w:val="120"/>
                <w:sz w:val="52"/>
                <w:szCs w:val="52"/>
              </w:rPr>
              <w:t xml:space="preserve">A2F PARTNERS LIMITED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C8D8B0"/>
                <w:spacing w:val="60"/>
                <w:sz w:val="16"/>
                <w:szCs w:val="16"/>
              </w:rPr>
              <w:t xml:space="preserve">SOVEREIGN INFRASTRUCTURE  |  CAPITAL ADVISORY  |  DIGITAL DISBURSEMENT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0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400" w:val="clear"/>
            <w:tcMar>
              <w:top w:type="dxa" w:w="80"/>
              <w:left w:type="dxa" w:w="480"/>
              <w:bottom w:type="dxa" w:w="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Alpha 1 Tower, Eko Atlantic City, Lagos   |   </w:t>
            </w:r>
            <w:r>
              <w:rPr>
                <w:rFonts w:ascii="Arial" w:cs="Arial" w:eastAsia="Arial" w:hAnsi="Arial"/>
                <w:color w:val="F5E6B2"/>
                <w:sz w:val="17"/>
                <w:szCs w:val="17"/>
              </w:rPr>
              <w:t xml:space="preserve">www.a2fpartners.com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|   hello@a2fpartners.com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  <w:jc w:val="center"/>
      </w:pPr>
      <w:r>
        <w:rPr>
          <w:rFonts w:ascii="Georgia" w:cs="Georgia" w:eastAsia="Georgia" w:hAnsi="Georgia"/>
          <w:b/>
          <w:bCs/>
          <w:color w:val="003300"/>
          <w:spacing w:val="80"/>
          <w:sz w:val="30"/>
          <w:szCs w:val="30"/>
        </w:rPr>
        <w:t xml:space="preserve">SOVEREIGN INFRASTRUCTURE ROADMAP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C8960C"/>
          <w:sz w:val="24"/>
          <w:szCs w:val="24"/>
        </w:rPr>
        <w:t xml:space="preserve">AFAN NATIONAL DATA LAYER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19"/>
                <w:szCs w:val="19"/>
              </w:rPr>
              <w:t xml:space="preserve">Prepared for: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Alh. Dr. Yunusa Halidu Yabwa, National Secretary, AFAN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4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E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A2F Partners Limited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8960C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003300"/>
          <w:sz w:val="24"/>
          <w:szCs w:val="24"/>
        </w:rPr>
        <w:t xml:space="preserve">1.  The Core Objective</w:t>
      </w:r>
    </w:p>
    <w:p>
      <w:pPr>
        <w:spacing w:after="100" w:before="80" w:line="29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 instantly secure, clean, and validate the ongoing AFAN national revalidation database to satisfy international anti-corruption compliance. This transformation changes the database from a standard list into a capital-ready digital infrastructure asset capable of pulling down multi-million dollar international development funds (e.g., World Bank/IDA facilities) directly to local farmers.</w:t>
      </w:r>
    </w:p>
    <w:p>
      <w:pPr>
        <w:pBdr>
          <w:bottom w:val="single" w:color="C8960C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003300"/>
          <w:sz w:val="24"/>
          <w:szCs w:val="24"/>
        </w:rPr>
        <w:t xml:space="preserve">2.  Immediate Operational Bottlenecks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Middleman Threat: Paper-based tracking or loose digital forms allow unauthorized third parties to intercept, alter, or exploit farmer details.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Compliance Wall: International institutional funders completely refuse to route capital through unverified registries or analog political channels.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Time Crunch: A tight, state-by-state registration window requires automated processing tools to avoid massive backlogs and duplicate inputs.</w:t>
      </w:r>
    </w:p>
    <w:p>
      <w:pPr>
        <w:pBdr>
          <w:bottom w:val="single" w:color="C8960C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003300"/>
          <w:sz w:val="24"/>
          <w:szCs w:val="24"/>
        </w:rPr>
        <w:t xml:space="preserve">3.  The A2F Infrastructure Solution</w:t>
      </w:r>
    </w:p>
    <w:p>
      <w:pPr>
        <w:spacing w:after="100" w:before="80" w:line="29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A2F Partners deploys its proprietary Digital Disbursement API directly over the existing AFAN registration portal layout: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6400" w:sz="2"/>
              <w:left w:val="single" w:color="C8960C" w:sz="8"/>
              <w:bottom w:val="single" w:color="006400" w:sz="2"/>
              <w:right w:val="single" w:color="006400" w:sz="2"/>
            </w:tcBorders>
            <w:shd w:fill="F0F4E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[AFAN Intake Portal]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|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v  (Real-Time Ingestion Layer)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[A2F Digital Disbursement API] ──&gt; [Automated LGA Coordinate Mapping]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|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v  (Fraud/Scam Neutralization)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[Clean, Institutional-Grade Sovereign Database]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|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       v  (Direct-to-Farmer Capital Pipeline)</w:t>
            </w:r>
          </w:p>
          <w:p>
            <w:pPr>
              <w:spacing w:after="40" w:before="40" w:line="240"/>
            </w:pPr>
            <w:r>
              <w:rPr>
                <w:rFonts w:ascii="Courier New" w:cs="Courier New" w:eastAsia="Courier New" w:hAnsi="Courier New"/>
                <w:color w:val="003300"/>
                <w:sz w:val="17"/>
                <w:szCs w:val="17"/>
              </w:rPr>
              <w:t xml:space="preserve">[Subsidized World Bank / IDA Single-Digit Facilities]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LGA Coordinate Mapping: The system automatically cross-references and pins every entering farmer record to verified Local Government Areas, wards, and structural farming coordinates.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Anti-Exploitation Filter: It blocks automated bots, duplicate registrations, and fraudulent third-party aggregators trying to manipulate member access.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Direct Capital Injection: The finalized architecture builds an un-fakeable, direct line ensuring funding drops bypass state-level middlemen to reach local cooperatives natively.</w:t>
      </w:r>
    </w:p>
    <w:p>
      <w:pPr>
        <w:pBdr>
          <w:bottom w:val="single" w:color="C8960C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003300"/>
          <w:sz w:val="24"/>
          <w:szCs w:val="24"/>
        </w:rPr>
        <w:t xml:space="preserve">4.  Next Execution Steps — The 48-Hour Loop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Executive Mandate: The National Secretariat issues a formal, exclusive directive appointing A2F Partners as the Technical Infrastructure Manager for the National Data Layer.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Technical Synchronization: The A2F dev desk integrates the compliance API onto the active portal framework seamlessly, without disrupting current user registrations.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Blended Capital Onboarding: A2F locks the verified data asset into our Sovereign Food Security Fund structure to present to local clearing banks for single-digit Naira disbursement matching.</w:t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0"/>
        <w:gridCol w:w="4538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pBdr>
                <w:bottom w:val="single" w:color="003300" w:sz="4" w:space="4"/>
              </w:pBdr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Authorised Signatory — A2F Partners Limited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pBdr>
                <w:bottom w:val="single" w:color="003300" w:sz="4" w:space="4"/>
              </w:pBdr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CONFIDENTIAL — This document is prepared exclusively for the addressee and may not be reproduced or distributed without written authorisation from A2F Partners Limited.</w:t>
      </w:r>
    </w:p>
    <w:sectPr>
      <w:footerReference w:type="default" r:id="rId7"/>
      <w:pgSz w:w="11906" w:h="16838" w:orient="portrait"/>
      <w:pgMar w:top="72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A2F Partners Limited  |  Alpha 1 Tower, Eko Atlantic City, Lagos  |  </w:t>
    </w:r>
    <w:r>
      <w:rPr>
        <w:rFonts w:ascii="Arial" w:cs="Arial" w:eastAsia="Arial" w:hAnsi="Arial"/>
        <w:color w:val="006400"/>
        <w:sz w:val="15"/>
        <w:szCs w:val="15"/>
      </w:rPr>
      <w:t xml:space="preserve">www.a2fpartners.com</w:t>
    </w:r>
    <w:r>
      <w:rPr>
        <w:rFonts w:ascii="Arial" w:cs="Arial" w:eastAsia="Arial" w:hAnsi="Arial"/>
        <w:color w:val="555555"/>
        <w:sz w:val="15"/>
        <w:szCs w:val="15"/>
      </w:rPr>
      <w:t xml:space="preserve">  |  Confidential</w:t>
    </w:r>
  </w:p>
  <w:p>
    <w:pPr>
      <w:spacing w:after="0" w:before="40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of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2026-06-30T12:20:49.385Z</dcterms:created>
  <dcterms:modified xsi:type="dcterms:W3CDTF">2026-06-30T12:20:49.385Z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