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4946F" w14:textId="77777777" w:rsidR="00DA0C52" w:rsidRDefault="006C3308">
      <w:pPr>
        <w:spacing w:after="0" w:line="259" w:lineRule="auto"/>
        <w:ind w:left="0" w:right="0" w:firstLine="0"/>
        <w:jc w:val="center"/>
      </w:pPr>
      <w:r>
        <w:rPr>
          <w:b/>
          <w:color w:val="1A1A1A"/>
          <w:sz w:val="36"/>
        </w:rPr>
        <w:t>AccessPath Verifier — Technical Build Brief</w:t>
      </w:r>
    </w:p>
    <w:p w14:paraId="3C2F4974" w14:textId="77777777" w:rsidR="00DA0C52" w:rsidRDefault="006C3308">
      <w:pPr>
        <w:spacing w:after="26" w:line="259" w:lineRule="auto"/>
        <w:ind w:left="0" w:right="0" w:firstLine="0"/>
      </w:pPr>
      <w:r>
        <w:rPr>
          <w:color w:val="555555"/>
          <w:sz w:val="21"/>
        </w:rPr>
        <w:t>Card-based joint architecture for the accessibility verification engine</w:t>
      </w:r>
    </w:p>
    <w:p w14:paraId="7D21CCE4" w14:textId="77777777" w:rsidR="00DA0C52" w:rsidRDefault="006C3308">
      <w:pPr>
        <w:spacing w:after="393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6F2889" wp14:editId="7872DCCB">
                <wp:extent cx="6248400" cy="12700"/>
                <wp:effectExtent l="0" t="0" r="0" b="0"/>
                <wp:docPr id="2477" name="Group 2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2700"/>
                          <a:chOff x="0" y="0"/>
                          <a:chExt cx="6248400" cy="127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77" style="width:492pt;height:1pt;mso-position-horizontal-relative:char;mso-position-vertical-relative:line" coordsize="62484,127">
                <v:shape id="Shape 8" style="position:absolute;width:62484;height:0;left:0;top:0;" coordsize="6248400,0" path="m0,0l6248400,0">
                  <v:stroke weight="1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14BE3A4C" w14:textId="77777777" w:rsidR="00DA0C52" w:rsidRDefault="006C3308">
      <w:pPr>
        <w:pStyle w:val="Heading1"/>
        <w:ind w:left="-5"/>
      </w:pPr>
      <w:r>
        <w:t>What we're building</w:t>
      </w:r>
    </w:p>
    <w:p w14:paraId="60CF25A3" w14:textId="77777777" w:rsidR="00DA0C52" w:rsidRDefault="006C3308">
      <w:pPr>
        <w:spacing w:after="384"/>
        <w:ind w:left="-5"/>
      </w:pPr>
      <w:r>
        <w:t>A tool that tests architectural floor plans against avatars representing people with various mobility and functional limitations, to verify whether a design is actually usable (can this person reach the outlet, clear the doorway, transfer to the shower) before it gets built.</w:t>
      </w:r>
    </w:p>
    <w:p w14:paraId="05E3C89E" w14:textId="77777777" w:rsidR="00DA0C52" w:rsidRDefault="006C3308">
      <w:pPr>
        <w:pStyle w:val="Heading1"/>
        <w:ind w:left="-5"/>
      </w:pPr>
      <w:r>
        <w:t>Core concept</w:t>
      </w:r>
    </w:p>
    <w:p w14:paraId="0E94062E" w14:textId="77777777" w:rsidR="00DA0C52" w:rsidRDefault="006C3308">
      <w:pPr>
        <w:spacing w:after="384"/>
        <w:ind w:left="-5"/>
      </w:pPr>
      <w:r>
        <w:t xml:space="preserve">Instead of building one full-body model per named diagnosis (a “arthritis avatar,” a “stroke avatar”), the body is decomposed into independent </w:t>
      </w:r>
      <w:r>
        <w:rPr>
          <w:b/>
        </w:rPr>
        <w:t>joint cards</w:t>
      </w:r>
      <w:r>
        <w:t xml:space="preserve"> — shoulder, elbow, wrist, hip, knee, ankle, etc. Each card holds baseline (able-bodied) range of motion plus optional overrides. A named condition is just a set of overrides applied to specific cards — never a separate model. This is the same approach used in the published virtual-user-modeling research we sourced (VERITAS/Applied Ergonomics 2015): disabilities are modeled as ~100+ independent functional parameters, not as single labeled shapes.</w:t>
      </w:r>
    </w:p>
    <w:p w14:paraId="5FBDCFB3" w14:textId="77777777" w:rsidR="00DA0C52" w:rsidRDefault="006C3308">
      <w:pPr>
        <w:pStyle w:val="Heading1"/>
        <w:spacing w:after="0"/>
        <w:ind w:left="-5"/>
      </w:pPr>
      <w:r>
        <w:t>Six-step pipeline</w:t>
      </w:r>
    </w:p>
    <w:p w14:paraId="0FD600B0" w14:textId="77777777" w:rsidR="00DA0C52" w:rsidRDefault="006C3308">
      <w:pPr>
        <w:spacing w:after="462" w:line="259" w:lineRule="auto"/>
        <w:ind w:left="2508" w:right="0" w:firstLine="0"/>
      </w:pPr>
      <w:r>
        <w:rPr>
          <w:noProof/>
        </w:rPr>
        <w:drawing>
          <wp:inline distT="0" distB="0" distL="0" distR="0" wp14:anchorId="698D4D75" wp14:editId="6CE16921">
            <wp:extent cx="3063240" cy="3808353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380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20AE" w14:textId="77777777" w:rsidR="00DA0C52" w:rsidRDefault="006C3308">
      <w:pPr>
        <w:pStyle w:val="Heading2"/>
        <w:ind w:left="-5"/>
      </w:pPr>
      <w:r>
        <w:t>1. Baseline rig</w:t>
      </w:r>
    </w:p>
    <w:p w14:paraId="3423644A" w14:textId="77777777" w:rsidR="00DA0C52" w:rsidRDefault="006C3308">
      <w:pPr>
        <w:ind w:left="-5"/>
      </w:pPr>
      <w:r>
        <w:t>One Blender skeleton with a bone for every joint in the card taxonomy. This is the neutral, no-disability control avatar. Card baseline values populate Blender's Limit Rotation constraints on each bone.</w:t>
      </w:r>
    </w:p>
    <w:p w14:paraId="4CCB43BF" w14:textId="77777777" w:rsidR="00DA0C52" w:rsidRDefault="006C3308">
      <w:pPr>
        <w:spacing w:after="232" w:line="286" w:lineRule="auto"/>
        <w:ind w:left="275" w:right="0"/>
      </w:pPr>
      <w:r>
        <w:rPr>
          <w:b/>
          <w:color w:val="2F6B45"/>
          <w:sz w:val="19"/>
        </w:rPr>
        <w:t>Done means:</w:t>
      </w:r>
      <w:r>
        <w:rPr>
          <w:color w:val="2F6B45"/>
          <w:sz w:val="19"/>
        </w:rPr>
        <w:t xml:space="preserve"> The skeleton exists with all joints named to match the card list, and an unconstrained avatar moves and poses correctly.</w:t>
      </w:r>
    </w:p>
    <w:p w14:paraId="2CF2E090" w14:textId="77777777" w:rsidR="00DA0C52" w:rsidRDefault="006C3308">
      <w:pPr>
        <w:pStyle w:val="Heading2"/>
        <w:ind w:left="-5"/>
      </w:pPr>
      <w:r>
        <w:t>2. Card library (data, not geometry)</w:t>
      </w:r>
    </w:p>
    <w:p w14:paraId="7C9DB68C" w14:textId="77777777" w:rsidR="00DA0C52" w:rsidRDefault="006C3308">
      <w:pPr>
        <w:ind w:left="-5"/>
      </w:pPr>
      <w:r>
        <w:t>A JSON/spreadsheet/small database — separate from the .blend file — holding baseline ROM plus condition-specific overrides per joint. Each entry carries a source citation and a status (sourced / interpolated / placeholder), so it's always clear what's real data versus a stand-in.</w:t>
      </w:r>
    </w:p>
    <w:p w14:paraId="49710894" w14:textId="77777777" w:rsidR="00DA0C52" w:rsidRDefault="006C3308">
      <w:pPr>
        <w:spacing w:after="232" w:line="286" w:lineRule="auto"/>
        <w:ind w:left="275" w:right="0"/>
      </w:pPr>
      <w:r>
        <w:rPr>
          <w:b/>
          <w:color w:val="2F6B45"/>
          <w:sz w:val="19"/>
        </w:rPr>
        <w:t>Done means:</w:t>
      </w:r>
      <w:r>
        <w:rPr>
          <w:color w:val="2F6B45"/>
          <w:sz w:val="19"/>
        </w:rPr>
        <w:t xml:space="preserve"> A new citation for one joint/condition can be entered by editing one row, with zero changes to rigging or geometry.</w:t>
      </w:r>
    </w:p>
    <w:p w14:paraId="1062E904" w14:textId="77777777" w:rsidR="00DA0C52" w:rsidRDefault="006C3308">
      <w:pPr>
        <w:pStyle w:val="Heading2"/>
        <w:ind w:left="-5"/>
      </w:pPr>
      <w:r>
        <w:t>3. Profile composer</w:t>
      </w:r>
    </w:p>
    <w:p w14:paraId="3D91EA5D" w14:textId="77777777" w:rsidR="00DA0C52" w:rsidRDefault="006C3308">
      <w:pPr>
        <w:ind w:left="-5"/>
      </w:pPr>
      <w:r>
        <w:t>A script that takes a named profile (a list of card overrides — e.g. “moderate stroke, right hemiparesis”) and rewrites the bone constraints on a duplicated skeleton accordingly.</w:t>
      </w:r>
    </w:p>
    <w:p w14:paraId="21D8B632" w14:textId="77777777" w:rsidR="00DA0C52" w:rsidRDefault="006C3308">
      <w:pPr>
        <w:spacing w:after="232" w:line="286" w:lineRule="auto"/>
        <w:ind w:left="275" w:right="0"/>
      </w:pPr>
      <w:r>
        <w:rPr>
          <w:b/>
          <w:color w:val="2F6B45"/>
          <w:sz w:val="19"/>
        </w:rPr>
        <w:t>Done means:</w:t>
      </w:r>
      <w:r>
        <w:rPr>
          <w:color w:val="2F6B45"/>
          <w:sz w:val="19"/>
        </w:rPr>
        <w:t xml:space="preserve"> Passing a profile name in produces a correctly constrained rig, with no manual constraint-editing.</w:t>
      </w:r>
    </w:p>
    <w:p w14:paraId="11D26FCA" w14:textId="77777777" w:rsidR="00DA0C52" w:rsidRDefault="006C3308">
      <w:pPr>
        <w:pStyle w:val="Heading2"/>
        <w:ind w:left="-5"/>
      </w:pPr>
      <w:r>
        <w:t>4. Envelope generation</w:t>
      </w:r>
    </w:p>
    <w:p w14:paraId="511740C5" w14:textId="77777777" w:rsidR="00DA0C52" w:rsidRDefault="006C3308">
      <w:pPr>
        <w:ind w:left="-5"/>
      </w:pPr>
      <w:r>
        <w:t>The constrained joint chain is swept through its allowed range using inverse kinematics (IKPy), sampling reachable hand/foot positions. The union of those positions is the reach envelope — computed from the cards, not hand-modeled per diagnosis.</w:t>
      </w:r>
    </w:p>
    <w:p w14:paraId="041C9BBD" w14:textId="77777777" w:rsidR="00DA0C52" w:rsidRDefault="006C3308">
      <w:pPr>
        <w:spacing w:after="232" w:line="286" w:lineRule="auto"/>
        <w:ind w:left="275" w:right="0"/>
      </w:pPr>
      <w:r>
        <w:rPr>
          <w:b/>
          <w:color w:val="2F6B45"/>
          <w:sz w:val="19"/>
        </w:rPr>
        <w:t>Done means:</w:t>
      </w:r>
      <w:r>
        <w:rPr>
          <w:color w:val="2F6B45"/>
          <w:sz w:val="19"/>
        </w:rPr>
        <w:t xml:space="preserve"> For a given profile and chain, the tool outputs a reach volume without any per-diagnosis custom asset having been built.</w:t>
      </w:r>
    </w:p>
    <w:p w14:paraId="588F50CA" w14:textId="77777777" w:rsidR="00DA0C52" w:rsidRDefault="006C3308">
      <w:pPr>
        <w:pStyle w:val="Heading2"/>
        <w:ind w:left="-5"/>
      </w:pPr>
      <w:r>
        <w:t>5. Task chain</w:t>
      </w:r>
    </w:p>
    <w:p w14:paraId="0D1B38E4" w14:textId="77777777" w:rsidR="00DA0C52" w:rsidRDefault="006C3308">
      <w:pPr>
        <w:ind w:left="-5"/>
      </w:pPr>
      <w:r>
        <w:t>A task (e.g. “reach the wall outlet,” “clear the doorway”) specifies which joints are in play — shoulder–elbow–wrist plus trunk lean, for example — rather than testing the whole body at once.</w:t>
      </w:r>
    </w:p>
    <w:p w14:paraId="68623EB2" w14:textId="77777777" w:rsidR="00DA0C52" w:rsidRDefault="006C3308">
      <w:pPr>
        <w:spacing w:after="232" w:line="286" w:lineRule="auto"/>
        <w:ind w:left="275" w:right="0"/>
      </w:pPr>
      <w:r>
        <w:rPr>
          <w:b/>
          <w:color w:val="2F6B45"/>
          <w:sz w:val="19"/>
        </w:rPr>
        <w:t>Done means:</w:t>
      </w:r>
      <w:r>
        <w:rPr>
          <w:color w:val="2F6B45"/>
          <w:sz w:val="19"/>
        </w:rPr>
        <w:t xml:space="preserve"> A short list of named tasks exists, each mapped to a specific joint chain.</w:t>
      </w:r>
    </w:p>
    <w:p w14:paraId="1C0C1187" w14:textId="77777777" w:rsidR="00DA0C52" w:rsidRDefault="006C3308">
      <w:pPr>
        <w:pStyle w:val="Heading2"/>
        <w:ind w:left="-5"/>
      </w:pPr>
      <w:r>
        <w:t>6. Floor-plan test</w:t>
      </w:r>
    </w:p>
    <w:p w14:paraId="160919E0" w14:textId="77777777" w:rsidR="00DA0C52" w:rsidRDefault="006C3308">
      <w:pPr>
        <w:ind w:left="-5"/>
      </w:pPr>
      <w:r>
        <w:t>Room geometry, built in AutoCAD and imported into Blender, is checked against the generated envelope for that profile and task: pass or fail, per fixture or clearance.</w:t>
      </w:r>
    </w:p>
    <w:p w14:paraId="763251D5" w14:textId="77777777" w:rsidR="00DA0C52" w:rsidRDefault="006C3308">
      <w:pPr>
        <w:spacing w:after="393" w:line="286" w:lineRule="auto"/>
        <w:ind w:left="275" w:right="0"/>
      </w:pPr>
      <w:r>
        <w:rPr>
          <w:b/>
          <w:color w:val="2F6B45"/>
          <w:sz w:val="19"/>
        </w:rPr>
        <w:t>Done means:</w:t>
      </w:r>
      <w:r>
        <w:rPr>
          <w:color w:val="2F6B45"/>
          <w:sz w:val="19"/>
        </w:rPr>
        <w:t xml:space="preserve"> A test room produces a pass/fail result per profile per task, viewable in Blender.</w:t>
      </w:r>
    </w:p>
    <w:p w14:paraId="037A3FB6" w14:textId="77777777" w:rsidR="00DA0C52" w:rsidRDefault="006C3308">
      <w:pPr>
        <w:pStyle w:val="Heading1"/>
        <w:ind w:left="-5"/>
      </w:pPr>
      <w:r>
        <w:t>Card data schema</w:t>
      </w:r>
    </w:p>
    <w:p w14:paraId="03EAC8D1" w14:textId="77777777" w:rsidR="00DA0C52" w:rsidRDefault="006C3308">
      <w:pPr>
        <w:spacing w:after="0"/>
        <w:ind w:left="-5"/>
      </w:pPr>
      <w:r>
        <w:t>Fields every joint card needs, regardless of which condition it's describing:</w:t>
      </w:r>
    </w:p>
    <w:tbl>
      <w:tblPr>
        <w:tblStyle w:val="TableGrid"/>
        <w:tblW w:w="8496" w:type="dxa"/>
        <w:tblInd w:w="672" w:type="dxa"/>
        <w:tblCellMar>
          <w:top w:w="129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44"/>
        <w:gridCol w:w="6552"/>
      </w:tblGrid>
      <w:tr w:rsidR="00DA0C52" w14:paraId="70AF9509" w14:textId="77777777">
        <w:trPr>
          <w:trHeight w:val="440"/>
        </w:trPr>
        <w:tc>
          <w:tcPr>
            <w:tcW w:w="19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3475B"/>
            <w:vAlign w:val="center"/>
          </w:tcPr>
          <w:p w14:paraId="6126A708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3475B"/>
            <w:vAlign w:val="center"/>
          </w:tcPr>
          <w:p w14:paraId="22E2C516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18"/>
              </w:rPr>
              <w:t>Holds</w:t>
            </w:r>
          </w:p>
        </w:tc>
      </w:tr>
      <w:tr w:rsidR="00DA0C52" w14:paraId="2E92CA2F" w14:textId="77777777">
        <w:trPr>
          <w:trHeight w:val="380"/>
        </w:trPr>
        <w:tc>
          <w:tcPr>
            <w:tcW w:w="19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F57561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b/>
                <w:sz w:val="17"/>
              </w:rPr>
              <w:t>joint_id</w:t>
            </w:r>
          </w:p>
        </w:tc>
        <w:tc>
          <w:tcPr>
            <w:tcW w:w="6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A4CE7F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e.g. shoulder_R, knee_L, wrist_R</w:t>
            </w:r>
          </w:p>
        </w:tc>
      </w:tr>
      <w:tr w:rsidR="00DA0C52" w14:paraId="5B4444C1" w14:textId="77777777">
        <w:trPr>
          <w:trHeight w:val="380"/>
        </w:trPr>
        <w:tc>
          <w:tcPr>
            <w:tcW w:w="19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</w:tcPr>
          <w:p w14:paraId="50634411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b/>
                <w:sz w:val="17"/>
              </w:rPr>
              <w:t>parent_joint</w:t>
            </w:r>
          </w:p>
        </w:tc>
        <w:tc>
          <w:tcPr>
            <w:tcW w:w="6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</w:tcPr>
          <w:p w14:paraId="0B371599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What it's chained to (elbow's parent = shoulder)</w:t>
            </w:r>
          </w:p>
        </w:tc>
      </w:tr>
      <w:tr w:rsidR="00DA0C52" w14:paraId="0F368532" w14:textId="77777777">
        <w:trPr>
          <w:trHeight w:val="600"/>
        </w:trPr>
        <w:tc>
          <w:tcPr>
            <w:tcW w:w="19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50E8677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b/>
                <w:sz w:val="17"/>
              </w:rPr>
              <w:t>DOF</w:t>
            </w:r>
          </w:p>
        </w:tc>
        <w:tc>
          <w:tcPr>
            <w:tcW w:w="6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4961B6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Relevant axes for that joint (shoulder: flexion/extension, abduction/adduction, rotation)</w:t>
            </w:r>
          </w:p>
        </w:tc>
      </w:tr>
      <w:tr w:rsidR="00DA0C52" w14:paraId="1FDFB146" w14:textId="77777777">
        <w:trPr>
          <w:trHeight w:val="380"/>
        </w:trPr>
        <w:tc>
          <w:tcPr>
            <w:tcW w:w="19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</w:tcPr>
          <w:p w14:paraId="39A08F3A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b/>
                <w:sz w:val="17"/>
              </w:rPr>
              <w:t>baseline_ROM</w:t>
            </w:r>
          </w:p>
        </w:tc>
        <w:tc>
          <w:tcPr>
            <w:tcW w:w="6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</w:tcPr>
          <w:p w14:paraId="5FA38986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Able-bodied min/max per axis, in degrees</w:t>
            </w:r>
          </w:p>
        </w:tc>
      </w:tr>
      <w:tr w:rsidR="00DA0C52" w14:paraId="09793F1E" w14:textId="77777777">
        <w:trPr>
          <w:trHeight w:val="380"/>
        </w:trPr>
        <w:tc>
          <w:tcPr>
            <w:tcW w:w="19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A08ADE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b/>
                <w:sz w:val="17"/>
              </w:rPr>
              <w:t>condition_ROM</w:t>
            </w:r>
          </w:p>
        </w:tc>
        <w:tc>
          <w:tcPr>
            <w:tcW w:w="6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0FC4895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Override min/max per axis, tagged to a condition + severity</w:t>
            </w:r>
          </w:p>
        </w:tc>
      </w:tr>
      <w:tr w:rsidR="00DA0C52" w14:paraId="5E321B99" w14:textId="77777777">
        <w:trPr>
          <w:trHeight w:val="600"/>
        </w:trPr>
        <w:tc>
          <w:tcPr>
            <w:tcW w:w="19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</w:tcPr>
          <w:p w14:paraId="0B772437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b/>
                <w:sz w:val="17"/>
              </w:rPr>
              <w:t>strength</w:t>
            </w:r>
          </w:p>
        </w:tc>
        <w:tc>
          <w:tcPr>
            <w:tcW w:w="6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</w:tcPr>
          <w:p w14:paraId="74B4FBF0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Weight-bearing / push / pull capacity (categorical is fine if no numeric source exists)</w:t>
            </w:r>
          </w:p>
        </w:tc>
      </w:tr>
      <w:tr w:rsidR="00DA0C52" w14:paraId="42EB683F" w14:textId="77777777">
        <w:trPr>
          <w:trHeight w:val="600"/>
        </w:trPr>
        <w:tc>
          <w:tcPr>
            <w:tcW w:w="19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359AEB3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b/>
                <w:sz w:val="17"/>
              </w:rPr>
              <w:t>control</w:t>
            </w:r>
          </w:p>
        </w:tc>
        <w:tc>
          <w:tcPr>
            <w:tcW w:w="6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8FD501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Speed and steadiness — kept separate from range so tremor/spasticity/ataxia don't get forced into a pure angle limit</w:t>
            </w:r>
          </w:p>
        </w:tc>
      </w:tr>
      <w:tr w:rsidR="00DA0C52" w14:paraId="4C9834AD" w14:textId="77777777">
        <w:trPr>
          <w:trHeight w:val="380"/>
        </w:trPr>
        <w:tc>
          <w:tcPr>
            <w:tcW w:w="19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</w:tcPr>
          <w:p w14:paraId="5C0B0D68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b/>
                <w:sz w:val="17"/>
              </w:rPr>
              <w:t>laterality</w:t>
            </w:r>
          </w:p>
        </w:tc>
        <w:tc>
          <w:tcPr>
            <w:tcW w:w="6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</w:tcPr>
          <w:p w14:paraId="2F0E246D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Symmetric, or independent left/right (needed for hemiplegia, single-limb loss)</w:t>
            </w:r>
          </w:p>
        </w:tc>
      </w:tr>
      <w:tr w:rsidR="00DA0C52" w14:paraId="156C54D8" w14:textId="77777777">
        <w:trPr>
          <w:trHeight w:val="600"/>
        </w:trPr>
        <w:tc>
          <w:tcPr>
            <w:tcW w:w="19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29AAD7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b/>
                <w:sz w:val="17"/>
              </w:rPr>
              <w:t>dependency_flags</w:t>
            </w:r>
          </w:p>
        </w:tc>
        <w:tc>
          <w:tcPr>
            <w:tcW w:w="6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8BB35B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e.g. “requires free hand for balance” — how one card restricts what another can do at the same time</w:t>
            </w:r>
          </w:p>
        </w:tc>
      </w:tr>
      <w:tr w:rsidR="00DA0C52" w14:paraId="6FB4BFD4" w14:textId="77777777">
        <w:trPr>
          <w:trHeight w:val="380"/>
        </w:trPr>
        <w:tc>
          <w:tcPr>
            <w:tcW w:w="19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</w:tcPr>
          <w:p w14:paraId="77FFB171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b/>
                <w:sz w:val="17"/>
              </w:rPr>
              <w:t>source</w:t>
            </w:r>
          </w:p>
        </w:tc>
        <w:tc>
          <w:tcPr>
            <w:tcW w:w="6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</w:tcPr>
          <w:p w14:paraId="27472720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Citation, sample size, year</w:t>
            </w:r>
          </w:p>
        </w:tc>
      </w:tr>
      <w:tr w:rsidR="00DA0C52" w14:paraId="5179B8E9" w14:textId="77777777">
        <w:trPr>
          <w:trHeight w:val="380"/>
        </w:trPr>
        <w:tc>
          <w:tcPr>
            <w:tcW w:w="19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30139E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6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6D4195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sourced / interpolated / placeholder</w:t>
            </w:r>
          </w:p>
        </w:tc>
      </w:tr>
    </w:tbl>
    <w:p w14:paraId="45B79CEF" w14:textId="77777777" w:rsidR="00DA0C52" w:rsidRDefault="006C3308">
      <w:pPr>
        <w:pStyle w:val="Heading1"/>
        <w:ind w:left="-5"/>
      </w:pPr>
      <w:r>
        <w:t>Build order</w:t>
      </w:r>
    </w:p>
    <w:p w14:paraId="300C51F2" w14:textId="77777777" w:rsidR="00DA0C52" w:rsidRDefault="006C3308">
      <w:pPr>
        <w:spacing w:after="157"/>
        <w:ind w:left="-5"/>
      </w:pPr>
      <w:r>
        <w:t>Cards are sourced and built incrementally — the verifier does not wait for every joint/condition combination to be complete before it's usable.</w:t>
      </w:r>
    </w:p>
    <w:p w14:paraId="63B07193" w14:textId="77777777" w:rsidR="00DA0C52" w:rsidRDefault="006C3308">
      <w:pPr>
        <w:numPr>
          <w:ilvl w:val="0"/>
          <w:numId w:val="1"/>
        </w:numPr>
        <w:spacing w:after="152"/>
        <w:ind w:hanging="360"/>
      </w:pPr>
      <w:r>
        <w:rPr>
          <w:b/>
        </w:rPr>
        <w:t>Arm chain + trunk stability</w:t>
      </w:r>
      <w:r>
        <w:t xml:space="preserve"> (shoulder–elbow–wrist–hand) — covers the most common test case, reach-to-fixture.</w:t>
      </w:r>
    </w:p>
    <w:p w14:paraId="03020B3E" w14:textId="77777777" w:rsidR="00DA0C52" w:rsidRDefault="006C3308">
      <w:pPr>
        <w:numPr>
          <w:ilvl w:val="0"/>
          <w:numId w:val="1"/>
        </w:numPr>
        <w:spacing w:after="147"/>
        <w:ind w:hanging="360"/>
      </w:pPr>
      <w:r>
        <w:rPr>
          <w:b/>
        </w:rPr>
        <w:t>Leg chain</w:t>
      </w:r>
      <w:r>
        <w:t xml:space="preserve"> (hip–knee–ankle) — standing and transfer checks.</w:t>
      </w:r>
    </w:p>
    <w:p w14:paraId="00760026" w14:textId="77777777" w:rsidR="00DA0C52" w:rsidRDefault="006C3308">
      <w:pPr>
        <w:numPr>
          <w:ilvl w:val="0"/>
          <w:numId w:val="1"/>
        </w:numPr>
        <w:spacing w:after="375"/>
        <w:ind w:hanging="360"/>
      </w:pPr>
      <w:r>
        <w:rPr>
          <w:b/>
        </w:rPr>
        <w:t>Fine-motor / finger cards</w:t>
      </w:r>
      <w:r>
        <w:t xml:space="preserve"> — hardest to source, least likely to be what fails a floor plan, built last.</w:t>
      </w:r>
    </w:p>
    <w:p w14:paraId="49F0753E" w14:textId="77777777" w:rsidR="00DA0C52" w:rsidRDefault="006C3308">
      <w:pPr>
        <w:pStyle w:val="Heading1"/>
        <w:ind w:left="-5"/>
      </w:pPr>
      <w:r>
        <w:t>Why this architecture</w:t>
      </w:r>
    </w:p>
    <w:p w14:paraId="28CEA848" w14:textId="77777777" w:rsidR="00DA0C52" w:rsidRDefault="006C3308">
      <w:pPr>
        <w:spacing w:after="384"/>
        <w:ind w:left="-5"/>
      </w:pPr>
      <w:r>
        <w:t>Fewer distinct assets are needed than one full model per diagnosis. The tool is usable with only some cards fully sourced — a card can ship as real data now and get upgraded later without touching the rig, the composer, or the envelope logic. Reuse is automatic: a shoulder card with reduced abduction applies equally to arthritis, stroke, or rotator cuff injury. Asymmetric conditions (hemiplegia, single-limb loss) are handled natively through independent left/right values, rather than needing a separate symm</w:t>
      </w:r>
      <w:r>
        <w:t>etric-vs-asymmetric model.</w:t>
      </w:r>
    </w:p>
    <w:p w14:paraId="1B1A93F2" w14:textId="77777777" w:rsidR="00DA0C52" w:rsidRDefault="006C3308">
      <w:pPr>
        <w:pStyle w:val="Heading1"/>
        <w:spacing w:after="0"/>
        <w:ind w:left="-5"/>
      </w:pPr>
      <w:r>
        <w:t>Current tech stack</w:t>
      </w:r>
    </w:p>
    <w:tbl>
      <w:tblPr>
        <w:tblStyle w:val="TableGrid"/>
        <w:tblW w:w="8496" w:type="dxa"/>
        <w:tblInd w:w="672" w:type="dxa"/>
        <w:tblCellMar>
          <w:top w:w="129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2"/>
        <w:gridCol w:w="5904"/>
      </w:tblGrid>
      <w:tr w:rsidR="00DA0C52" w14:paraId="488E3E7E" w14:textId="77777777">
        <w:trPr>
          <w:trHeight w:val="380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5AA70D2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b/>
                <w:sz w:val="17"/>
              </w:rPr>
              <w:t>MakeHuman</w:t>
            </w:r>
          </w:p>
        </w:tc>
        <w:tc>
          <w:tcPr>
            <w:tcW w:w="59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B7142F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Open-source body shape generation</w:t>
            </w:r>
          </w:p>
        </w:tc>
      </w:tr>
      <w:tr w:rsidR="00DA0C52" w14:paraId="37A31291" w14:textId="77777777">
        <w:trPr>
          <w:trHeight w:val="600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</w:tcPr>
          <w:p w14:paraId="14004570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b/>
                <w:sz w:val="17"/>
              </w:rPr>
              <w:t>OpenSim</w:t>
            </w:r>
          </w:p>
        </w:tc>
        <w:tc>
          <w:tcPr>
            <w:tcW w:w="59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</w:tcPr>
          <w:p w14:paraId="69748F1C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Clinically validated musculoskeletal modeling (Stanford SimBios) — reference/validation</w:t>
            </w:r>
          </w:p>
        </w:tc>
      </w:tr>
      <w:tr w:rsidR="00DA0C52" w14:paraId="73DD5394" w14:textId="77777777">
        <w:trPr>
          <w:trHeight w:val="380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0C2603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b/>
                <w:sz w:val="17"/>
              </w:rPr>
              <w:t>IKPy</w:t>
            </w:r>
          </w:p>
        </w:tc>
        <w:tc>
          <w:tcPr>
            <w:tcW w:w="59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B1AF2B2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Open-source inverse kinematics library — drives the envelope sweep</w:t>
            </w:r>
          </w:p>
        </w:tc>
      </w:tr>
      <w:tr w:rsidR="00DA0C52" w14:paraId="66A747DA" w14:textId="77777777">
        <w:trPr>
          <w:trHeight w:val="380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</w:tcPr>
          <w:p w14:paraId="0CDC4875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b/>
                <w:sz w:val="17"/>
              </w:rPr>
              <w:t>Blender</w:t>
            </w:r>
          </w:p>
        </w:tc>
        <w:tc>
          <w:tcPr>
            <w:tcW w:w="59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</w:tcPr>
          <w:p w14:paraId="79D4755C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Rig, constraints, envelope generation, floor-plan test scene</w:t>
            </w:r>
          </w:p>
        </w:tc>
      </w:tr>
      <w:tr w:rsidR="00DA0C52" w14:paraId="1197193A" w14:textId="77777777">
        <w:trPr>
          <w:trHeight w:val="600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7C5295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b/>
                <w:sz w:val="17"/>
              </w:rPr>
              <w:t>AutoCAD (student license)</w:t>
            </w:r>
          </w:p>
        </w:tc>
        <w:tc>
          <w:tcPr>
            <w:tcW w:w="59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78F68B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Used only to build test-room geometry, imported into Blender — the product does not depend on AutoCAD</w:t>
            </w:r>
          </w:p>
        </w:tc>
      </w:tr>
      <w:tr w:rsidR="00DA0C52" w14:paraId="19EB8C3C" w14:textId="77777777">
        <w:trPr>
          <w:trHeight w:val="600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</w:tcPr>
          <w:p w14:paraId="6CAF7AAB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b/>
                <w:sz w:val="17"/>
              </w:rPr>
              <w:t>NHANES + peer-reviewed papers</w:t>
            </w:r>
          </w:p>
        </w:tc>
        <w:tc>
          <w:tcPr>
            <w:tcW w:w="59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</w:tcPr>
          <w:p w14:paraId="2301DF98" w14:textId="77777777" w:rsidR="00DA0C52" w:rsidRDefault="006C3308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Anthropometric and joint ROM data sourcing</w:t>
            </w:r>
          </w:p>
        </w:tc>
      </w:tr>
    </w:tbl>
    <w:p w14:paraId="7C6F8E3E" w14:textId="77777777" w:rsidR="00DA0C52" w:rsidRDefault="006C3308">
      <w:pPr>
        <w:pStyle w:val="Heading1"/>
        <w:ind w:left="-5"/>
      </w:pPr>
      <w:r>
        <w:t>Open sourcing gaps (as of this brief)</w:t>
      </w:r>
    </w:p>
    <w:p w14:paraId="5EB0E66B" w14:textId="77777777" w:rsidR="00DA0C52" w:rsidRDefault="006C3308">
      <w:pPr>
        <w:spacing w:after="198"/>
        <w:ind w:left="-5"/>
      </w:pPr>
      <w:r>
        <w:t>Still unsourced with a real citation: arthritis-specific reach reduction, KAFO/orthotic sweep width, and spatial-neglect cone angle. These should carry status “placeholder” in the card library until a citable source is found — the pipeline works with placeholders in place, it just flags them as not yet real.</w:t>
      </w:r>
    </w:p>
    <w:p w14:paraId="4384877D" w14:textId="77777777" w:rsidR="00DA0C52" w:rsidRDefault="006C3308">
      <w:pPr>
        <w:spacing w:after="69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8AF8D9" wp14:editId="547958D9">
                <wp:extent cx="6248400" cy="9525"/>
                <wp:effectExtent l="0" t="0" r="0" b="0"/>
                <wp:docPr id="3284" name="Group 3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9525"/>
                          <a:chOff x="0" y="0"/>
                          <a:chExt cx="6248400" cy="9525"/>
                        </a:xfrm>
                      </wpg:grpSpPr>
                      <wps:wsp>
                        <wps:cNvPr id="194" name="Shape 194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4" style="width:492pt;height:0.75pt;mso-position-horizontal-relative:char;mso-position-vertical-relative:line" coordsize="62484,95">
                <v:shape id="Shape 194" style="position:absolute;width:62484;height:0;left:0;top:0;" coordsize="6248400,0" path="m0,0l6248400,0">
                  <v:stroke weight="0.7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4E4EA079" w14:textId="77777777" w:rsidR="00DA0C52" w:rsidRDefault="006C3308">
      <w:pPr>
        <w:spacing w:after="0" w:line="259" w:lineRule="auto"/>
        <w:ind w:left="0" w:right="0" w:firstLine="0"/>
      </w:pPr>
      <w:r>
        <w:rPr>
          <w:color w:val="555555"/>
          <w:sz w:val="17"/>
        </w:rPr>
        <w:t>AccessPath — internal build brief. Prepared for technical collaborator handoff.</w:t>
      </w:r>
    </w:p>
    <w:sectPr w:rsidR="00DA0C52">
      <w:pgSz w:w="12240" w:h="15840"/>
      <w:pgMar w:top="1056" w:right="1200" w:bottom="1324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0139A"/>
    <w:multiLevelType w:val="hybridMultilevel"/>
    <w:tmpl w:val="FFFFFFFF"/>
    <w:lvl w:ilvl="0" w:tplc="7A38577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742A2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98C92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041FC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644C3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E078D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D470B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E4B59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E20F8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6736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C52"/>
    <w:rsid w:val="00324E81"/>
    <w:rsid w:val="006C3308"/>
    <w:rsid w:val="00975175"/>
    <w:rsid w:val="00DA0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D37BD4"/>
  <w15:docId w15:val="{D07CA835-8E21-484B-9AB0-C6BCAA545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4" w:line="287" w:lineRule="auto"/>
      <w:ind w:left="10" w:right="13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7" w:line="259" w:lineRule="auto"/>
      <w:ind w:left="10" w:hanging="10"/>
      <w:outlineLvl w:val="0"/>
    </w:pPr>
    <w:rPr>
      <w:rFonts w:ascii="Arial" w:eastAsia="Arial" w:hAnsi="Arial" w:cs="Arial"/>
      <w:b/>
      <w:color w:val="1A1A1A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7" w:line="259" w:lineRule="auto"/>
      <w:ind w:left="10" w:hanging="10"/>
      <w:outlineLvl w:val="1"/>
    </w:pPr>
    <w:rPr>
      <w:rFonts w:ascii="Arial" w:eastAsia="Arial" w:hAnsi="Arial" w:cs="Arial"/>
      <w:b/>
      <w:i/>
      <w:color w:val="33475B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i/>
      <w:color w:val="33475B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1A1A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897</Words>
  <Characters>5119</Characters>
  <Application>Microsoft Office Word</Application>
  <DocSecurity>0</DocSecurity>
  <Lines>42</Lines>
  <Paragraphs>12</Paragraphs>
  <ScaleCrop>false</ScaleCrop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AccessPath Verifier — Technical Build Brief</dc:title>
  <dc:subject>(unspecified)</dc:subject>
  <dc:creator>(anonymous)</dc:creator>
  <cp:keywords/>
  <cp:lastModifiedBy>heather mcgavin</cp:lastModifiedBy>
  <cp:revision>2</cp:revision>
  <dcterms:created xsi:type="dcterms:W3CDTF">2026-09-29T06:36:00Z</dcterms:created>
  <dcterms:modified xsi:type="dcterms:W3CDTF">2026-09-29T06:36:00Z</dcterms:modified>
</cp:coreProperties>
</file>