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DB59" w14:textId="77777777" w:rsidR="00DC4EB2" w:rsidRPr="00D02099" w:rsidRDefault="00000000">
      <w:pPr>
        <w:pStyle w:val="Heading1"/>
        <w:rPr>
          <w:lang w:val="en-US"/>
        </w:rPr>
      </w:pPr>
      <w:bookmarkStart w:id="0" w:name="_Toc19891581"/>
      <w:r w:rsidRPr="00D02099">
        <w:rPr>
          <w:lang w:val="en-US"/>
        </w:rPr>
        <w:t>Accessibility</w:t>
      </w:r>
      <w:bookmarkEnd w:id="0"/>
    </w:p>
    <w:p w14:paraId="55A9B8C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Digital accessibility means that disabled people can use the services and content made available on the web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or via mobile applications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. </w:t>
      </w:r>
    </w:p>
    <w:p w14:paraId="6B2377A6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is a legal obligation for public sector bodies defined by the law of </w:t>
      </w:r>
      <w:hyperlink r:id="rId7" w:history="1">
        <w:r w:rsidRPr="00D02099">
          <w:rPr>
            <w:rStyle w:val="Hyperlink"/>
            <w:rFonts w:ascii="Arial" w:eastAsiaTheme="minorEastAsia" w:hAnsi="Arial" w:cs="Arial"/>
            <w:sz w:val="20"/>
            <w:szCs w:val="20"/>
            <w:lang w:val="en-US"/>
          </w:rPr>
          <w:t>28 May 2019</w:t>
        </w:r>
      </w:hyperlink>
      <w:r w:rsidRPr="00D02099">
        <w:rPr>
          <w:rFonts w:ascii="Arial" w:eastAsiaTheme="minorEastAsia" w:hAnsi="Arial" w:cs="Arial"/>
          <w:sz w:val="20"/>
          <w:szCs w:val="20"/>
          <w:lang w:val="en-US"/>
        </w:rPr>
        <w:t>.</w:t>
      </w:r>
    </w:p>
    <w:p w14:paraId="4AB1F9B7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>Digital accessibility is a major objective of this project.</w:t>
      </w:r>
    </w:p>
    <w:p w14:paraId="28C5B63A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Legal compliance</w:t>
      </w:r>
    </w:p>
    <w:p w14:paraId="43EC9341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legal level of compliance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for websites is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level AA of the latest version of the </w:t>
      </w:r>
      <w:r w:rsidRPr="00D02099">
        <w:rPr>
          <w:rFonts w:ascii="Arial" w:eastAsiaTheme="minorEastAsia" w:hAnsi="Arial" w:cs="Arial"/>
          <w:i/>
          <w:iCs/>
          <w:sz w:val="20"/>
          <w:szCs w:val="20"/>
          <w:lang w:val="en-US"/>
        </w:rPr>
        <w:t xml:space="preserve">General Accessibility Improvement Guidelines (RGAA)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and level AA of the latest version of the </w:t>
      </w:r>
      <w:r w:rsidR="009653E9" w:rsidRPr="00D02099">
        <w:rPr>
          <w:rFonts w:ascii="Arial" w:eastAsiaTheme="minorEastAsia" w:hAnsi="Arial" w:cs="Arial"/>
          <w:i/>
          <w:sz w:val="20"/>
          <w:szCs w:val="20"/>
          <w:lang w:val="en-US"/>
        </w:rPr>
        <w:t xml:space="preserve">Accessibility Assessment Guidelines for Mobile Applications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(RAAM). These standards are published on the accessibilite.public.lu website.</w:t>
      </w:r>
    </w:p>
    <w:p w14:paraId="65DA09B1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If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cannot refer to the RGAA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or RAAM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, then compliance must be assessed in relation to European standard </w:t>
      </w:r>
      <w:hyperlink r:id="rId8" w:history="1">
        <w:r w:rsidRPr="00D02099">
          <w:rPr>
            <w:rStyle w:val="Hyperlink"/>
            <w:rFonts w:ascii="Arial" w:eastAsiaTheme="minorEastAsia" w:hAnsi="Arial" w:cs="Arial"/>
            <w:sz w:val="20"/>
            <w:szCs w:val="20"/>
            <w:lang w:val="en-US"/>
          </w:rPr>
          <w:t>EN 301 549 version 3.2.1</w:t>
        </w:r>
      </w:hyperlink>
      <w:r w:rsidRPr="00D02099">
        <w:rPr>
          <w:rFonts w:ascii="Arial" w:eastAsiaTheme="minorEastAsia" w:hAnsi="Arial" w:cs="Arial"/>
          <w:sz w:val="20"/>
          <w:szCs w:val="20"/>
          <w:lang w:val="en-US"/>
        </w:rPr>
        <w:t>, in particular the criteria listed in table A.1 of appendix A.</w:t>
      </w:r>
    </w:p>
    <w:p w14:paraId="78B2A669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 </w:t>
      </w:r>
      <w:r w:rsidR="002218F8" w:rsidRPr="00D02099">
        <w:rPr>
          <w:rFonts w:ascii="Arial" w:eastAsiaTheme="minorEastAsia" w:hAnsi="Arial" w:cs="Arial"/>
          <w:sz w:val="20"/>
          <w:szCs w:val="20"/>
          <w:lang w:val="en-US"/>
        </w:rPr>
        <w:t>must undertake to do everything necessary to achieve this level of legal compliance.</w:t>
      </w:r>
    </w:p>
    <w:p w14:paraId="78A7058C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Minimum requirements</w:t>
      </w:r>
    </w:p>
    <w:p w14:paraId="3A8CD25B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Taking into account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characteristics of the project as defined in this contract,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CONTRACTOR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must ensure that the developments, content and functionalities present a level of compliance at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least equal to 80%.</w:t>
      </w:r>
    </w:p>
    <w:p w14:paraId="476EC8B2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requirement does not replace 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>the requirement linked to the legal level (</w:t>
      </w:r>
      <w:proofErr w:type="gramStart"/>
      <w:r w:rsidR="00143676" w:rsidRPr="00D02099">
        <w:rPr>
          <w:rFonts w:ascii="Arial" w:eastAsiaTheme="minorEastAsia" w:hAnsi="Arial" w:cs="Arial"/>
          <w:sz w:val="20"/>
          <w:szCs w:val="20"/>
          <w:lang w:val="en-US"/>
        </w:rPr>
        <w:t>i.e.</w:t>
      </w:r>
      <w:proofErr w:type="gramEnd"/>
      <w:r w:rsidR="00143676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a 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100% </w:t>
      </w:r>
      <w:r w:rsidR="00BB76B9" w:rsidRPr="00D02099">
        <w:rPr>
          <w:rFonts w:ascii="Arial" w:eastAsiaTheme="minorEastAsia" w:hAnsi="Arial" w:cs="Arial"/>
          <w:sz w:val="20"/>
          <w:szCs w:val="20"/>
          <w:lang w:val="en-US"/>
        </w:rPr>
        <w:t>compliance rate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),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but constitutes the threshold below which a service provider's failure could be observed.</w:t>
      </w:r>
    </w:p>
    <w:p w14:paraId="0016342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level of requirement concerns all the functionalities and content developed by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HOLDER,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as well as </w:t>
      </w:r>
      <w:r w:rsidR="00F75718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the capacity of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any content editing functions to produce compliant content. </w:t>
      </w:r>
    </w:p>
    <w:p w14:paraId="6EDA72D5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level of requirement does not apply to content produced by the ORGANISM's teams or to </w:t>
      </w:r>
      <w:hyperlink r:id="rId9" w:anchor="contenus-exempt%C3%A9s" w:history="1">
        <w:r w:rsidRPr="00D02099">
          <w:rPr>
            <w:rStyle w:val="Hyperlink"/>
            <w:rFonts w:ascii="Arial" w:eastAsiaTheme="minorEastAsia" w:hAnsi="Arial" w:cs="Arial"/>
            <w:sz w:val="20"/>
            <w:szCs w:val="20"/>
            <w:lang w:val="en-US"/>
          </w:rPr>
          <w:t xml:space="preserve">content that is </w:t>
        </w:r>
      </w:hyperlink>
      <w:hyperlink r:id="rId10" w:anchor="contenus-exempt%C3%A9s" w:history="1">
        <w:r w:rsidR="00F75718" w:rsidRPr="00D02099">
          <w:rPr>
            <w:rStyle w:val="Hyperlink"/>
            <w:rFonts w:ascii="Arial" w:eastAsiaTheme="minorEastAsia" w:hAnsi="Arial" w:cs="Arial"/>
            <w:sz w:val="20"/>
            <w:szCs w:val="20"/>
            <w:lang w:val="en-US"/>
          </w:rPr>
          <w:t>subject to exemptions</w:t>
        </w:r>
      </w:hyperlink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as defined by law.</w:t>
      </w:r>
    </w:p>
    <w:p w14:paraId="4D7452F6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In the case of any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non-compliant functionality or content for which compliance might represent a </w:t>
      </w:r>
      <w:hyperlink r:id="rId11" w:anchor="d%C3%A9rogation-pour-charge-disproportionn%C3%A9e" w:history="1">
        <w:r w:rsidR="00C45702" w:rsidRPr="00D02099">
          <w:rPr>
            <w:rStyle w:val="Hyperlink"/>
            <w:rFonts w:ascii="Arial" w:eastAsiaTheme="minorEastAsia" w:hAnsi="Arial" w:cs="Arial"/>
            <w:sz w:val="20"/>
            <w:szCs w:val="20"/>
            <w:lang w:val="en-US"/>
          </w:rPr>
          <w:t>disproportionate workload</w:t>
        </w:r>
      </w:hyperlink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for the CONTRACT HOLDER, any derogation for disproportionate workload will have to be validated by the ORGANIZATION.</w:t>
      </w:r>
    </w:p>
    <w:p w14:paraId="029F791E" w14:textId="77777777" w:rsidR="00DC4EB2" w:rsidRDefault="00000000">
      <w:pPr>
        <w:pStyle w:val="Heading2"/>
      </w:pPr>
      <w:r w:rsidRPr="00AF757A">
        <w:t>Check</w:t>
      </w:r>
    </w:p>
    <w:p w14:paraId="3AF62DE5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ORGANISM reserves the right to have compliance with these minimum requirements verified during all phases of the project and deliveries (mock-ups, templates, developments, etc.) by means of audits or acceptance tests carried out by a service provider with expertise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in digital accessibility.</w:t>
      </w:r>
    </w:p>
    <w:p w14:paraId="114B744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In the event that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minimum level required is not achieved due to a fault on the part of the </w:t>
      </w:r>
      <w:r w:rsidR="006B198A" w:rsidRPr="00D02099">
        <w:rPr>
          <w:rFonts w:ascii="Arial" w:eastAsiaTheme="minorEastAsia" w:hAnsi="Arial" w:cs="Arial"/>
          <w:sz w:val="20"/>
          <w:szCs w:val="20"/>
          <w:lang w:val="en-US"/>
        </w:rPr>
        <w:t>CONTRACT HOLDER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, the latter must take all necessary corrective action.</w:t>
      </w:r>
    </w:p>
    <w:p w14:paraId="16B96ABE" w14:textId="77777777" w:rsidR="00DC4EB2" w:rsidRPr="00D02099" w:rsidRDefault="0000000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02099">
        <w:rPr>
          <w:rFonts w:ascii="Arial" w:hAnsi="Arial" w:cs="Arial"/>
          <w:sz w:val="20"/>
          <w:szCs w:val="20"/>
          <w:lang w:val="en-US"/>
        </w:rPr>
        <w:t xml:space="preserve">These corrective actions will be the responsibility of </w:t>
      </w:r>
      <w:r w:rsidR="006B198A" w:rsidRPr="00D02099">
        <w:rPr>
          <w:rFonts w:ascii="Arial" w:hAnsi="Arial" w:cs="Arial"/>
          <w:sz w:val="20"/>
          <w:szCs w:val="20"/>
          <w:lang w:val="en-US"/>
        </w:rPr>
        <w:t>the CONTRACT HOLDER</w:t>
      </w:r>
      <w:r w:rsidRPr="00D02099">
        <w:rPr>
          <w:rFonts w:ascii="Arial" w:hAnsi="Arial" w:cs="Arial"/>
          <w:sz w:val="20"/>
          <w:szCs w:val="20"/>
          <w:lang w:val="en-US"/>
        </w:rPr>
        <w:t>.</w:t>
      </w:r>
    </w:p>
    <w:p w14:paraId="6240BA69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Expert support for the ORGANISATION</w:t>
      </w:r>
    </w:p>
    <w:p w14:paraId="683C419B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ORGANISM reserves the right to call on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an external service provider, with expertise in digital accessibility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, to support it at every stage of the project.</w:t>
      </w:r>
    </w:p>
    <w:p w14:paraId="6AADD3F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In this case, the service provider will be the technical contact with the </w:t>
      </w:r>
      <w:r w:rsidR="006B198A" w:rsidRPr="00D02099">
        <w:rPr>
          <w:rFonts w:ascii="Arial" w:eastAsiaTheme="minorEastAsia" w:hAnsi="Arial" w:cs="Arial"/>
          <w:sz w:val="20"/>
          <w:szCs w:val="20"/>
          <w:lang w:val="en-US"/>
        </w:rPr>
        <w:t>AUTHORISED PARTY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's teams for all matters relating to accessibility and compliance with the RGAA </w:t>
      </w:r>
      <w:r w:rsidR="00554EFB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or RAAM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for the entire project.</w:t>
      </w:r>
    </w:p>
    <w:p w14:paraId="29AA7457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lastRenderedPageBreak/>
        <w:t>Some answers</w:t>
      </w:r>
    </w:p>
    <w:p w14:paraId="0B3E08DF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Candidates must provide all the necessary information in the context of this contract, </w:t>
      </w: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indicating precisely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methodology, processes and resources put in place to meet these requirements.</w:t>
      </w:r>
    </w:p>
    <w:p w14:paraId="65E70FA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Particular attention will be paid to 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>the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methodology and processes put in place to guarantee the conformity of the developments, content and functionalities presented on delivery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;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this may include, for example (non-exhaustive list):</w:t>
      </w:r>
    </w:p>
    <w:p w14:paraId="6C4F6B4D" w14:textId="787C7168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Control phases (design, development, acceptance before delivery, etc.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3DD464AE" w14:textId="591790B3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Means of control (internal audit, external audit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18273CDB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Documenting the controls (audit statement, audit report, certificate of compliance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345668A3" w14:textId="78170ED9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tool(s) used for control purposes (automatic tools, assistive technologies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71F90F33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If certificates of conformity are proposed, a sample certificate should be provided.</w:t>
      </w:r>
    </w:p>
    <w:p w14:paraId="7AC91D7F" w14:textId="77777777" w:rsidR="00DC4EB2" w:rsidRPr="00D02099" w:rsidRDefault="00000000">
      <w:pPr>
        <w:pStyle w:val="Heading2"/>
        <w:rPr>
          <w:rFonts w:eastAsiaTheme="minorEastAsia"/>
          <w:lang w:val="en-US"/>
        </w:rPr>
      </w:pPr>
      <w:r w:rsidRPr="00D02099">
        <w:rPr>
          <w:rFonts w:eastAsiaTheme="minorEastAsia"/>
          <w:lang w:val="en-US"/>
        </w:rPr>
        <w:t>Technology points to watch</w:t>
      </w:r>
    </w:p>
    <w:p w14:paraId="107D88A7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Some of the needs defined in this document that are essential to the project may require the use of specific technologies that may be complex 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to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make fully accessible.</w:t>
      </w:r>
    </w:p>
    <w:p w14:paraId="3AF0175B" w14:textId="27A18349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Where applicable, it is the </w:t>
      </w:r>
      <w:r w:rsidR="002218F8" w:rsidRPr="00D02099">
        <w:rPr>
          <w:rFonts w:ascii="Arial" w:eastAsiaTheme="minorEastAsia" w:hAnsi="Arial" w:cs="Arial"/>
          <w:sz w:val="20"/>
          <w:szCs w:val="20"/>
          <w:lang w:val="en-US"/>
        </w:rPr>
        <w:t>applicant's responsibility to describe in detail:</w:t>
      </w:r>
    </w:p>
    <w:p w14:paraId="27BCC9BD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complexities and bottlenecks inherent in using these technologies.</w:t>
      </w:r>
    </w:p>
    <w:p w14:paraId="10941CAC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alternatives, where possible, that could be proposed to ensure that the user has access to the information.</w:t>
      </w:r>
    </w:p>
    <w:p w14:paraId="1D1CB12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Candidates are free to provide any other details, </w:t>
      </w: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documents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or examples of deliverables that they consider relevant.</w:t>
      </w:r>
    </w:p>
    <w:p w14:paraId="70C3ECC4" w14:textId="77777777" w:rsidR="006B198A" w:rsidRPr="00D02099" w:rsidRDefault="006B198A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</w:p>
    <w:sectPr w:rsidR="006B198A" w:rsidRPr="00D020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AAD5" w14:textId="77777777" w:rsidR="001A6D5F" w:rsidRDefault="001A6D5F" w:rsidP="00710EFE">
      <w:pPr>
        <w:spacing w:after="0" w:line="240" w:lineRule="auto"/>
      </w:pPr>
      <w:r>
        <w:separator/>
      </w:r>
    </w:p>
  </w:endnote>
  <w:endnote w:type="continuationSeparator" w:id="0">
    <w:p w14:paraId="0F19E3AE" w14:textId="77777777" w:rsidR="001A6D5F" w:rsidRDefault="001A6D5F" w:rsidP="0071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6059" w14:textId="77777777" w:rsidR="00710EFE" w:rsidRDefault="00710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9D47" w14:textId="77777777" w:rsidR="00710EFE" w:rsidRDefault="00710E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684E" w14:textId="77777777" w:rsidR="00710EFE" w:rsidRDefault="0071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5AD9" w14:textId="77777777" w:rsidR="001A6D5F" w:rsidRDefault="001A6D5F" w:rsidP="00710EFE">
      <w:pPr>
        <w:spacing w:after="0" w:line="240" w:lineRule="auto"/>
      </w:pPr>
      <w:r>
        <w:separator/>
      </w:r>
    </w:p>
  </w:footnote>
  <w:footnote w:type="continuationSeparator" w:id="0">
    <w:p w14:paraId="0886939D" w14:textId="77777777" w:rsidR="001A6D5F" w:rsidRDefault="001A6D5F" w:rsidP="0071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067F" w14:textId="77777777" w:rsidR="00710EFE" w:rsidRDefault="00710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B863" w14:textId="77777777" w:rsidR="00710EFE" w:rsidRDefault="00710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431B" w14:textId="77777777" w:rsidR="00710EFE" w:rsidRDefault="00710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5E8"/>
    <w:multiLevelType w:val="hybridMultilevel"/>
    <w:tmpl w:val="2E66617C"/>
    <w:lvl w:ilvl="0" w:tplc="4C5A8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C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0B87"/>
    <w:multiLevelType w:val="multilevel"/>
    <w:tmpl w:val="7144C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5579820">
    <w:abstractNumId w:val="0"/>
  </w:num>
  <w:num w:numId="2" w16cid:durableId="86817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F8"/>
    <w:rsid w:val="00106F8E"/>
    <w:rsid w:val="00143676"/>
    <w:rsid w:val="001A6D5F"/>
    <w:rsid w:val="002172B9"/>
    <w:rsid w:val="002218F8"/>
    <w:rsid w:val="003127E2"/>
    <w:rsid w:val="003339FA"/>
    <w:rsid w:val="005067A4"/>
    <w:rsid w:val="00554EFB"/>
    <w:rsid w:val="00605530"/>
    <w:rsid w:val="006B198A"/>
    <w:rsid w:val="00710EFE"/>
    <w:rsid w:val="007C5AEF"/>
    <w:rsid w:val="009653E9"/>
    <w:rsid w:val="009E0598"/>
    <w:rsid w:val="00A24079"/>
    <w:rsid w:val="00AE642D"/>
    <w:rsid w:val="00BB76B9"/>
    <w:rsid w:val="00C45702"/>
    <w:rsid w:val="00D02099"/>
    <w:rsid w:val="00DC4EB2"/>
    <w:rsid w:val="00DD66F5"/>
    <w:rsid w:val="00EA67DE"/>
    <w:rsid w:val="00F44B21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458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F8"/>
  </w:style>
  <w:style w:type="paragraph" w:styleId="Heading1">
    <w:name w:val="heading 1"/>
    <w:basedOn w:val="Normal"/>
    <w:next w:val="Normal"/>
    <w:link w:val="Heading1Char"/>
    <w:uiPriority w:val="9"/>
    <w:qFormat/>
    <w:rsid w:val="002172B9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B9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9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72B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2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2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2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2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2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B2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4B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B2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2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4B21"/>
    <w:rPr>
      <w:b/>
      <w:bCs/>
    </w:rPr>
  </w:style>
  <w:style w:type="character" w:styleId="Emphasis">
    <w:name w:val="Emphasis"/>
    <w:basedOn w:val="DefaultParagraphFont"/>
    <w:uiPriority w:val="20"/>
    <w:qFormat/>
    <w:rsid w:val="00F44B21"/>
    <w:rPr>
      <w:i/>
      <w:iCs/>
    </w:rPr>
  </w:style>
  <w:style w:type="paragraph" w:styleId="NoSpacing">
    <w:name w:val="No Spacing"/>
    <w:uiPriority w:val="1"/>
    <w:qFormat/>
    <w:rsid w:val="00F44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B2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B2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2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4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B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4B2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4B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B2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218F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18F8"/>
  </w:style>
  <w:style w:type="character" w:styleId="Hyperlink">
    <w:name w:val="Hyperlink"/>
    <w:basedOn w:val="DefaultParagraphFont"/>
    <w:uiPriority w:val="99"/>
    <w:unhideWhenUsed/>
    <w:rsid w:val="002218F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FE"/>
  </w:style>
  <w:style w:type="paragraph" w:styleId="Footer">
    <w:name w:val="footer"/>
    <w:basedOn w:val="Normal"/>
    <w:link w:val="Foot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en/301500_301599/301549/03.02.01_60/en_301549v030201p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ilux.public.lu/eli/etat/leg/loi/2019/05/28/a373/j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essibilite.public.lu/fr/obligation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ccessibilite.public.lu/fr/obliga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cessibilite.public.lu/fr/obligation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, docId:B14EBE7366094ABFC7DFE485CC21B297</cp:keywords>
  <dc:description/>
  <cp:lastModifiedBy/>
  <cp:revision>1</cp:revision>
  <dcterms:created xsi:type="dcterms:W3CDTF">2023-03-10T16:27:00Z</dcterms:created>
  <dcterms:modified xsi:type="dcterms:W3CDTF">2024-05-24T09:29:00Z</dcterms:modified>
</cp:coreProperties>
</file>