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Heading1"/>
      </w:pPr>
      <w:bookmarkStart w:name="_Toc19891581" w:id="0"/>
      <w:bookmarkStart w:name="_GoBack" w:id="1"/>
      <w:bookmarkEnd w:id="1"/>
      <w:r w:rsidRPr="002172B9">
        <w:t xml:space="preserve">Accessibility</w:t>
      </w:r>
      <w:bookmarkEnd w:id="0"/>
    </w:p>
    <w:p>
      <w:pPr>
        <w:spacing w:after="0" w:line="240" w:lineRule="auto"/>
        <w:jc w:val="both"/>
        <w:rPr>
          <w:rFonts w:ascii="Arial" w:hAnsi="Arial" w:cs="Arial" w:eastAsiaTheme="minorEastAsia"/>
          <w:sz w:val="20"/>
          <w:szCs w:val="20"/>
        </w:rPr>
      </w:pPr>
      <w:r w:rsidRPr="001F1D0E">
        <w:rPr>
          <w:rFonts w:ascii="Arial" w:hAnsi="Arial" w:cs="Arial" w:eastAsiaTheme="minorEastAsia"/>
          <w:sz w:val="20"/>
          <w:szCs w:val="20"/>
        </w:rPr>
        <w:t xml:space="preserve">Digital accessibility means that disabled people can use the services and content made available on the web </w:t>
      </w:r>
      <w:r w:rsidR="009653E9">
        <w:rPr>
          <w:rFonts w:ascii="Arial" w:hAnsi="Arial" w:cs="Arial" w:eastAsiaTheme="minorEastAsia"/>
          <w:sz w:val="20"/>
          <w:szCs w:val="20"/>
        </w:rPr>
        <w:t xml:space="preserve">or via mobile applications</w:t>
      </w:r>
      <w:r w:rsidRPr="001F1D0E">
        <w:rPr>
          <w:rFonts w:ascii="Arial" w:hAnsi="Arial" w:cs="Arial" w:eastAsiaTheme="minorEastAsia"/>
          <w:sz w:val="20"/>
          <w:szCs w:val="20"/>
        </w:rPr>
        <w:t xml:space="preserve">. </w:t>
      </w:r>
    </w:p>
    <w:p>
      <w:pPr>
        <w:spacing w:after="0" w:line="240" w:lineRule="auto"/>
        <w:jc w:val="both"/>
        <w:rPr>
          <w:rFonts w:ascii="Arial" w:hAnsi="Arial" w:cs="Arial" w:eastAsiaTheme="minorEastAsia"/>
          <w:sz w:val="20"/>
          <w:szCs w:val="20"/>
        </w:rPr>
      </w:pPr>
      <w:r>
        <w:rPr>
          <w:rFonts w:ascii="Arial" w:hAnsi="Arial" w:cs="Arial" w:eastAsiaTheme="minorEastAsia"/>
          <w:sz w:val="20"/>
          <w:szCs w:val="20"/>
        </w:rPr>
        <w:t xml:space="preserve">This is a </w:t>
      </w:r>
      <w:r w:rsidRPr="001F1D0E">
        <w:rPr>
          <w:rFonts w:ascii="Arial" w:hAnsi="Arial" w:cs="Arial" w:eastAsiaTheme="minorEastAsia"/>
          <w:sz w:val="20"/>
          <w:szCs w:val="20"/>
        </w:rPr>
        <w:t xml:space="preserve">legal obligation </w:t>
      </w:r>
      <w:r>
        <w:rPr>
          <w:rFonts w:ascii="Arial" w:hAnsi="Arial" w:cs="Arial" w:eastAsiaTheme="minorEastAsia"/>
          <w:sz w:val="20"/>
          <w:szCs w:val="20"/>
        </w:rPr>
        <w:t xml:space="preserve">for public sector bodies defined by the law of </w:t>
      </w:r>
      <w:hyperlink w:history="1" r:id="rId7">
        <w:r w:rsidRPr="00EA67DE">
          <w:rPr>
            <w:rStyle w:val="Hyperlink"/>
            <w:rFonts w:ascii="Arial" w:hAnsi="Arial" w:cs="Arial" w:eastAsiaTheme="minorEastAsia"/>
            <w:sz w:val="20"/>
            <w:szCs w:val="20"/>
          </w:rPr>
          <w:t xml:space="preserve">28 May 2019</w:t>
        </w:r>
      </w:hyperlink>
      <w:r>
        <w:rPr>
          <w:rFonts w:ascii="Arial" w:hAnsi="Arial" w:cs="Arial" w:eastAsiaTheme="minorEastAsia"/>
          <w:sz w:val="20"/>
          <w:szCs w:val="20"/>
        </w:rPr>
        <w:t xml:space="preserve">.</w:t>
      </w:r>
    </w:p>
    <w:p>
      <w:pPr>
        <w:spacing w:after="0" w:line="240" w:lineRule="auto"/>
        <w:jc w:val="both"/>
        <w:rPr>
          <w:rFonts w:ascii="Arial" w:hAnsi="Arial" w:cs="Arial" w:eastAsiaTheme="minorEastAsia"/>
          <w:sz w:val="20"/>
          <w:szCs w:val="20"/>
        </w:rPr>
      </w:pPr>
      <w:r w:rsidRPr="001F1D0E">
        <w:rPr>
          <w:rFonts w:ascii="Arial" w:hAnsi="Arial" w:cs="Arial" w:eastAsiaTheme="minorEastAsia"/>
          <w:sz w:val="20"/>
          <w:szCs w:val="20"/>
        </w:rPr>
        <w:t xml:space="preserve">Digital accessibility </w:t>
      </w:r>
      <w:r>
        <w:rPr>
          <w:rFonts w:ascii="Arial" w:hAnsi="Arial" w:cs="Arial" w:eastAsiaTheme="minorEastAsia"/>
          <w:sz w:val="20"/>
          <w:szCs w:val="20"/>
        </w:rPr>
        <w:t xml:space="preserve">is </w:t>
      </w:r>
      <w:r w:rsidRPr="001F1D0E">
        <w:rPr>
          <w:rFonts w:ascii="Arial" w:hAnsi="Arial" w:cs="Arial" w:eastAsiaTheme="minorEastAsia"/>
          <w:sz w:val="20"/>
          <w:szCs w:val="20"/>
        </w:rPr>
        <w:t xml:space="preserve">a major objective of this project.</w:t>
      </w:r>
    </w:p>
    <w:p>
      <w:pPr>
        <w:pStyle w:val="Heading2"/>
      </w:pPr>
      <w:r w:rsidRPr="002172B9">
        <w:t xml:space="preserve">Legal compliance</w:t>
      </w:r>
    </w:p>
    <w:p>
      <w:pPr>
        <w:spacing w:after="0" w:line="240" w:lineRule="auto"/>
        <w:jc w:val="both"/>
        <w:rPr>
          <w:rFonts w:ascii="Arial" w:hAnsi="Arial" w:cs="Arial" w:eastAsiaTheme="minorEastAsia"/>
          <w:sz w:val="20"/>
          <w:szCs w:val="20"/>
        </w:rPr>
      </w:pPr>
      <w:r w:rsidRPr="001F1D0E">
        <w:rPr>
          <w:rFonts w:ascii="Arial" w:hAnsi="Arial" w:cs="Arial" w:eastAsiaTheme="minorEastAsia"/>
          <w:sz w:val="20"/>
          <w:szCs w:val="20"/>
        </w:rPr>
        <w:t xml:space="preserve">It should be noted that the legal level of compliance </w:t>
      </w:r>
      <w:r w:rsidR="009653E9">
        <w:rPr>
          <w:rFonts w:ascii="Arial" w:hAnsi="Arial" w:cs="Arial" w:eastAsiaTheme="minorEastAsia"/>
          <w:sz w:val="20"/>
          <w:szCs w:val="20"/>
        </w:rPr>
        <w:t xml:space="preserve">for websites is </w:t>
      </w:r>
      <w:r w:rsidRPr="001F1D0E">
        <w:rPr>
          <w:rFonts w:ascii="Arial" w:hAnsi="Arial" w:cs="Arial" w:eastAsiaTheme="minorEastAsia"/>
          <w:sz w:val="20"/>
          <w:szCs w:val="20"/>
        </w:rPr>
        <w:t xml:space="preserve">level AA of the </w:t>
      </w:r>
      <w:r w:rsidRPr="001F1D0E">
        <w:rPr>
          <w:rFonts w:ascii="Arial" w:hAnsi="Arial" w:cs="Arial" w:eastAsiaTheme="minorEastAsia"/>
          <w:sz w:val="20"/>
          <w:szCs w:val="20"/>
        </w:rPr>
        <w:t xml:space="preserve">latest version of </w:t>
      </w:r>
      <w:r w:rsidRPr="001F1D0E">
        <w:rPr>
          <w:rFonts w:ascii="Arial" w:hAnsi="Arial" w:cs="Arial" w:eastAsiaTheme="minorEastAsia"/>
          <w:sz w:val="20"/>
          <w:szCs w:val="20"/>
        </w:rPr>
        <w:t xml:space="preserve">the </w:t>
      </w:r>
      <w:r w:rsidRPr="001F1D0E">
        <w:rPr>
          <w:rFonts w:ascii="Arial" w:hAnsi="Arial" w:cs="Arial" w:eastAsiaTheme="minorEastAsia"/>
          <w:i/>
          <w:iCs/>
          <w:sz w:val="20"/>
          <w:szCs w:val="20"/>
        </w:rPr>
        <w:t xml:space="preserve">General </w:t>
      </w:r>
      <w:r>
        <w:rPr>
          <w:rFonts w:ascii="Arial" w:hAnsi="Arial" w:cs="Arial" w:eastAsiaTheme="minorEastAsia"/>
          <w:i/>
          <w:iCs/>
          <w:sz w:val="20"/>
          <w:szCs w:val="20"/>
        </w:rPr>
        <w:t xml:space="preserve">Accessibility Improvement </w:t>
      </w:r>
      <w:r w:rsidRPr="001F1D0E">
        <w:rPr>
          <w:rFonts w:ascii="Arial" w:hAnsi="Arial" w:cs="Arial" w:eastAsiaTheme="minorEastAsia"/>
          <w:i/>
          <w:iCs/>
          <w:sz w:val="20"/>
          <w:szCs w:val="20"/>
        </w:rPr>
        <w:t xml:space="preserve">Guidelines </w:t>
      </w:r>
      <w:r w:rsidRPr="001F1D0E">
        <w:rPr>
          <w:rFonts w:ascii="Arial" w:hAnsi="Arial" w:cs="Arial" w:eastAsiaTheme="minorEastAsia"/>
          <w:i/>
          <w:iCs/>
          <w:sz w:val="20"/>
          <w:szCs w:val="20"/>
        </w:rPr>
        <w:t xml:space="preserve">(RGAA) </w:t>
      </w:r>
      <w:r w:rsidR="009653E9">
        <w:rPr>
          <w:rFonts w:ascii="Arial" w:hAnsi="Arial" w:cs="Arial" w:eastAsiaTheme="minorEastAsia"/>
          <w:sz w:val="20"/>
          <w:szCs w:val="20"/>
        </w:rPr>
        <w:t xml:space="preserve">and level AA of the </w:t>
      </w:r>
      <w:r w:rsidR="009653E9">
        <w:rPr>
          <w:rFonts w:ascii="Arial" w:hAnsi="Arial" w:cs="Arial" w:eastAsiaTheme="minorEastAsia"/>
          <w:sz w:val="20"/>
          <w:szCs w:val="20"/>
        </w:rPr>
        <w:t xml:space="preserve">latest version of </w:t>
      </w:r>
      <w:r w:rsidR="009653E9">
        <w:rPr>
          <w:rFonts w:ascii="Arial" w:hAnsi="Arial" w:cs="Arial" w:eastAsiaTheme="minorEastAsia"/>
          <w:sz w:val="20"/>
          <w:szCs w:val="20"/>
        </w:rPr>
        <w:t xml:space="preserve">the </w:t>
      </w:r>
      <w:r w:rsidRPr="005067A4" w:rsidR="009653E9">
        <w:rPr>
          <w:rFonts w:ascii="Arial" w:hAnsi="Arial" w:cs="Arial" w:eastAsiaTheme="minorEastAsia"/>
          <w:i/>
          <w:sz w:val="20"/>
          <w:szCs w:val="20"/>
        </w:rPr>
        <w:t xml:space="preserve">Accessibility Assessment Guidelines for Mobile Applications </w:t>
      </w:r>
      <w:r w:rsidR="009653E9">
        <w:rPr>
          <w:rFonts w:ascii="Arial" w:hAnsi="Arial" w:cs="Arial" w:eastAsiaTheme="minorEastAsia"/>
          <w:sz w:val="20"/>
          <w:szCs w:val="20"/>
        </w:rPr>
        <w:t xml:space="preserve">(RAAM). These standards are published on the accessibilite.public.lu website.</w:t>
      </w:r>
    </w:p>
    <w:p>
      <w:pPr>
        <w:spacing w:after="0" w:line="240" w:lineRule="auto"/>
        <w:jc w:val="both"/>
        <w:rPr>
          <w:rFonts w:ascii="Arial" w:hAnsi="Arial" w:cs="Arial" w:eastAsiaTheme="minorEastAsia"/>
          <w:sz w:val="20"/>
          <w:szCs w:val="20"/>
        </w:rPr>
      </w:pPr>
      <w:r>
        <w:rPr>
          <w:rFonts w:ascii="Arial" w:hAnsi="Arial" w:cs="Arial" w:eastAsiaTheme="minorEastAsia"/>
          <w:sz w:val="20"/>
          <w:szCs w:val="20"/>
        </w:rPr>
        <w:t xml:space="preserve">If the </w:t>
      </w:r>
      <w:r w:rsidR="00C45702">
        <w:rPr>
          <w:rFonts w:ascii="Arial" w:hAnsi="Arial" w:cs="Arial" w:eastAsiaTheme="minorEastAsia"/>
          <w:sz w:val="20"/>
          <w:szCs w:val="20"/>
        </w:rPr>
        <w:t xml:space="preserve">CONTRACT HOLDER </w:t>
      </w:r>
      <w:r>
        <w:rPr>
          <w:rFonts w:ascii="Arial" w:hAnsi="Arial" w:cs="Arial" w:eastAsiaTheme="minorEastAsia"/>
          <w:sz w:val="20"/>
          <w:szCs w:val="20"/>
        </w:rPr>
        <w:t xml:space="preserve">cannot refer to the RGAA </w:t>
      </w:r>
      <w:r w:rsidR="009653E9">
        <w:rPr>
          <w:rFonts w:ascii="Arial" w:hAnsi="Arial" w:cs="Arial" w:eastAsiaTheme="minorEastAsia"/>
          <w:sz w:val="20"/>
          <w:szCs w:val="20"/>
        </w:rPr>
        <w:t xml:space="preserve">or RAAM</w:t>
      </w:r>
      <w:r>
        <w:rPr>
          <w:rFonts w:ascii="Arial" w:hAnsi="Arial" w:cs="Arial" w:eastAsiaTheme="minorEastAsia"/>
          <w:sz w:val="20"/>
          <w:szCs w:val="20"/>
        </w:rPr>
        <w:t xml:space="preserve">, then compliance must be assessed in relation to European standard </w:t>
      </w:r>
      <w:hyperlink w:history="1" r:id="rId8">
        <w:r w:rsidRPr="00AE642D">
          <w:rPr>
            <w:rStyle w:val="Hyperlink"/>
            <w:rFonts w:ascii="Arial" w:hAnsi="Arial" w:cs="Arial" w:eastAsiaTheme="minorEastAsia"/>
            <w:sz w:val="20"/>
            <w:szCs w:val="20"/>
          </w:rPr>
          <w:t xml:space="preserve">EN 301 549 version 3.2.1</w:t>
        </w:r>
      </w:hyperlink>
      <w:r>
        <w:rPr>
          <w:rFonts w:ascii="Arial" w:hAnsi="Arial" w:cs="Arial" w:eastAsiaTheme="minorEastAsia"/>
          <w:sz w:val="20"/>
          <w:szCs w:val="20"/>
        </w:rPr>
        <w:t xml:space="preserve">, in particular the criteria listed in table A.1 of appendix A.</w:t>
      </w:r>
    </w:p>
    <w:p>
      <w:pPr>
        <w:spacing w:after="0" w:line="240" w:lineRule="auto"/>
        <w:jc w:val="both"/>
        <w:rPr>
          <w:rFonts w:ascii="Arial" w:hAnsi="Arial" w:cs="Arial" w:eastAsiaTheme="minorEastAsia"/>
          <w:sz w:val="20"/>
          <w:szCs w:val="20"/>
        </w:rPr>
      </w:pPr>
      <w:r>
        <w:rPr>
          <w:rFonts w:ascii="Arial" w:hAnsi="Arial" w:cs="Arial" w:eastAsiaTheme="minorEastAsia"/>
          <w:sz w:val="20"/>
          <w:szCs w:val="20"/>
        </w:rPr>
        <w:t xml:space="preserve">The </w:t>
      </w:r>
      <w:r w:rsidR="00C45702">
        <w:rPr>
          <w:rFonts w:ascii="Arial" w:hAnsi="Arial" w:cs="Arial" w:eastAsiaTheme="minorEastAsia"/>
          <w:sz w:val="20"/>
          <w:szCs w:val="20"/>
        </w:rPr>
        <w:t xml:space="preserve">CONTRACT HOLDER </w:t>
      </w:r>
      <w:r w:rsidRPr="001F1D0E" w:rsidR="002218F8">
        <w:rPr>
          <w:rFonts w:ascii="Arial" w:hAnsi="Arial" w:cs="Arial" w:eastAsiaTheme="minorEastAsia"/>
          <w:sz w:val="20"/>
          <w:szCs w:val="20"/>
        </w:rPr>
        <w:t xml:space="preserve">must undertake to do everything necessary to achieve this level of legal compliance.</w:t>
      </w:r>
    </w:p>
    <w:p>
      <w:pPr>
        <w:pStyle w:val="Heading2"/>
      </w:pPr>
      <w:r w:rsidRPr="00AF757A">
        <w:t xml:space="preserve">Minimum requirements</w:t>
      </w:r>
    </w:p>
    <w:p>
      <w:pPr>
        <w:spacing w:after="0" w:line="240" w:lineRule="auto"/>
        <w:jc w:val="both"/>
        <w:rPr>
          <w:rFonts w:ascii="Arial" w:hAnsi="Arial" w:cs="Arial" w:eastAsiaTheme="minorEastAsia"/>
          <w:sz w:val="20"/>
          <w:szCs w:val="20"/>
        </w:rPr>
      </w:pPr>
      <w:r w:rsidRPr="001F1D0E">
        <w:rPr>
          <w:rFonts w:ascii="Arial" w:hAnsi="Arial" w:cs="Arial" w:eastAsiaTheme="minorEastAsia"/>
          <w:sz w:val="20"/>
          <w:szCs w:val="20"/>
        </w:rPr>
        <w:t xml:space="preserve">Taking into account </w:t>
      </w:r>
      <w:r>
        <w:rPr>
          <w:rFonts w:ascii="Arial" w:hAnsi="Arial" w:cs="Arial" w:eastAsiaTheme="minorEastAsia"/>
          <w:sz w:val="20"/>
          <w:szCs w:val="20"/>
        </w:rPr>
        <w:t xml:space="preserve">the characteristics of the project </w:t>
      </w:r>
      <w:r w:rsidRPr="001F1D0E">
        <w:rPr>
          <w:rFonts w:ascii="Arial" w:hAnsi="Arial" w:cs="Arial" w:eastAsiaTheme="minorEastAsia"/>
          <w:sz w:val="20"/>
          <w:szCs w:val="20"/>
        </w:rPr>
        <w:t xml:space="preserve">as defined in this contract</w:t>
      </w:r>
      <w:r w:rsidRPr="001F1D0E">
        <w:rPr>
          <w:rFonts w:ascii="Arial" w:hAnsi="Arial" w:cs="Arial" w:eastAsiaTheme="minorEastAsia"/>
          <w:sz w:val="20"/>
          <w:szCs w:val="20"/>
        </w:rPr>
        <w:t xml:space="preserve">,</w:t>
      </w:r>
      <w:r w:rsidRPr="001F1D0E">
        <w:rPr>
          <w:rFonts w:ascii="Arial" w:hAnsi="Arial" w:cs="Arial" w:eastAsiaTheme="minorEastAsia"/>
          <w:sz w:val="20"/>
          <w:szCs w:val="20"/>
        </w:rPr>
        <w:t xml:space="preserve"> the </w:t>
      </w:r>
      <w:r w:rsidR="00C45702">
        <w:rPr>
          <w:rFonts w:ascii="Arial" w:hAnsi="Arial" w:cs="Arial" w:eastAsiaTheme="minorEastAsia"/>
          <w:sz w:val="20"/>
          <w:szCs w:val="20"/>
        </w:rPr>
        <w:t xml:space="preserve">CONTRACTOR </w:t>
      </w:r>
      <w:r w:rsidRPr="001F1D0E">
        <w:rPr>
          <w:rFonts w:ascii="Arial" w:hAnsi="Arial" w:cs="Arial" w:eastAsiaTheme="minorEastAsia"/>
          <w:sz w:val="20"/>
          <w:szCs w:val="20"/>
        </w:rPr>
        <w:t xml:space="preserve">must ensure that the developments, content and functionalities present a level of compliance at </w:t>
      </w:r>
      <w:r w:rsidR="002172B9">
        <w:rPr>
          <w:rFonts w:ascii="Arial" w:hAnsi="Arial" w:cs="Arial" w:eastAsiaTheme="minorEastAsia"/>
          <w:sz w:val="20"/>
          <w:szCs w:val="20"/>
        </w:rPr>
        <w:t xml:space="preserve">least equal to 80%.</w:t>
      </w:r>
    </w:p>
    <w:p>
      <w:pPr>
        <w:spacing w:after="0" w:line="240" w:lineRule="auto"/>
        <w:jc w:val="both"/>
        <w:rPr>
          <w:rFonts w:ascii="Arial" w:hAnsi="Arial" w:cs="Arial" w:eastAsiaTheme="minorEastAsia"/>
          <w:sz w:val="20"/>
          <w:szCs w:val="20"/>
        </w:rPr>
      </w:pPr>
      <w:r w:rsidRPr="001F1D0E">
        <w:rPr>
          <w:rFonts w:ascii="Arial" w:hAnsi="Arial" w:cs="Arial" w:eastAsiaTheme="minorEastAsia"/>
          <w:sz w:val="20"/>
          <w:szCs w:val="20"/>
        </w:rPr>
        <w:t xml:space="preserve">This minimum requirement does not replace </w:t>
      </w:r>
      <w:r w:rsidR="00605530">
        <w:rPr>
          <w:rFonts w:ascii="Arial" w:hAnsi="Arial" w:cs="Arial" w:eastAsiaTheme="minorEastAsia"/>
          <w:sz w:val="20"/>
          <w:szCs w:val="20"/>
        </w:rPr>
        <w:t xml:space="preserve">the requirement linked to the legal level (</w:t>
      </w:r>
      <w:r w:rsidR="00143676">
        <w:rPr>
          <w:rFonts w:ascii="Arial" w:hAnsi="Arial" w:cs="Arial" w:eastAsiaTheme="minorEastAsia"/>
          <w:sz w:val="20"/>
          <w:szCs w:val="20"/>
        </w:rPr>
        <w:t xml:space="preserve">i.e. a </w:t>
      </w:r>
      <w:r w:rsidR="00605530">
        <w:rPr>
          <w:rFonts w:ascii="Arial" w:hAnsi="Arial" w:cs="Arial" w:eastAsiaTheme="minorEastAsia"/>
          <w:sz w:val="20"/>
          <w:szCs w:val="20"/>
        </w:rPr>
        <w:t xml:space="preserve">100% </w:t>
      </w:r>
      <w:r w:rsidR="00BB76B9">
        <w:rPr>
          <w:rFonts w:ascii="Arial" w:hAnsi="Arial" w:cs="Arial" w:eastAsiaTheme="minorEastAsia"/>
          <w:sz w:val="20"/>
          <w:szCs w:val="20"/>
        </w:rPr>
        <w:t xml:space="preserve">compliance rate</w:t>
      </w:r>
      <w:r w:rsidR="00605530">
        <w:rPr>
          <w:rFonts w:ascii="Arial" w:hAnsi="Arial" w:cs="Arial" w:eastAsiaTheme="minorEastAsia"/>
          <w:sz w:val="20"/>
          <w:szCs w:val="20"/>
        </w:rPr>
        <w:t xml:space="preserve">), </w:t>
      </w:r>
      <w:r w:rsidRPr="001F1D0E">
        <w:rPr>
          <w:rFonts w:ascii="Arial" w:hAnsi="Arial" w:cs="Arial" w:eastAsiaTheme="minorEastAsia"/>
          <w:sz w:val="20"/>
          <w:szCs w:val="20"/>
        </w:rPr>
        <w:t xml:space="preserve">but constitutes the threshold below which a service provider's failure could be observed.</w:t>
      </w:r>
    </w:p>
    <w:p>
      <w:pPr>
        <w:spacing w:after="0" w:line="240" w:lineRule="auto"/>
        <w:jc w:val="both"/>
        <w:rPr>
          <w:rFonts w:ascii="Arial" w:hAnsi="Arial" w:cs="Arial" w:eastAsiaTheme="minorEastAsia"/>
          <w:sz w:val="20"/>
          <w:szCs w:val="20"/>
        </w:rPr>
      </w:pPr>
      <w:r>
        <w:rPr>
          <w:rFonts w:ascii="Arial" w:hAnsi="Arial" w:cs="Arial" w:eastAsiaTheme="minorEastAsia"/>
          <w:sz w:val="20"/>
          <w:szCs w:val="20"/>
        </w:rPr>
        <w:t xml:space="preserve">This minimum level of requirement concerns all the functionalities and content developed by the </w:t>
      </w:r>
      <w:r w:rsidR="00C45702">
        <w:rPr>
          <w:rFonts w:ascii="Arial" w:hAnsi="Arial" w:cs="Arial" w:eastAsiaTheme="minorEastAsia"/>
          <w:sz w:val="20"/>
          <w:szCs w:val="20"/>
        </w:rPr>
        <w:t xml:space="preserve">CONTRACT HOLDER, </w:t>
      </w:r>
      <w:r>
        <w:rPr>
          <w:rFonts w:ascii="Arial" w:hAnsi="Arial" w:cs="Arial" w:eastAsiaTheme="minorEastAsia"/>
          <w:sz w:val="20"/>
          <w:szCs w:val="20"/>
        </w:rPr>
        <w:t xml:space="preserve">as well as </w:t>
      </w:r>
      <w:r w:rsidR="00F75718">
        <w:rPr>
          <w:rFonts w:ascii="Arial" w:hAnsi="Arial" w:cs="Arial" w:eastAsiaTheme="minorEastAsia"/>
          <w:sz w:val="20"/>
          <w:szCs w:val="20"/>
        </w:rPr>
        <w:t xml:space="preserve">the capacity of </w:t>
      </w:r>
      <w:r>
        <w:rPr>
          <w:rFonts w:ascii="Arial" w:hAnsi="Arial" w:cs="Arial" w:eastAsiaTheme="minorEastAsia"/>
          <w:sz w:val="20"/>
          <w:szCs w:val="20"/>
        </w:rPr>
        <w:t xml:space="preserve">any content editing functions to produce compliant content. </w:t>
      </w:r>
    </w:p>
    <w:p>
      <w:pPr>
        <w:spacing w:after="0" w:line="240" w:lineRule="auto"/>
        <w:jc w:val="both"/>
        <w:rPr>
          <w:rFonts w:ascii="Arial" w:hAnsi="Arial" w:cs="Arial" w:eastAsiaTheme="minorEastAsia"/>
          <w:sz w:val="20"/>
          <w:szCs w:val="20"/>
        </w:rPr>
      </w:pPr>
      <w:r>
        <w:rPr>
          <w:rFonts w:ascii="Arial" w:hAnsi="Arial" w:cs="Arial" w:eastAsiaTheme="minorEastAsia"/>
          <w:sz w:val="20"/>
          <w:szCs w:val="20"/>
        </w:rPr>
        <w:t xml:space="preserve">This minimum level of requirement does not apply to content produced by the ORGANISM's teams or to </w:t>
      </w:r>
      <w:hyperlink w:history="1" w:anchor="contenus-exempt%C3%A9s" r:id="rId9">
        <w:r w:rsidRPr="00F75718">
          <w:rPr>
            <w:rStyle w:val="Hyperlink"/>
            <w:rFonts w:ascii="Arial" w:hAnsi="Arial" w:cs="Arial" w:eastAsiaTheme="minorEastAsia"/>
            <w:sz w:val="20"/>
            <w:szCs w:val="20"/>
          </w:rPr>
          <w:t xml:space="preserve">content that is </w:t>
        </w:r>
      </w:hyperlink>
      <w:hyperlink w:history="1" w:anchor="contenus-exempt%C3%A9s" r:id="rId9">
        <w:r w:rsidRPr="00F75718" w:rsidR="00F75718">
          <w:rPr>
            <w:rStyle w:val="Hyperlink"/>
            <w:rFonts w:ascii="Arial" w:hAnsi="Arial" w:cs="Arial" w:eastAsiaTheme="minorEastAsia"/>
            <w:sz w:val="20"/>
            <w:szCs w:val="20"/>
          </w:rPr>
          <w:t xml:space="preserve">subject to exemptions</w:t>
        </w:r>
      </w:hyperlink>
      <w:r>
        <w:rPr>
          <w:rFonts w:ascii="Arial" w:hAnsi="Arial" w:cs="Arial" w:eastAsiaTheme="minorEastAsia"/>
          <w:sz w:val="20"/>
          <w:szCs w:val="20"/>
        </w:rPr>
        <w:t xml:space="preserve"> as defined by law.</w:t>
      </w:r>
    </w:p>
    <w:p>
      <w:pPr>
        <w:spacing w:after="0" w:line="240" w:lineRule="auto"/>
        <w:jc w:val="both"/>
        <w:rPr>
          <w:rFonts w:ascii="Arial" w:hAnsi="Arial" w:cs="Arial" w:eastAsiaTheme="minorEastAsia"/>
          <w:sz w:val="20"/>
          <w:szCs w:val="20"/>
        </w:rPr>
      </w:pPr>
      <w:r>
        <w:rPr>
          <w:rFonts w:ascii="Arial" w:hAnsi="Arial" w:cs="Arial" w:eastAsiaTheme="minorEastAsia"/>
          <w:sz w:val="20"/>
          <w:szCs w:val="20"/>
        </w:rPr>
        <w:t xml:space="preserve">In the case of any </w:t>
      </w:r>
      <w:r w:rsidR="00C45702">
        <w:rPr>
          <w:rFonts w:ascii="Arial" w:hAnsi="Arial" w:cs="Arial" w:eastAsiaTheme="minorEastAsia"/>
          <w:sz w:val="20"/>
          <w:szCs w:val="20"/>
        </w:rPr>
        <w:t xml:space="preserve">non-compliant functionality or content for which compliance might represent a </w:t>
      </w:r>
      <w:hyperlink w:history="1" w:anchor="d%C3%A9rogation-pour-charge-disproportionn%C3%A9e" r:id="rId10">
        <w:r w:rsidRPr="00C45702" w:rsidR="00C45702">
          <w:rPr>
            <w:rStyle w:val="Hyperlink"/>
            <w:rFonts w:ascii="Arial" w:hAnsi="Arial" w:cs="Arial" w:eastAsiaTheme="minorEastAsia"/>
            <w:sz w:val="20"/>
            <w:szCs w:val="20"/>
          </w:rPr>
          <w:t xml:space="preserve">disproportionate workload</w:t>
        </w:r>
      </w:hyperlink>
      <w:r w:rsidR="00C45702">
        <w:rPr>
          <w:rFonts w:ascii="Arial" w:hAnsi="Arial" w:cs="Arial" w:eastAsiaTheme="minorEastAsia"/>
          <w:sz w:val="20"/>
          <w:szCs w:val="20"/>
        </w:rPr>
        <w:t xml:space="preserve"> for the CONTRACT HOLDER, any derogation for disproportionate workload will have to be validated by the ORGANIZATION.</w:t>
      </w:r>
    </w:p>
    <w:p>
      <w:pPr>
        <w:pStyle w:val="Heading2"/>
      </w:pPr>
      <w:r w:rsidRPr="00AF757A">
        <w:t xml:space="preserve">Check</w:t>
      </w:r>
    </w:p>
    <w:p>
      <w:pPr>
        <w:spacing w:after="0" w:line="240" w:lineRule="auto"/>
        <w:jc w:val="both"/>
        <w:rPr>
          <w:rFonts w:ascii="Arial" w:hAnsi="Arial" w:cs="Arial" w:eastAsiaTheme="minorEastAsia"/>
          <w:sz w:val="20"/>
          <w:szCs w:val="20"/>
        </w:rPr>
      </w:pPr>
      <w:r w:rsidRPr="001F1D0E">
        <w:rPr>
          <w:rFonts w:ascii="Arial" w:hAnsi="Arial" w:cs="Arial" w:eastAsiaTheme="minorEastAsia"/>
          <w:sz w:val="20"/>
          <w:szCs w:val="20"/>
        </w:rPr>
        <w:t xml:space="preserve">It should be noted that the </w:t>
      </w:r>
      <w:r>
        <w:rPr>
          <w:rFonts w:ascii="Arial" w:hAnsi="Arial" w:cs="Arial" w:eastAsiaTheme="minorEastAsia"/>
          <w:sz w:val="20"/>
          <w:szCs w:val="20"/>
        </w:rPr>
        <w:t xml:space="preserve">ORGANISM </w:t>
      </w:r>
      <w:r w:rsidRPr="001F1D0E">
        <w:rPr>
          <w:rFonts w:ascii="Arial" w:hAnsi="Arial" w:cs="Arial" w:eastAsiaTheme="minorEastAsia"/>
          <w:sz w:val="20"/>
          <w:szCs w:val="20"/>
        </w:rPr>
        <w:t xml:space="preserve">reserves the right to have </w:t>
      </w:r>
      <w:r w:rsidRPr="001F1D0E">
        <w:rPr>
          <w:rFonts w:ascii="Arial" w:hAnsi="Arial" w:cs="Arial" w:eastAsiaTheme="minorEastAsia"/>
          <w:sz w:val="20"/>
          <w:szCs w:val="20"/>
        </w:rPr>
        <w:t xml:space="preserve">compliance with these minimum requirements </w:t>
      </w:r>
      <w:r w:rsidRPr="001F1D0E">
        <w:rPr>
          <w:rFonts w:ascii="Arial" w:hAnsi="Arial" w:cs="Arial" w:eastAsiaTheme="minorEastAsia"/>
          <w:sz w:val="20"/>
          <w:szCs w:val="20"/>
        </w:rPr>
        <w:t xml:space="preserve">verified </w:t>
      </w:r>
      <w:r w:rsidRPr="001F1D0E">
        <w:rPr>
          <w:rFonts w:ascii="Arial" w:hAnsi="Arial" w:cs="Arial" w:eastAsiaTheme="minorEastAsia"/>
          <w:sz w:val="20"/>
          <w:szCs w:val="20"/>
        </w:rPr>
        <w:t xml:space="preserve">during all phases of the project and deliveries (mock-ups, </w:t>
      </w:r>
      <w:r>
        <w:rPr>
          <w:rFonts w:ascii="Arial" w:hAnsi="Arial" w:cs="Arial" w:eastAsiaTheme="minorEastAsia"/>
          <w:sz w:val="20"/>
          <w:szCs w:val="20"/>
        </w:rPr>
        <w:t xml:space="preserve">templates</w:t>
      </w:r>
      <w:r w:rsidRPr="001F1D0E">
        <w:rPr>
          <w:rFonts w:ascii="Arial" w:hAnsi="Arial" w:cs="Arial" w:eastAsiaTheme="minorEastAsia"/>
          <w:sz w:val="20"/>
          <w:szCs w:val="20"/>
        </w:rPr>
        <w:t xml:space="preserve">, developments, etc.) by </w:t>
      </w:r>
      <w:r w:rsidRPr="001F1D0E">
        <w:rPr>
          <w:rFonts w:ascii="Arial" w:hAnsi="Arial" w:cs="Arial" w:eastAsiaTheme="minorEastAsia"/>
          <w:sz w:val="20"/>
          <w:szCs w:val="20"/>
        </w:rPr>
        <w:t xml:space="preserve">means of audits or acceptance tests carried out by a service provider with expertise </w:t>
      </w:r>
      <w:r w:rsidR="002172B9">
        <w:rPr>
          <w:rFonts w:ascii="Arial" w:hAnsi="Arial" w:cs="Arial" w:eastAsiaTheme="minorEastAsia"/>
          <w:sz w:val="20"/>
          <w:szCs w:val="20"/>
        </w:rPr>
        <w:t xml:space="preserve">in digital accessibility.</w:t>
      </w:r>
    </w:p>
    <w:p>
      <w:pPr>
        <w:spacing w:after="0" w:line="240" w:lineRule="auto"/>
        <w:jc w:val="both"/>
        <w:rPr>
          <w:rFonts w:ascii="Arial" w:hAnsi="Arial" w:cs="Arial" w:eastAsiaTheme="minorEastAsia"/>
          <w:sz w:val="20"/>
          <w:szCs w:val="20"/>
        </w:rPr>
      </w:pPr>
      <w:r w:rsidRPr="009B6ACA">
        <w:rPr>
          <w:rFonts w:ascii="Arial" w:hAnsi="Arial" w:cs="Arial" w:eastAsiaTheme="minorEastAsia"/>
          <w:sz w:val="20"/>
          <w:szCs w:val="20"/>
        </w:rPr>
        <w:t xml:space="preserve">In the event that the minimum level required is not achieved due to a fault on the part of the </w:t>
      </w:r>
      <w:r w:rsidR="006B198A">
        <w:rPr>
          <w:rFonts w:ascii="Arial" w:hAnsi="Arial" w:cs="Arial" w:eastAsiaTheme="minorEastAsia"/>
          <w:sz w:val="20"/>
          <w:szCs w:val="20"/>
        </w:rPr>
        <w:t xml:space="preserve">CONTRACT HOLDER</w:t>
      </w:r>
      <w:r w:rsidRPr="009B6ACA">
        <w:rPr>
          <w:rFonts w:ascii="Arial" w:hAnsi="Arial" w:cs="Arial" w:eastAsiaTheme="minorEastAsia"/>
          <w:sz w:val="20"/>
          <w:szCs w:val="20"/>
        </w:rPr>
        <w:t xml:space="preserve">, the latter must take all necessary corrective action.</w:t>
      </w:r>
    </w:p>
    <w:p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6ACA">
        <w:rPr>
          <w:rFonts w:ascii="Arial" w:hAnsi="Arial" w:cs="Arial"/>
          <w:sz w:val="20"/>
          <w:szCs w:val="20"/>
        </w:rPr>
        <w:t xml:space="preserve">These corrective actions will be the responsibility of </w:t>
      </w:r>
      <w:r w:rsidR="006B198A">
        <w:rPr>
          <w:rFonts w:ascii="Arial" w:hAnsi="Arial" w:cs="Arial"/>
          <w:sz w:val="20"/>
          <w:szCs w:val="20"/>
        </w:rPr>
        <w:t xml:space="preserve">the CONTRACT HOLDER</w:t>
      </w:r>
      <w:r w:rsidRPr="009B6ACA">
        <w:rPr>
          <w:rFonts w:ascii="Arial" w:hAnsi="Arial" w:cs="Arial"/>
          <w:sz w:val="20"/>
          <w:szCs w:val="20"/>
        </w:rPr>
        <w:t xml:space="preserve">.</w:t>
      </w:r>
    </w:p>
    <w:p>
      <w:pPr>
        <w:pStyle w:val="Heading2"/>
      </w:pPr>
      <w:r w:rsidRPr="00AF757A">
        <w:t xml:space="preserve">Expert support for </w:t>
      </w:r>
      <w:r>
        <w:t xml:space="preserve">the ORGANISATION</w:t>
      </w:r>
    </w:p>
    <w:p>
      <w:pPr>
        <w:spacing w:after="0" w:line="240" w:lineRule="auto"/>
        <w:jc w:val="both"/>
        <w:rPr>
          <w:rFonts w:ascii="Arial" w:hAnsi="Arial" w:cs="Arial" w:eastAsiaTheme="minorEastAsia"/>
          <w:sz w:val="20"/>
          <w:szCs w:val="20"/>
        </w:rPr>
      </w:pPr>
      <w:r w:rsidRPr="001F1D0E">
        <w:rPr>
          <w:rFonts w:ascii="Arial" w:hAnsi="Arial" w:cs="Arial" w:eastAsiaTheme="minorEastAsia"/>
          <w:sz w:val="20"/>
          <w:szCs w:val="20"/>
        </w:rPr>
        <w:t xml:space="preserve">It should be noted that </w:t>
      </w:r>
      <w:r>
        <w:rPr>
          <w:rFonts w:ascii="Arial" w:hAnsi="Arial" w:cs="Arial" w:eastAsiaTheme="minorEastAsia"/>
          <w:sz w:val="20"/>
          <w:szCs w:val="20"/>
        </w:rPr>
        <w:t xml:space="preserve">the ORGANISM </w:t>
      </w:r>
      <w:r w:rsidRPr="001F1D0E">
        <w:rPr>
          <w:rFonts w:ascii="Arial" w:hAnsi="Arial" w:cs="Arial" w:eastAsiaTheme="minorEastAsia"/>
          <w:sz w:val="20"/>
          <w:szCs w:val="20"/>
        </w:rPr>
        <w:t xml:space="preserve">reserves the right to call on </w:t>
      </w:r>
      <w:r w:rsidR="002172B9">
        <w:rPr>
          <w:rFonts w:ascii="Arial" w:hAnsi="Arial" w:cs="Arial" w:eastAsiaTheme="minorEastAsia"/>
          <w:sz w:val="20"/>
          <w:szCs w:val="20"/>
        </w:rPr>
        <w:t xml:space="preserve">an external service provider, with expertise in digital accessibility</w:t>
      </w:r>
      <w:r w:rsidRPr="001F1D0E">
        <w:rPr>
          <w:rFonts w:ascii="Arial" w:hAnsi="Arial" w:cs="Arial" w:eastAsiaTheme="minorEastAsia"/>
          <w:sz w:val="20"/>
          <w:szCs w:val="20"/>
        </w:rPr>
        <w:t xml:space="preserve">, to support it at every stage of the project.</w:t>
      </w:r>
    </w:p>
    <w:p>
      <w:pPr>
        <w:spacing w:after="0" w:line="240" w:lineRule="auto"/>
        <w:jc w:val="both"/>
        <w:rPr>
          <w:rFonts w:ascii="Arial" w:hAnsi="Arial" w:cs="Arial" w:eastAsiaTheme="minorEastAsia"/>
          <w:sz w:val="20"/>
          <w:szCs w:val="20"/>
        </w:rPr>
      </w:pPr>
      <w:r w:rsidRPr="001F1D0E">
        <w:rPr>
          <w:rFonts w:ascii="Arial" w:hAnsi="Arial" w:cs="Arial" w:eastAsiaTheme="minorEastAsia"/>
          <w:sz w:val="20"/>
          <w:szCs w:val="20"/>
        </w:rPr>
        <w:t xml:space="preserve">In this case, the service provider will be the technical contact with the </w:t>
      </w:r>
      <w:r w:rsidR="006B198A">
        <w:rPr>
          <w:rFonts w:ascii="Arial" w:hAnsi="Arial" w:cs="Arial" w:eastAsiaTheme="minorEastAsia"/>
          <w:sz w:val="20"/>
          <w:szCs w:val="20"/>
        </w:rPr>
        <w:t xml:space="preserve">AUTHORISED PARTY</w:t>
      </w:r>
      <w:r w:rsidRPr="001F1D0E">
        <w:rPr>
          <w:rFonts w:ascii="Arial" w:hAnsi="Arial" w:cs="Arial" w:eastAsiaTheme="minorEastAsia"/>
          <w:sz w:val="20"/>
          <w:szCs w:val="20"/>
        </w:rPr>
        <w:t xml:space="preserve">'s teams </w:t>
      </w:r>
      <w:r w:rsidRPr="001F1D0E">
        <w:rPr>
          <w:rFonts w:ascii="Arial" w:hAnsi="Arial" w:cs="Arial" w:eastAsiaTheme="minorEastAsia"/>
          <w:sz w:val="20"/>
          <w:szCs w:val="20"/>
        </w:rPr>
        <w:t xml:space="preserve">for all matters relating to accessibility and compliance with the RGAA </w:t>
      </w:r>
      <w:r w:rsidR="00554EFB">
        <w:rPr>
          <w:rFonts w:ascii="Arial" w:hAnsi="Arial" w:cs="Arial" w:eastAsiaTheme="minorEastAsia"/>
          <w:sz w:val="20"/>
          <w:szCs w:val="20"/>
        </w:rPr>
        <w:t xml:space="preserve">or RAAM </w:t>
      </w:r>
      <w:r w:rsidRPr="001F1D0E">
        <w:rPr>
          <w:rFonts w:ascii="Arial" w:hAnsi="Arial" w:cs="Arial" w:eastAsiaTheme="minorEastAsia"/>
          <w:sz w:val="20"/>
          <w:szCs w:val="20"/>
        </w:rPr>
        <w:t xml:space="preserve">for the entire project.</w:t>
      </w:r>
    </w:p>
    <w:p>
      <w:pPr>
        <w:pStyle w:val="Heading2"/>
      </w:pPr>
      <w:r w:rsidRPr="00AF757A">
        <w:lastRenderedPageBreak/>
        <w:t xml:space="preserve">Some answers</w:t>
      </w:r>
    </w:p>
    <w:p>
      <w:pPr>
        <w:spacing w:after="0" w:line="240" w:lineRule="auto"/>
        <w:jc w:val="both"/>
        <w:rPr>
          <w:rFonts w:ascii="Arial" w:hAnsi="Arial" w:cs="Arial" w:eastAsiaTheme="minorEastAsia"/>
          <w:sz w:val="20"/>
          <w:szCs w:val="20"/>
        </w:rPr>
      </w:pPr>
      <w:r w:rsidRPr="001F1D0E">
        <w:rPr>
          <w:rFonts w:ascii="Arial" w:hAnsi="Arial" w:cs="Arial" w:eastAsiaTheme="minorEastAsia"/>
          <w:sz w:val="20"/>
          <w:szCs w:val="20"/>
        </w:rPr>
        <w:t xml:space="preserve">Candidates must provide all the necessary information in the context of this contract, indicating precisely the methodology, processes and resources put in place to meet these requirements.</w:t>
      </w:r>
    </w:p>
    <w:p>
      <w:pPr>
        <w:spacing w:after="0" w:line="240" w:lineRule="auto"/>
        <w:jc w:val="both"/>
        <w:rPr>
          <w:rFonts w:ascii="Arial" w:hAnsi="Arial" w:cs="Arial" w:eastAsiaTheme="minorEastAsia"/>
          <w:sz w:val="20"/>
          <w:szCs w:val="20"/>
        </w:rPr>
      </w:pPr>
      <w:r w:rsidRPr="001F1D0E">
        <w:rPr>
          <w:rFonts w:ascii="Arial" w:hAnsi="Arial" w:cs="Arial" w:eastAsiaTheme="minorEastAsia"/>
          <w:sz w:val="20"/>
          <w:szCs w:val="20"/>
        </w:rPr>
        <w:t xml:space="preserve">Particular attention will be paid to </w:t>
      </w:r>
      <w:r w:rsidR="00A24079">
        <w:rPr>
          <w:rFonts w:ascii="Arial" w:hAnsi="Arial" w:cs="Arial" w:eastAsiaTheme="minorEastAsia"/>
          <w:sz w:val="20"/>
          <w:szCs w:val="20"/>
        </w:rPr>
        <w:t xml:space="preserve">the</w:t>
      </w:r>
      <w:r w:rsidRPr="001F1D0E">
        <w:rPr>
          <w:rFonts w:ascii="Arial" w:hAnsi="Arial" w:cs="Arial" w:eastAsiaTheme="minorEastAsia"/>
          <w:sz w:val="20"/>
          <w:szCs w:val="20"/>
        </w:rPr>
        <w:t xml:space="preserve"> methodology and </w:t>
      </w:r>
      <w:r w:rsidRPr="001F1D0E">
        <w:rPr>
          <w:rFonts w:ascii="Arial" w:hAnsi="Arial" w:cs="Arial" w:eastAsiaTheme="minorEastAsia"/>
          <w:sz w:val="20"/>
          <w:szCs w:val="20"/>
        </w:rPr>
        <w:t xml:space="preserve">processes put in </w:t>
      </w:r>
      <w:r w:rsidRPr="001F1D0E">
        <w:rPr>
          <w:rFonts w:ascii="Arial" w:hAnsi="Arial" w:cs="Arial" w:eastAsiaTheme="minorEastAsia"/>
          <w:sz w:val="20"/>
          <w:szCs w:val="20"/>
        </w:rPr>
        <w:t xml:space="preserve">place to guarantee the conformity of the developments, content and functionalities presented on delivery</w:t>
      </w:r>
      <w:r w:rsidR="00A24079">
        <w:rPr>
          <w:rFonts w:ascii="Arial" w:hAnsi="Arial" w:cs="Arial" w:eastAsiaTheme="minorEastAsia"/>
          <w:sz w:val="20"/>
          <w:szCs w:val="20"/>
        </w:rPr>
        <w:t xml:space="preserve">; </w:t>
      </w:r>
      <w:r w:rsidRPr="001F1D0E">
        <w:rPr>
          <w:rFonts w:ascii="Arial" w:hAnsi="Arial" w:cs="Arial" w:eastAsiaTheme="minorEastAsia"/>
          <w:sz w:val="20"/>
          <w:szCs w:val="20"/>
        </w:rPr>
        <w:t xml:space="preserve">this may include, for example (non-exhaustive list):</w:t>
      </w:r>
    </w:p>
    <w:p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eastAsia="Calibri" w:cs="Arial"/>
          <w:bCs/>
          <w:sz w:val="20"/>
          <w:szCs w:val="20"/>
        </w:rPr>
      </w:pPr>
      <w:r w:rsidRPr="001F1D0E">
        <w:rPr>
          <w:rFonts w:ascii="Arial" w:hAnsi="Arial" w:eastAsia="Calibri" w:cs="Arial"/>
          <w:bCs/>
          <w:sz w:val="20"/>
          <w:szCs w:val="20"/>
        </w:rPr>
        <w:t xml:space="preserve">Control phases (design, development, acceptance before delivery, etc.) ;</w:t>
      </w:r>
    </w:p>
    <w:p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eastAsia="Calibri" w:cs="Arial"/>
          <w:bCs/>
          <w:sz w:val="20"/>
          <w:szCs w:val="20"/>
        </w:rPr>
      </w:pPr>
      <w:r w:rsidRPr="001F1D0E">
        <w:rPr>
          <w:rFonts w:ascii="Arial" w:hAnsi="Arial" w:eastAsia="Calibri" w:cs="Arial"/>
          <w:bCs/>
          <w:sz w:val="20"/>
          <w:szCs w:val="20"/>
        </w:rPr>
        <w:t xml:space="preserve">Means of control (internal audit, external audit) ;</w:t>
      </w:r>
    </w:p>
    <w:p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eastAsia="Calibri" w:cs="Arial"/>
          <w:bCs/>
          <w:sz w:val="20"/>
          <w:szCs w:val="20"/>
        </w:rPr>
      </w:pPr>
      <w:r w:rsidRPr="001F1D0E">
        <w:rPr>
          <w:rFonts w:ascii="Arial" w:hAnsi="Arial" w:eastAsia="Calibri" w:cs="Arial"/>
          <w:bCs/>
          <w:sz w:val="20"/>
          <w:szCs w:val="20"/>
        </w:rPr>
        <w:t xml:space="preserve">Documenting the controls (audit statement, audit report, certificate of compliance);</w:t>
      </w:r>
    </w:p>
    <w:p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eastAsia="Calibri" w:cs="Arial"/>
          <w:bCs/>
          <w:sz w:val="20"/>
          <w:szCs w:val="20"/>
        </w:rPr>
      </w:pPr>
      <w:r w:rsidRPr="001F1D0E">
        <w:rPr>
          <w:rFonts w:ascii="Arial" w:hAnsi="Arial" w:eastAsia="Calibri" w:cs="Arial"/>
          <w:bCs/>
          <w:sz w:val="20"/>
          <w:szCs w:val="20"/>
        </w:rPr>
        <w:t xml:space="preserve">The tool(s) used for control purposes (automatic tools, assistive technologies) ;</w:t>
      </w:r>
    </w:p>
    <w:p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eastAsia="Calibri" w:cs="Arial"/>
          <w:bCs/>
          <w:sz w:val="20"/>
          <w:szCs w:val="20"/>
        </w:rPr>
      </w:pPr>
      <w:r w:rsidRPr="001F1D0E">
        <w:rPr>
          <w:rFonts w:ascii="Arial" w:hAnsi="Arial" w:eastAsia="Calibri" w:cs="Arial"/>
          <w:bCs/>
          <w:sz w:val="20"/>
          <w:szCs w:val="20"/>
        </w:rPr>
        <w:t xml:space="preserve">If certificates of conformity are proposed, a sample certificate should be provided.</w:t>
      </w:r>
    </w:p>
    <w:p>
      <w:pPr>
        <w:pStyle w:val="Heading2"/>
        <w:rPr>
          <w:rFonts w:eastAsiaTheme="minorEastAsia"/>
        </w:rPr>
      </w:pPr>
      <w:r w:rsidRPr="001F1D0E">
        <w:rPr>
          <w:rFonts w:eastAsiaTheme="minorEastAsia"/>
        </w:rPr>
        <w:t xml:space="preserve">Technology points to watch</w:t>
      </w:r>
    </w:p>
    <w:p>
      <w:pPr>
        <w:spacing w:after="0" w:line="240" w:lineRule="auto"/>
        <w:jc w:val="both"/>
        <w:rPr>
          <w:rFonts w:ascii="Arial" w:hAnsi="Arial" w:cs="Arial" w:eastAsiaTheme="minorEastAsia"/>
          <w:sz w:val="20"/>
          <w:szCs w:val="20"/>
        </w:rPr>
      </w:pPr>
      <w:r w:rsidRPr="001F1D0E">
        <w:rPr>
          <w:rFonts w:ascii="Arial" w:hAnsi="Arial" w:cs="Arial" w:eastAsiaTheme="minorEastAsia"/>
          <w:sz w:val="20"/>
          <w:szCs w:val="20"/>
        </w:rPr>
        <w:t xml:space="preserve">Some of the needs defined in this document that are essential to the project may require the use of specific technologies that may be complex </w:t>
      </w:r>
      <w:r w:rsidR="00A24079">
        <w:rPr>
          <w:rFonts w:ascii="Arial" w:hAnsi="Arial" w:cs="Arial" w:eastAsiaTheme="minorEastAsia"/>
          <w:sz w:val="20"/>
          <w:szCs w:val="20"/>
        </w:rPr>
        <w:t xml:space="preserve">to </w:t>
      </w:r>
      <w:r w:rsidRPr="001F1D0E">
        <w:rPr>
          <w:rFonts w:ascii="Arial" w:hAnsi="Arial" w:cs="Arial" w:eastAsiaTheme="minorEastAsia"/>
          <w:sz w:val="20"/>
          <w:szCs w:val="20"/>
        </w:rPr>
        <w:t xml:space="preserve">make fully accessible.</w:t>
      </w:r>
    </w:p>
    <w:p>
      <w:pPr>
        <w:spacing w:after="0" w:line="240" w:lineRule="auto"/>
        <w:jc w:val="both"/>
        <w:rPr>
          <w:rFonts w:ascii="Arial" w:hAnsi="Arial" w:cs="Arial" w:eastAsiaTheme="minorEastAsia"/>
          <w:sz w:val="20"/>
          <w:szCs w:val="20"/>
        </w:rPr>
      </w:pPr>
      <w:r>
        <w:rPr>
          <w:rFonts w:ascii="Arial" w:hAnsi="Arial" w:cs="Arial" w:eastAsiaTheme="minorEastAsia"/>
          <w:sz w:val="20"/>
          <w:szCs w:val="20"/>
        </w:rPr>
        <w:t xml:space="preserve">Where applicable, it is the </w:t>
      </w:r>
      <w:r w:rsidRPr="001F1D0E" w:rsidR="002218F8">
        <w:rPr>
          <w:rFonts w:ascii="Arial" w:hAnsi="Arial" w:cs="Arial" w:eastAsiaTheme="minorEastAsia"/>
          <w:sz w:val="20"/>
          <w:szCs w:val="20"/>
        </w:rPr>
        <w:t xml:space="preserve">applicant's responsibility to describe in detail :</w:t>
      </w:r>
    </w:p>
    <w:p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eastAsia="Calibri" w:cs="Arial"/>
          <w:bCs/>
          <w:sz w:val="20"/>
          <w:szCs w:val="20"/>
        </w:rPr>
      </w:pPr>
      <w:r w:rsidRPr="001F1D0E">
        <w:rPr>
          <w:rFonts w:ascii="Arial" w:hAnsi="Arial" w:eastAsia="Calibri" w:cs="Arial"/>
          <w:bCs/>
          <w:sz w:val="20"/>
          <w:szCs w:val="20"/>
        </w:rPr>
        <w:t xml:space="preserve">The complexities and bottlenecks inherent in using these technologies.</w:t>
      </w:r>
    </w:p>
    <w:p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eastAsia="Calibri" w:cs="Arial"/>
          <w:bCs/>
          <w:sz w:val="20"/>
          <w:szCs w:val="20"/>
        </w:rPr>
      </w:pPr>
      <w:r w:rsidRPr="001F1D0E">
        <w:rPr>
          <w:rFonts w:ascii="Arial" w:hAnsi="Arial" w:eastAsia="Calibri" w:cs="Arial"/>
          <w:bCs/>
          <w:sz w:val="20"/>
          <w:szCs w:val="20"/>
        </w:rPr>
        <w:t xml:space="preserve">The alternatives, where possible, that could be proposed to ensure that the user has access to the information.</w:t>
      </w:r>
    </w:p>
    <w:p>
      <w:pPr>
        <w:spacing w:after="0" w:line="240" w:lineRule="auto"/>
        <w:jc w:val="both"/>
        <w:rPr>
          <w:rFonts w:ascii="Arial" w:hAnsi="Arial" w:cs="Arial" w:eastAsiaTheme="minorEastAsia"/>
          <w:sz w:val="20"/>
          <w:szCs w:val="20"/>
        </w:rPr>
      </w:pPr>
      <w:r w:rsidRPr="001F1D0E">
        <w:rPr>
          <w:rFonts w:ascii="Arial" w:hAnsi="Arial" w:cs="Arial" w:eastAsiaTheme="minorEastAsia"/>
          <w:sz w:val="20"/>
          <w:szCs w:val="20"/>
        </w:rPr>
        <w:t xml:space="preserve">Candidates are free to provide any other details, documents or examples of deliverables that they consider relevant.</w:t>
      </w:r>
    </w:p>
    <w:p w:rsidRPr="002172B9" w:rsidR="006B198A" w:rsidP="002172B9" w:rsidRDefault="006B198A" w14:paraId="220DA95D" w14:textId="77777777">
      <w:pPr>
        <w:spacing w:after="0" w:line="240" w:lineRule="auto"/>
        <w:jc w:val="both"/>
        <w:rPr>
          <w:rFonts w:ascii="Arial" w:hAnsi="Arial" w:cs="Arial" w:eastAsiaTheme="minorEastAsia"/>
          <w:sz w:val="20"/>
          <w:szCs w:val="20"/>
        </w:rPr>
      </w:pPr>
    </w:p>
    <w:sectPr w:rsidRPr="002172B9" w:rsidR="006B198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EFE" w:rsidP="00710EFE" w:rsidRDefault="00710EFE" w14:paraId="0A52A270" w14:textId="77777777">
      <w:pPr>
        <w:spacing w:after="0" w:line="240" w:lineRule="auto"/>
      </w:pPr>
      <w:r>
        <w:separator/>
      </w:r>
    </w:p>
  </w:endnote>
  <w:endnote w:type="continuationSeparator" w:id="0">
    <w:p w:rsidR="00710EFE" w:rsidP="00710EFE" w:rsidRDefault="00710EFE" w14:paraId="4AD7ECA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EFE" w:rsidRDefault="00710EFE" w14:paraId="21C1A3D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EFE" w:rsidRDefault="00710EFE" w14:paraId="5DE9B358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EFE" w:rsidRDefault="00710EFE" w14:paraId="39FA41F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EFE" w:rsidP="00710EFE" w:rsidRDefault="00710EFE" w14:paraId="4F812823" w14:textId="77777777">
      <w:pPr>
        <w:spacing w:after="0" w:line="240" w:lineRule="auto"/>
      </w:pPr>
      <w:r>
        <w:separator/>
      </w:r>
    </w:p>
  </w:footnote>
  <w:footnote w:type="continuationSeparator" w:id="0">
    <w:p w:rsidR="00710EFE" w:rsidP="00710EFE" w:rsidRDefault="00710EFE" w14:paraId="076BCB1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EFE" w:rsidRDefault="00710EFE" w14:paraId="7108177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EFE" w:rsidRDefault="00710EFE" w14:paraId="67D70001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EFE" w:rsidRDefault="00710EFE" w14:paraId="242E404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F15E8"/>
    <w:multiLevelType w:val="hybridMultilevel"/>
    <w:tmpl w:val="2E66617C"/>
    <w:lvl w:ilvl="0" w:tplc="4C5A8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FCB4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324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CE0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581E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702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1C8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F8D7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00D0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B0B87"/>
    <w:multiLevelType w:val="multilevel"/>
    <w:tmpl w:val="7144C7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8F8"/>
    <w:rsid w:val="00106F8E"/>
    <w:rsid w:val="00143676"/>
    <w:rsid w:val="002172B9"/>
    <w:rsid w:val="002218F8"/>
    <w:rsid w:val="003127E2"/>
    <w:rsid w:val="003339FA"/>
    <w:rsid w:val="005067A4"/>
    <w:rsid w:val="00554EFB"/>
    <w:rsid w:val="00605530"/>
    <w:rsid w:val="006B198A"/>
    <w:rsid w:val="00710EFE"/>
    <w:rsid w:val="007C5AEF"/>
    <w:rsid w:val="009653E9"/>
    <w:rsid w:val="009E0598"/>
    <w:rsid w:val="00A24079"/>
    <w:rsid w:val="00AE642D"/>
    <w:rsid w:val="00BB76B9"/>
    <w:rsid w:val="00C45702"/>
    <w:rsid w:val="00DD66F5"/>
    <w:rsid w:val="00EA67DE"/>
    <w:rsid w:val="00F44B21"/>
    <w:rsid w:val="00F7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82D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8F8"/>
  </w:style>
  <w:style w:type="paragraph" w:styleId="Heading1">
    <w:name w:val="heading 1"/>
    <w:basedOn w:val="Normal"/>
    <w:next w:val="Normal"/>
    <w:link w:val="Heading1Char"/>
    <w:uiPriority w:val="9"/>
    <w:qFormat/>
    <w:rsid w:val="002172B9"/>
    <w:pPr>
      <w:keepNext/>
      <w:keepLines/>
      <w:spacing w:before="400" w:after="2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2B9"/>
    <w:pPr>
      <w:keepNext/>
      <w:keepLines/>
      <w:spacing w:before="3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4B2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4B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4B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B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B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B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B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2B9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172B9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4B21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4B21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B2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B21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B21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B21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B21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4B21"/>
    <w:pPr>
      <w:spacing w:line="240" w:lineRule="auto"/>
    </w:pPr>
    <w:rPr>
      <w:b/>
      <w:bCs/>
      <w:smallCaps/>
      <w:color w:val="335B7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44B2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44B21"/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B2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B21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44B21"/>
    <w:rPr>
      <w:b/>
      <w:bCs/>
    </w:rPr>
  </w:style>
  <w:style w:type="character" w:styleId="Emphasis">
    <w:name w:val="Emphasis"/>
    <w:basedOn w:val="DefaultParagraphFont"/>
    <w:uiPriority w:val="20"/>
    <w:qFormat/>
    <w:rsid w:val="00F44B21"/>
    <w:rPr>
      <w:i/>
      <w:iCs/>
    </w:rPr>
  </w:style>
  <w:style w:type="paragraph" w:styleId="NoSpacing">
    <w:name w:val="No Spacing"/>
    <w:uiPriority w:val="1"/>
    <w:qFormat/>
    <w:rsid w:val="00F44B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4B21"/>
    <w:pPr>
      <w:spacing w:before="120" w:after="120"/>
      <w:ind w:left="720"/>
    </w:pPr>
    <w:rPr>
      <w:color w:val="335B7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44B21"/>
    <w:rPr>
      <w:color w:val="335B7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B2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B21"/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44B2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44B2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44B2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44B21"/>
    <w:rPr>
      <w:b/>
      <w:bCs/>
      <w:smallCaps/>
      <w:color w:val="335B7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44B2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4B21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2218F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218F8"/>
  </w:style>
  <w:style w:type="character" w:styleId="Hyperlink">
    <w:name w:val="Hyperlink"/>
    <w:basedOn w:val="DefaultParagraphFont"/>
    <w:uiPriority w:val="99"/>
    <w:unhideWhenUsed/>
    <w:rsid w:val="002218F8"/>
    <w:rPr>
      <w:color w:val="6EAC1C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06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6F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6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6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6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F8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0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EFE"/>
  </w:style>
  <w:style w:type="paragraph" w:styleId="Footer">
    <w:name w:val="footer"/>
    <w:basedOn w:val="Normal"/>
    <w:link w:val="FooterChar"/>
    <w:uiPriority w:val="99"/>
    <w:unhideWhenUsed/>
    <w:rsid w:val="00710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si.org/deliver/etsi_en/301500_301599/301549/03.02.01_60/en_301549v030201p.pdf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gilux.public.lu/eli/etat/leg/loi/2019/05/28/a373/jo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accessibilite.public.lu/fr/obliga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cessibilite.public.lu/fr/obligations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2</ap:Pages>
  <ap:Words>798</ap:Words>
  <ap:Characters>4395</ap:Characters>
  <ap:Application>Microsoft Office Word</ap:Application>
  <ap:DocSecurity>0</ap:DocSecurity>
  <ap:Lines>36</ap:Lines>
  <ap:Paragraphs>10</ap:Paragraphs>
  <ap:ScaleCrop>false</ap:ScaleCrop>
  <ap:Company/>
  <ap:LinksUpToDate>false</ap:LinksUpToDate>
  <ap:CharactersWithSpaces>5183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>, docId:B14EBE7366094ABFC7DFE485CC21B297</keywords>
  <dc:description/>
  <lastModifiedBy/>
  <revision>1</revision>
  <dcterms:created xsi:type="dcterms:W3CDTF">2023-03-10T16:27:00.0000000Z</dcterms:created>
  <dcterms:modified xsi:type="dcterms:W3CDTF">2023-03-10T16:27:00.0000000Z</dcterms:modified>
</coreProperties>
</file>