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DB59" w14:textId="77777777" w:rsidR="00DC4EB2" w:rsidRPr="00D02099" w:rsidRDefault="00000000">
      <w:pPr>
        <w:pStyle w:val="Heading1"/>
        <w:rPr>
          <w:lang w:val="en-US"/>
        </w:rPr>
      </w:pPr>
      <w:bookmarkStart w:id="0" w:name="_Toc19891581"/>
      <w:r w:rsidRPr="00D02099">
        <w:rPr>
          <w:lang w:val="en-US"/>
        </w:rPr>
        <w:t>Accessibility</w:t>
      </w:r>
      <w:bookmarkEnd w:id="0"/>
    </w:p>
    <w:p w14:paraId="55A9B8C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Digital accessibility means that disabled people can use the services and content made available on the web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or via mobile applications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. </w:t>
      </w:r>
    </w:p>
    <w:p w14:paraId="6B2377A6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is a legal obligation for public sector bodies defined by the law of </w:t>
      </w:r>
      <w:hyperlink r:id="rId8" w:history="1">
        <w:r w:rsidRPr="009C4774">
          <w:rPr>
            <w:rStyle w:val="Hyperlink"/>
            <w:rFonts w:ascii="Arial" w:eastAsiaTheme="minorEastAsia" w:hAnsi="Arial" w:cs="Arial"/>
            <w:color w:val="134163" w:themeColor="accent2" w:themeShade="80"/>
            <w:sz w:val="20"/>
            <w:szCs w:val="20"/>
            <w:lang w:val="en-US"/>
          </w:rPr>
          <w:t>28 May 2019</w:t>
        </w:r>
      </w:hyperlink>
      <w:r w:rsidRPr="00D02099">
        <w:rPr>
          <w:rFonts w:ascii="Arial" w:eastAsiaTheme="minorEastAsia" w:hAnsi="Arial" w:cs="Arial"/>
          <w:sz w:val="20"/>
          <w:szCs w:val="20"/>
          <w:lang w:val="en-US"/>
        </w:rPr>
        <w:t>.</w:t>
      </w:r>
    </w:p>
    <w:p w14:paraId="4AB1F9B7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>Digital accessibility is a major objective of this project.</w:t>
      </w:r>
    </w:p>
    <w:p w14:paraId="28C5B63A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Legal compliance</w:t>
      </w:r>
    </w:p>
    <w:p w14:paraId="43EC9341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legal level of compliance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for websites is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level AA of the latest version of the </w:t>
      </w:r>
      <w:r w:rsidRPr="00D02099">
        <w:rPr>
          <w:rFonts w:ascii="Arial" w:eastAsiaTheme="minorEastAsia" w:hAnsi="Arial" w:cs="Arial"/>
          <w:i/>
          <w:iCs/>
          <w:sz w:val="20"/>
          <w:szCs w:val="20"/>
          <w:lang w:val="en-US"/>
        </w:rPr>
        <w:t xml:space="preserve">General Accessibility Improvement Guidelines (RGAA)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and level AA of the latest version of the </w:t>
      </w:r>
      <w:r w:rsidR="009653E9" w:rsidRPr="00D02099">
        <w:rPr>
          <w:rFonts w:ascii="Arial" w:eastAsiaTheme="minorEastAsia" w:hAnsi="Arial" w:cs="Arial"/>
          <w:i/>
          <w:sz w:val="20"/>
          <w:szCs w:val="20"/>
          <w:lang w:val="en-US"/>
        </w:rPr>
        <w:t xml:space="preserve">Accessibility Assessment Guidelines for Mobile Applications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(RAAM). These standards are published on the accessibilite.public.lu website.</w:t>
      </w:r>
    </w:p>
    <w:p w14:paraId="65DA09B1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If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cannot refer to the RGAA </w:t>
      </w:r>
      <w:r w:rsidR="009653E9" w:rsidRPr="00D02099">
        <w:rPr>
          <w:rFonts w:ascii="Arial" w:eastAsiaTheme="minorEastAsia" w:hAnsi="Arial" w:cs="Arial"/>
          <w:sz w:val="20"/>
          <w:szCs w:val="20"/>
          <w:lang w:val="en-US"/>
        </w:rPr>
        <w:t>or RAAM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, then compliance must be assessed in relation to European standard 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begin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instrText>HYPERLINK "https://www.etsi.org/deliver/etsi_en/301500_301599/301549/03.02.01_60/en_301549v030201p.pdf"</w:instrTex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separate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t>EN 301 549 version 3.2.1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end"/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, in particular the criteria listed in table A.1 of appendix A.</w:t>
      </w:r>
    </w:p>
    <w:p w14:paraId="78B2A669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 </w:t>
      </w:r>
      <w:r w:rsidR="002218F8" w:rsidRPr="00D02099">
        <w:rPr>
          <w:rFonts w:ascii="Arial" w:eastAsiaTheme="minorEastAsia" w:hAnsi="Arial" w:cs="Arial"/>
          <w:sz w:val="20"/>
          <w:szCs w:val="20"/>
          <w:lang w:val="en-US"/>
        </w:rPr>
        <w:t>must undertake to do everything necessary to achieve this level of legal compliance.</w:t>
      </w:r>
    </w:p>
    <w:p w14:paraId="78A7058C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Minimum requirements</w:t>
      </w:r>
    </w:p>
    <w:p w14:paraId="3A8CD25B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Taking into account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characteristics of the project as defined in this contract,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CONTRACTOR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must ensure that the developments, content and functionalities present a level of compliance at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least equal to 80%.</w:t>
      </w:r>
    </w:p>
    <w:p w14:paraId="476EC8B2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requirement does not replace 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>the requirement linked to the legal level (</w:t>
      </w:r>
      <w:proofErr w:type="gramStart"/>
      <w:r w:rsidR="00143676" w:rsidRPr="00D02099">
        <w:rPr>
          <w:rFonts w:ascii="Arial" w:eastAsiaTheme="minorEastAsia" w:hAnsi="Arial" w:cs="Arial"/>
          <w:sz w:val="20"/>
          <w:szCs w:val="20"/>
          <w:lang w:val="en-US"/>
        </w:rPr>
        <w:t>i.e.</w:t>
      </w:r>
      <w:proofErr w:type="gramEnd"/>
      <w:r w:rsidR="00143676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a 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100% </w:t>
      </w:r>
      <w:r w:rsidR="00BB76B9" w:rsidRPr="00D02099">
        <w:rPr>
          <w:rFonts w:ascii="Arial" w:eastAsiaTheme="minorEastAsia" w:hAnsi="Arial" w:cs="Arial"/>
          <w:sz w:val="20"/>
          <w:szCs w:val="20"/>
          <w:lang w:val="en-US"/>
        </w:rPr>
        <w:t>compliance rate</w:t>
      </w:r>
      <w:r w:rsidR="00605530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),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but constitutes the threshold below which a service provider's failure could be observed.</w:t>
      </w:r>
    </w:p>
    <w:p w14:paraId="0016342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level of requirement concerns all the functionalities and content developed by the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CONTRACT HOLDER,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as well as </w:t>
      </w:r>
      <w:r w:rsidR="00F75718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the capacity of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any content editing functions to produce compliant content. </w:t>
      </w:r>
    </w:p>
    <w:p w14:paraId="6EDA72D5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This minimum level of requirement does not apply to content produced by the ORGANISM's teams or to 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begin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instrText>HYPERLINK "https://accessibilite.public.lu/fr/obligations.html" \l "contenus-exempt%C3%A9s"</w:instrTex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separate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t xml:space="preserve">content that is 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end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begin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instrText>HYPERLINK "https://accessibilite.public.lu/fr/obligations.html" \l "contenus-exempt%C3%A9s"</w:instrTex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separate"/>
      </w:r>
      <w:r w:rsidR="00F75718"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t>subject to exemptions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end"/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as defined by law.</w:t>
      </w:r>
    </w:p>
    <w:p w14:paraId="4D7452F6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In the case of any </w:t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non-compliant functionality or content for which compliance might represent a 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begin"/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instrText>HYPERLINK "https://accessibilite.public.lu/fr/obligations.html" \l "d%C3%A9rogation-pour-charge-disproportionn%C3%A9e"</w:instrTex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separate"/>
      </w:r>
      <w:r w:rsidR="00C45702"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t>disproportionate workload</w:t>
      </w:r>
      <w:r w:rsidRPr="009C4774">
        <w:rPr>
          <w:rStyle w:val="Hyperlink"/>
          <w:rFonts w:ascii="Arial" w:eastAsiaTheme="minorEastAsia" w:hAnsi="Arial" w:cs="Arial"/>
          <w:color w:val="134163" w:themeColor="accent2" w:themeShade="80"/>
          <w:sz w:val="20"/>
          <w:szCs w:val="20"/>
          <w:lang w:val="en-US"/>
        </w:rPr>
        <w:fldChar w:fldCharType="end"/>
      </w:r>
      <w:r w:rsidR="00C45702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for the CONTRACT HOLDER, any derogation for disproportionate workload will have to be validated by the ORGANIZATION.</w:t>
      </w:r>
    </w:p>
    <w:p w14:paraId="029F791E" w14:textId="77777777" w:rsidR="00DC4EB2" w:rsidRPr="009C4774" w:rsidRDefault="00000000">
      <w:pPr>
        <w:pStyle w:val="Heading2"/>
        <w:rPr>
          <w:lang w:val="en-US"/>
        </w:rPr>
      </w:pPr>
      <w:r w:rsidRPr="009C4774">
        <w:rPr>
          <w:lang w:val="en-US"/>
        </w:rPr>
        <w:t>Check</w:t>
      </w:r>
    </w:p>
    <w:p w14:paraId="3AF62DE5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ORGANISM reserves the right to have compliance with these minimum requirements verified during all phases of the project and deliveries (mock-ups, templates, developments, etc.) by means of audits or acceptance tests carried out by a service provider with expertise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in digital accessibility.</w:t>
      </w:r>
    </w:p>
    <w:p w14:paraId="114B744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In the event that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minimum level required is not achieved due to a fault on the part of the </w:t>
      </w:r>
      <w:r w:rsidR="006B198A" w:rsidRPr="00D02099">
        <w:rPr>
          <w:rFonts w:ascii="Arial" w:eastAsiaTheme="minorEastAsia" w:hAnsi="Arial" w:cs="Arial"/>
          <w:sz w:val="20"/>
          <w:szCs w:val="20"/>
          <w:lang w:val="en-US"/>
        </w:rPr>
        <w:t>CONTRACT HOLDER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, the latter must take all necessary corrective action.</w:t>
      </w:r>
    </w:p>
    <w:p w14:paraId="16B96ABE" w14:textId="77777777" w:rsidR="00DC4EB2" w:rsidRPr="00D02099" w:rsidRDefault="0000000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02099">
        <w:rPr>
          <w:rFonts w:ascii="Arial" w:hAnsi="Arial" w:cs="Arial"/>
          <w:sz w:val="20"/>
          <w:szCs w:val="20"/>
          <w:lang w:val="en-US"/>
        </w:rPr>
        <w:t xml:space="preserve">These corrective actions will be the responsibility of </w:t>
      </w:r>
      <w:r w:rsidR="006B198A" w:rsidRPr="00D02099">
        <w:rPr>
          <w:rFonts w:ascii="Arial" w:hAnsi="Arial" w:cs="Arial"/>
          <w:sz w:val="20"/>
          <w:szCs w:val="20"/>
          <w:lang w:val="en-US"/>
        </w:rPr>
        <w:t>the CONTRACT HOLDER</w:t>
      </w:r>
      <w:r w:rsidRPr="00D02099">
        <w:rPr>
          <w:rFonts w:ascii="Arial" w:hAnsi="Arial" w:cs="Arial"/>
          <w:sz w:val="20"/>
          <w:szCs w:val="20"/>
          <w:lang w:val="en-US"/>
        </w:rPr>
        <w:t>.</w:t>
      </w:r>
    </w:p>
    <w:p w14:paraId="6240BA69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t>Expert support for the ORGANISATION</w:t>
      </w:r>
    </w:p>
    <w:p w14:paraId="683C419B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It should be noted that the ORGANISM reserves the right to call on </w:t>
      </w:r>
      <w:r w:rsidR="002172B9" w:rsidRPr="00D02099">
        <w:rPr>
          <w:rFonts w:ascii="Arial" w:eastAsiaTheme="minorEastAsia" w:hAnsi="Arial" w:cs="Arial"/>
          <w:sz w:val="20"/>
          <w:szCs w:val="20"/>
          <w:lang w:val="en-US"/>
        </w:rPr>
        <w:t>an external service provider, with expertise in digital accessibility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, to support it at every stage of the project.</w:t>
      </w:r>
    </w:p>
    <w:p w14:paraId="6AADD3FD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In this case, the service provider will be the technical contact with the </w:t>
      </w:r>
      <w:r w:rsidR="006B198A" w:rsidRPr="00D02099">
        <w:rPr>
          <w:rFonts w:ascii="Arial" w:eastAsiaTheme="minorEastAsia" w:hAnsi="Arial" w:cs="Arial"/>
          <w:sz w:val="20"/>
          <w:szCs w:val="20"/>
          <w:lang w:val="en-US"/>
        </w:rPr>
        <w:t>AUTHORISED PARTY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's teams for all matters relating to accessibility and compliance with the RGAA </w:t>
      </w:r>
      <w:r w:rsidR="00554EFB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or RAAM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for the entire project.</w:t>
      </w:r>
    </w:p>
    <w:p w14:paraId="29AA7457" w14:textId="77777777" w:rsidR="00DC4EB2" w:rsidRPr="00D02099" w:rsidRDefault="00000000">
      <w:pPr>
        <w:pStyle w:val="Heading2"/>
        <w:rPr>
          <w:lang w:val="en-US"/>
        </w:rPr>
      </w:pPr>
      <w:r w:rsidRPr="00D02099">
        <w:rPr>
          <w:lang w:val="en-US"/>
        </w:rPr>
        <w:lastRenderedPageBreak/>
        <w:t>Some answers</w:t>
      </w:r>
    </w:p>
    <w:p w14:paraId="0B3E08DF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Candidates must provide all the necessary information in the context of this contract, </w:t>
      </w: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indicating precisely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the methodology, processes and resources put in place to meet these requirements.</w:t>
      </w:r>
    </w:p>
    <w:p w14:paraId="65E70FA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Particular attention will be paid to 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>the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methodology and processes put in place to guarantee the conformity of the developments, content and functionalities presented on delivery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;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this may include, for example (non-exhaustive list):</w:t>
      </w:r>
    </w:p>
    <w:p w14:paraId="6C4F6B4D" w14:textId="787C7168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Control phases (design, development, acceptance before delivery, etc.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3DD464AE" w14:textId="591790B3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Means of control (internal audit, external audit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18273CDB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Documenting the controls (audit statement, audit report, certificate of compliance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345668A3" w14:textId="78170ED9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tool(s) used for control purposes (automatic tools, assistive technologies</w:t>
      </w:r>
      <w:proofErr w:type="gramStart"/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);</w:t>
      </w:r>
      <w:proofErr w:type="gramEnd"/>
    </w:p>
    <w:p w14:paraId="71F90F33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If certificates of conformity are proposed, a sample certificate should be provided.</w:t>
      </w:r>
    </w:p>
    <w:p w14:paraId="7AC91D7F" w14:textId="77777777" w:rsidR="00DC4EB2" w:rsidRPr="00D02099" w:rsidRDefault="00000000">
      <w:pPr>
        <w:pStyle w:val="Heading2"/>
        <w:rPr>
          <w:rFonts w:eastAsiaTheme="minorEastAsia"/>
          <w:lang w:val="en-US"/>
        </w:rPr>
      </w:pPr>
      <w:r w:rsidRPr="00D02099">
        <w:rPr>
          <w:rFonts w:eastAsiaTheme="minorEastAsia"/>
          <w:lang w:val="en-US"/>
        </w:rPr>
        <w:t>Technology points to watch</w:t>
      </w:r>
    </w:p>
    <w:p w14:paraId="107D88A7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Some of the needs defined in this document that are essential to the project may require the use of specific technologies that may be complex </w:t>
      </w:r>
      <w:r w:rsidR="00A24079"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to </w:t>
      </w:r>
      <w:r w:rsidRPr="00D02099">
        <w:rPr>
          <w:rFonts w:ascii="Arial" w:eastAsiaTheme="minorEastAsia" w:hAnsi="Arial" w:cs="Arial"/>
          <w:sz w:val="20"/>
          <w:szCs w:val="20"/>
          <w:lang w:val="en-US"/>
        </w:rPr>
        <w:t>make fully accessible.</w:t>
      </w:r>
    </w:p>
    <w:p w14:paraId="3AF0175B" w14:textId="27A18349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Where applicable, it is the </w:t>
      </w:r>
      <w:r w:rsidR="002218F8" w:rsidRPr="00D02099">
        <w:rPr>
          <w:rFonts w:ascii="Arial" w:eastAsiaTheme="minorEastAsia" w:hAnsi="Arial" w:cs="Arial"/>
          <w:sz w:val="20"/>
          <w:szCs w:val="20"/>
          <w:lang w:val="en-US"/>
        </w:rPr>
        <w:t>applicant's responsibility to describe in detail:</w:t>
      </w:r>
    </w:p>
    <w:p w14:paraId="27BCC9BD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complexities and bottlenecks inherent in using these technologies.</w:t>
      </w:r>
    </w:p>
    <w:p w14:paraId="10941CAC" w14:textId="77777777" w:rsidR="00DC4EB2" w:rsidRPr="00D0209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  <w:lang w:val="en-US"/>
        </w:rPr>
      </w:pPr>
      <w:r w:rsidRPr="00D02099">
        <w:rPr>
          <w:rFonts w:ascii="Arial" w:eastAsia="Calibri" w:hAnsi="Arial" w:cs="Arial"/>
          <w:bCs/>
          <w:sz w:val="20"/>
          <w:szCs w:val="20"/>
          <w:lang w:val="en-US"/>
        </w:rPr>
        <w:t>The alternatives, where possible, that could be proposed to ensure that the user has access to the information.</w:t>
      </w:r>
    </w:p>
    <w:p w14:paraId="1D1CB120" w14:textId="77777777" w:rsidR="00DC4EB2" w:rsidRPr="00D02099" w:rsidRDefault="000000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Candidates are free to provide any other details, </w:t>
      </w:r>
      <w:proofErr w:type="gramStart"/>
      <w:r w:rsidRPr="00D02099">
        <w:rPr>
          <w:rFonts w:ascii="Arial" w:eastAsiaTheme="minorEastAsia" w:hAnsi="Arial" w:cs="Arial"/>
          <w:sz w:val="20"/>
          <w:szCs w:val="20"/>
          <w:lang w:val="en-US"/>
        </w:rPr>
        <w:t>documents</w:t>
      </w:r>
      <w:proofErr w:type="gramEnd"/>
      <w:r w:rsidRPr="00D02099">
        <w:rPr>
          <w:rFonts w:ascii="Arial" w:eastAsiaTheme="minorEastAsia" w:hAnsi="Arial" w:cs="Arial"/>
          <w:sz w:val="20"/>
          <w:szCs w:val="20"/>
          <w:lang w:val="en-US"/>
        </w:rPr>
        <w:t xml:space="preserve"> or examples of deliverables that they consider relevant.</w:t>
      </w:r>
    </w:p>
    <w:p w14:paraId="70C3ECC4" w14:textId="77777777" w:rsidR="006B198A" w:rsidRPr="00D02099" w:rsidRDefault="006B198A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</w:p>
    <w:sectPr w:rsidR="006B198A" w:rsidRPr="00D020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6B34" w14:textId="77777777" w:rsidR="00300756" w:rsidRDefault="00300756" w:rsidP="00710EFE">
      <w:pPr>
        <w:spacing w:after="0" w:line="240" w:lineRule="auto"/>
      </w:pPr>
      <w:r>
        <w:separator/>
      </w:r>
    </w:p>
  </w:endnote>
  <w:endnote w:type="continuationSeparator" w:id="0">
    <w:p w14:paraId="2EFA22E9" w14:textId="77777777" w:rsidR="00300756" w:rsidRDefault="00300756" w:rsidP="0071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6059" w14:textId="77777777" w:rsidR="00710EFE" w:rsidRDefault="00710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9D47" w14:textId="77777777" w:rsidR="00710EFE" w:rsidRDefault="00710E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684E" w14:textId="77777777" w:rsidR="00710EFE" w:rsidRDefault="0071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5340" w14:textId="77777777" w:rsidR="00300756" w:rsidRDefault="00300756" w:rsidP="00710EFE">
      <w:pPr>
        <w:spacing w:after="0" w:line="240" w:lineRule="auto"/>
      </w:pPr>
      <w:r>
        <w:separator/>
      </w:r>
    </w:p>
  </w:footnote>
  <w:footnote w:type="continuationSeparator" w:id="0">
    <w:p w14:paraId="749279D8" w14:textId="77777777" w:rsidR="00300756" w:rsidRDefault="00300756" w:rsidP="0071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067F" w14:textId="77777777" w:rsidR="00710EFE" w:rsidRDefault="00710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B863" w14:textId="77777777" w:rsidR="00710EFE" w:rsidRDefault="00710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431B" w14:textId="77777777" w:rsidR="00710EFE" w:rsidRDefault="00710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5E8"/>
    <w:multiLevelType w:val="hybridMultilevel"/>
    <w:tmpl w:val="2E66617C"/>
    <w:lvl w:ilvl="0" w:tplc="4C5A8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C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0B87"/>
    <w:multiLevelType w:val="multilevel"/>
    <w:tmpl w:val="7144C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5579820">
    <w:abstractNumId w:val="0"/>
  </w:num>
  <w:num w:numId="2" w16cid:durableId="86817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F8"/>
    <w:rsid w:val="00106F8E"/>
    <w:rsid w:val="00143676"/>
    <w:rsid w:val="001A6D5F"/>
    <w:rsid w:val="002172B9"/>
    <w:rsid w:val="002218F8"/>
    <w:rsid w:val="00300756"/>
    <w:rsid w:val="003127E2"/>
    <w:rsid w:val="003339FA"/>
    <w:rsid w:val="005067A4"/>
    <w:rsid w:val="00554EFB"/>
    <w:rsid w:val="00605530"/>
    <w:rsid w:val="006B198A"/>
    <w:rsid w:val="00710EFE"/>
    <w:rsid w:val="007C5AEF"/>
    <w:rsid w:val="009653E9"/>
    <w:rsid w:val="009C4774"/>
    <w:rsid w:val="009E0598"/>
    <w:rsid w:val="00A24079"/>
    <w:rsid w:val="00AE642D"/>
    <w:rsid w:val="00BB76B9"/>
    <w:rsid w:val="00C45702"/>
    <w:rsid w:val="00D02099"/>
    <w:rsid w:val="00DC4EB2"/>
    <w:rsid w:val="00DD66F5"/>
    <w:rsid w:val="00EA67DE"/>
    <w:rsid w:val="00F44B21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458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F8"/>
  </w:style>
  <w:style w:type="paragraph" w:styleId="Heading1">
    <w:name w:val="heading 1"/>
    <w:basedOn w:val="Normal"/>
    <w:next w:val="Normal"/>
    <w:link w:val="Heading1Char"/>
    <w:uiPriority w:val="9"/>
    <w:qFormat/>
    <w:rsid w:val="002172B9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74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9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477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2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2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2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2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2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B2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4B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B2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2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4B21"/>
    <w:rPr>
      <w:b/>
      <w:bCs/>
    </w:rPr>
  </w:style>
  <w:style w:type="character" w:styleId="Emphasis">
    <w:name w:val="Emphasis"/>
    <w:basedOn w:val="DefaultParagraphFont"/>
    <w:uiPriority w:val="20"/>
    <w:qFormat/>
    <w:rsid w:val="00F44B21"/>
    <w:rPr>
      <w:i/>
      <w:iCs/>
    </w:rPr>
  </w:style>
  <w:style w:type="paragraph" w:styleId="NoSpacing">
    <w:name w:val="No Spacing"/>
    <w:uiPriority w:val="1"/>
    <w:qFormat/>
    <w:rsid w:val="00F44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B2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B2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2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4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B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4B2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4B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B2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218F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18F8"/>
  </w:style>
  <w:style w:type="character" w:styleId="Hyperlink">
    <w:name w:val="Hyperlink"/>
    <w:basedOn w:val="DefaultParagraphFont"/>
    <w:uiPriority w:val="99"/>
    <w:unhideWhenUsed/>
    <w:rsid w:val="002218F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FE"/>
  </w:style>
  <w:style w:type="paragraph" w:styleId="Footer">
    <w:name w:val="footer"/>
    <w:basedOn w:val="Normal"/>
    <w:link w:val="Foot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lux.public.lu/eli/etat/leg/loi/2019/05/28/a373/j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B70D-DA14-47C3-8574-82FD4EF2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, docId:B14EBE7366094ABFC7DFE485CC21B297</cp:keywords>
  <dc:description/>
  <cp:lastModifiedBy/>
  <cp:revision>1</cp:revision>
  <dcterms:created xsi:type="dcterms:W3CDTF">2023-03-10T16:27:00Z</dcterms:created>
  <dcterms:modified xsi:type="dcterms:W3CDTF">2024-12-10T15:40:00Z</dcterms:modified>
</cp:coreProperties>
</file>