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22E91" w14:textId="77777777" w:rsidR="002218F8" w:rsidRPr="002172B9" w:rsidRDefault="002218F8" w:rsidP="002172B9">
      <w:pPr>
        <w:pStyle w:val="Heading1"/>
      </w:pPr>
      <w:bookmarkStart w:id="0" w:name="_Toc19891581"/>
      <w:bookmarkStart w:id="1" w:name="_GoBack"/>
      <w:bookmarkEnd w:id="1"/>
      <w:r w:rsidRPr="002172B9">
        <w:t>Accessibilité</w:t>
      </w:r>
      <w:bookmarkEnd w:id="0"/>
    </w:p>
    <w:p w14:paraId="56812D71" w14:textId="05FB297A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L’accessibilité numérique signifie que les personnes handicapées peuvent utiliser les services et contenus mis à disposition sur le Web</w:t>
      </w:r>
      <w:r w:rsidR="009653E9">
        <w:rPr>
          <w:rFonts w:ascii="Arial" w:eastAsiaTheme="minorEastAsia" w:hAnsi="Arial" w:cs="Arial"/>
          <w:sz w:val="20"/>
          <w:szCs w:val="20"/>
        </w:rPr>
        <w:t xml:space="preserve"> ou via des applications mobiles</w:t>
      </w:r>
      <w:r w:rsidRPr="001F1D0E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34B92DCE" w14:textId="77777777" w:rsidR="002218F8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Il s’agit </w:t>
      </w:r>
      <w:r w:rsidRPr="001F1D0E">
        <w:rPr>
          <w:rFonts w:ascii="Arial" w:eastAsiaTheme="minorEastAsia" w:hAnsi="Arial" w:cs="Arial"/>
          <w:sz w:val="20"/>
          <w:szCs w:val="20"/>
        </w:rPr>
        <w:t xml:space="preserve">d’une obligation légale </w:t>
      </w:r>
      <w:r>
        <w:rPr>
          <w:rFonts w:ascii="Arial" w:eastAsiaTheme="minorEastAsia" w:hAnsi="Arial" w:cs="Arial"/>
          <w:sz w:val="20"/>
          <w:szCs w:val="20"/>
        </w:rPr>
        <w:t xml:space="preserve">pour les organismes du secteur public définie par la loi du </w:t>
      </w:r>
      <w:hyperlink r:id="rId7" w:history="1">
        <w:r w:rsidRPr="00EA67DE">
          <w:rPr>
            <w:rStyle w:val="Hyperlink"/>
            <w:rFonts w:ascii="Arial" w:eastAsiaTheme="minorEastAsia" w:hAnsi="Arial" w:cs="Arial"/>
            <w:sz w:val="20"/>
            <w:szCs w:val="20"/>
          </w:rPr>
          <w:t>28 mai 2019</w:t>
        </w:r>
      </w:hyperlink>
      <w:r>
        <w:rPr>
          <w:rFonts w:ascii="Arial" w:eastAsiaTheme="minorEastAsia" w:hAnsi="Arial" w:cs="Arial"/>
          <w:sz w:val="20"/>
          <w:szCs w:val="20"/>
        </w:rPr>
        <w:t>.</w:t>
      </w:r>
    </w:p>
    <w:p w14:paraId="3F1F04F0" w14:textId="34B3B56F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L'accessibilité numérique</w:t>
      </w:r>
      <w:r>
        <w:rPr>
          <w:rFonts w:ascii="Arial" w:eastAsiaTheme="minorEastAsia" w:hAnsi="Arial" w:cs="Arial"/>
          <w:sz w:val="20"/>
          <w:szCs w:val="20"/>
        </w:rPr>
        <w:t xml:space="preserve"> est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un objectif majeur de ce projet.</w:t>
      </w:r>
    </w:p>
    <w:p w14:paraId="240D4182" w14:textId="6D4436DE" w:rsidR="002218F8" w:rsidRPr="002172B9" w:rsidRDefault="002218F8" w:rsidP="002172B9">
      <w:pPr>
        <w:pStyle w:val="Heading2"/>
      </w:pPr>
      <w:r w:rsidRPr="002172B9">
        <w:t>Conformité niveau légal</w:t>
      </w:r>
    </w:p>
    <w:p w14:paraId="2B96D54B" w14:textId="511D1874" w:rsidR="002218F8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Il est rappelé que le niveau légal de conformité est </w:t>
      </w:r>
      <w:r w:rsidR="009653E9">
        <w:rPr>
          <w:rFonts w:ascii="Arial" w:eastAsiaTheme="minorEastAsia" w:hAnsi="Arial" w:cs="Arial"/>
          <w:sz w:val="20"/>
          <w:szCs w:val="20"/>
        </w:rPr>
        <w:t xml:space="preserve">pour les sites web </w:t>
      </w:r>
      <w:r w:rsidRPr="001F1D0E">
        <w:rPr>
          <w:rFonts w:ascii="Arial" w:eastAsiaTheme="minorEastAsia" w:hAnsi="Arial" w:cs="Arial"/>
          <w:sz w:val="20"/>
          <w:szCs w:val="20"/>
        </w:rPr>
        <w:t xml:space="preserve">le niveau AA du </w:t>
      </w:r>
      <w:r w:rsidRPr="001F1D0E">
        <w:rPr>
          <w:rFonts w:ascii="Arial" w:eastAsiaTheme="minorEastAsia" w:hAnsi="Arial" w:cs="Arial"/>
          <w:i/>
          <w:iCs/>
          <w:sz w:val="20"/>
          <w:szCs w:val="20"/>
        </w:rPr>
        <w:t xml:space="preserve">référentiel général </w:t>
      </w:r>
      <w:r>
        <w:rPr>
          <w:rFonts w:ascii="Arial" w:eastAsiaTheme="minorEastAsia" w:hAnsi="Arial" w:cs="Arial"/>
          <w:i/>
          <w:iCs/>
          <w:sz w:val="20"/>
          <w:szCs w:val="20"/>
        </w:rPr>
        <w:t>d’amélioration de l’accessibilité</w:t>
      </w:r>
      <w:r w:rsidRPr="001F1D0E">
        <w:rPr>
          <w:rFonts w:ascii="Arial" w:eastAsiaTheme="minorEastAsia" w:hAnsi="Arial" w:cs="Arial"/>
          <w:i/>
          <w:iCs/>
          <w:sz w:val="20"/>
          <w:szCs w:val="20"/>
        </w:rPr>
        <w:t xml:space="preserve"> (RGAA) </w:t>
      </w:r>
      <w:r w:rsidRPr="001F1D0E">
        <w:rPr>
          <w:rFonts w:ascii="Arial" w:eastAsiaTheme="minorEastAsia" w:hAnsi="Arial" w:cs="Arial"/>
          <w:sz w:val="20"/>
          <w:szCs w:val="20"/>
        </w:rPr>
        <w:t>dans sa dernière version</w:t>
      </w:r>
      <w:r w:rsidR="009653E9">
        <w:rPr>
          <w:rFonts w:ascii="Arial" w:eastAsiaTheme="minorEastAsia" w:hAnsi="Arial" w:cs="Arial"/>
          <w:sz w:val="20"/>
          <w:szCs w:val="20"/>
        </w:rPr>
        <w:t xml:space="preserve"> et le niveau AA du </w:t>
      </w:r>
      <w:r w:rsidR="009653E9" w:rsidRPr="005067A4">
        <w:rPr>
          <w:rFonts w:ascii="Arial" w:eastAsiaTheme="minorEastAsia" w:hAnsi="Arial" w:cs="Arial"/>
          <w:i/>
          <w:sz w:val="20"/>
          <w:szCs w:val="20"/>
        </w:rPr>
        <w:t>référentiel d’évaluation de l’accessibilité des applications mobiles</w:t>
      </w:r>
      <w:r w:rsidR="009653E9">
        <w:rPr>
          <w:rFonts w:ascii="Arial" w:eastAsiaTheme="minorEastAsia" w:hAnsi="Arial" w:cs="Arial"/>
          <w:sz w:val="20"/>
          <w:szCs w:val="20"/>
        </w:rPr>
        <w:t xml:space="preserve"> (RAAM) dans sa dernière version. Ces référentiels sont publiés sur le site accessibilite.public.lu.</w:t>
      </w:r>
    </w:p>
    <w:p w14:paraId="54817982" w14:textId="78DC847F" w:rsidR="00AE642D" w:rsidRPr="001F1D0E" w:rsidRDefault="00AE642D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 le </w:t>
      </w:r>
      <w:r w:rsidR="00C45702">
        <w:rPr>
          <w:rFonts w:ascii="Arial" w:eastAsiaTheme="minorEastAsia" w:hAnsi="Arial" w:cs="Arial"/>
          <w:sz w:val="20"/>
          <w:szCs w:val="20"/>
        </w:rPr>
        <w:t>TITULAIRE DU MARCHÉ</w:t>
      </w:r>
      <w:r>
        <w:rPr>
          <w:rFonts w:ascii="Arial" w:eastAsiaTheme="minorEastAsia" w:hAnsi="Arial" w:cs="Arial"/>
          <w:sz w:val="20"/>
          <w:szCs w:val="20"/>
        </w:rPr>
        <w:t xml:space="preserve"> ne peut se référer au RGAA</w:t>
      </w:r>
      <w:r w:rsidR="009653E9">
        <w:rPr>
          <w:rFonts w:ascii="Arial" w:eastAsiaTheme="minorEastAsia" w:hAnsi="Arial" w:cs="Arial"/>
          <w:sz w:val="20"/>
          <w:szCs w:val="20"/>
        </w:rPr>
        <w:t xml:space="preserve"> ou au RAAM</w:t>
      </w:r>
      <w:r>
        <w:rPr>
          <w:rFonts w:ascii="Arial" w:eastAsiaTheme="minorEastAsia" w:hAnsi="Arial" w:cs="Arial"/>
          <w:sz w:val="20"/>
          <w:szCs w:val="20"/>
        </w:rPr>
        <w:t xml:space="preserve">, la conformité devra alors être évaluée par rapport à la norme européenne </w:t>
      </w:r>
      <w:hyperlink r:id="rId8" w:history="1">
        <w:r w:rsidRPr="00AE642D">
          <w:rPr>
            <w:rStyle w:val="Hyperlink"/>
            <w:rFonts w:ascii="Arial" w:eastAsiaTheme="minorEastAsia" w:hAnsi="Arial" w:cs="Arial"/>
            <w:sz w:val="20"/>
            <w:szCs w:val="20"/>
          </w:rPr>
          <w:t>EN 301 549 version 3.2.1</w:t>
        </w:r>
      </w:hyperlink>
      <w:r>
        <w:rPr>
          <w:rFonts w:ascii="Arial" w:eastAsiaTheme="minorEastAsia" w:hAnsi="Arial" w:cs="Arial"/>
          <w:sz w:val="20"/>
          <w:szCs w:val="20"/>
        </w:rPr>
        <w:t>, en particulier aux critères répertoriés dans la table A.1 de l’annexe A.</w:t>
      </w:r>
    </w:p>
    <w:p w14:paraId="061F5336" w14:textId="77777777" w:rsidR="002218F8" w:rsidRPr="002172B9" w:rsidRDefault="002172B9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Le</w:t>
      </w:r>
      <w:r w:rsidR="002218F8" w:rsidRPr="001F1D0E">
        <w:rPr>
          <w:rFonts w:ascii="Arial" w:eastAsiaTheme="minorEastAsia" w:hAnsi="Arial" w:cs="Arial"/>
          <w:sz w:val="20"/>
          <w:szCs w:val="20"/>
        </w:rPr>
        <w:t xml:space="preserve"> </w:t>
      </w:r>
      <w:r w:rsidR="00C45702">
        <w:rPr>
          <w:rFonts w:ascii="Arial" w:eastAsiaTheme="minorEastAsia" w:hAnsi="Arial" w:cs="Arial"/>
          <w:sz w:val="20"/>
          <w:szCs w:val="20"/>
        </w:rPr>
        <w:t>TITULAIRE DU MARCHÉ</w:t>
      </w:r>
      <w:r w:rsidR="002218F8" w:rsidRPr="001F1D0E">
        <w:rPr>
          <w:rFonts w:ascii="Arial" w:eastAsiaTheme="minorEastAsia" w:hAnsi="Arial" w:cs="Arial"/>
          <w:sz w:val="20"/>
          <w:szCs w:val="20"/>
        </w:rPr>
        <w:t xml:space="preserve"> devra s’engager à mobiliser tous les moyens nécessaires pour tendre vers ce niveau de conformité légal.</w:t>
      </w:r>
    </w:p>
    <w:p w14:paraId="7AC7F011" w14:textId="77777777" w:rsidR="002218F8" w:rsidRPr="00AF757A" w:rsidRDefault="002218F8" w:rsidP="002172B9">
      <w:pPr>
        <w:pStyle w:val="Heading2"/>
      </w:pPr>
      <w:r w:rsidRPr="00AF757A">
        <w:t>Exigences minimales</w:t>
      </w:r>
    </w:p>
    <w:p w14:paraId="6351B7E1" w14:textId="7777777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Compte tenu</w:t>
      </w:r>
      <w:r>
        <w:rPr>
          <w:rFonts w:ascii="Arial" w:eastAsiaTheme="minorEastAsia" w:hAnsi="Arial" w:cs="Arial"/>
          <w:sz w:val="20"/>
          <w:szCs w:val="20"/>
        </w:rPr>
        <w:t xml:space="preserve"> des caractéristiques du projet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telles que définies dans le présent marché, le </w:t>
      </w:r>
      <w:r w:rsidR="00C45702">
        <w:rPr>
          <w:rFonts w:ascii="Arial" w:eastAsiaTheme="minorEastAsia" w:hAnsi="Arial" w:cs="Arial"/>
          <w:sz w:val="20"/>
          <w:szCs w:val="20"/>
        </w:rPr>
        <w:t>TITULAIRE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devra s’assurer que les développements, contenus et fonctionnalités présenteront un niveau de conformité </w:t>
      </w:r>
      <w:r w:rsidR="002172B9">
        <w:rPr>
          <w:rFonts w:ascii="Arial" w:eastAsiaTheme="minorEastAsia" w:hAnsi="Arial" w:cs="Arial"/>
          <w:sz w:val="20"/>
          <w:szCs w:val="20"/>
        </w:rPr>
        <w:t>au moins égal à 80%</w:t>
      </w:r>
      <w:r w:rsidRPr="001F1D0E">
        <w:rPr>
          <w:rFonts w:ascii="Arial" w:eastAsiaTheme="minorEastAsia" w:hAnsi="Arial" w:cs="Arial"/>
          <w:sz w:val="20"/>
          <w:szCs w:val="20"/>
        </w:rPr>
        <w:t>.</w:t>
      </w:r>
    </w:p>
    <w:p w14:paraId="51082EBE" w14:textId="77777777" w:rsidR="002218F8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Cette exigence minimale ne remplace pas </w:t>
      </w:r>
      <w:r w:rsidR="00605530">
        <w:rPr>
          <w:rFonts w:ascii="Arial" w:eastAsiaTheme="minorEastAsia" w:hAnsi="Arial" w:cs="Arial"/>
          <w:sz w:val="20"/>
          <w:szCs w:val="20"/>
        </w:rPr>
        <w:t>l'exigence liée au niveau légal (</w:t>
      </w:r>
      <w:r w:rsidR="00143676">
        <w:rPr>
          <w:rFonts w:ascii="Arial" w:eastAsiaTheme="minorEastAsia" w:hAnsi="Arial" w:cs="Arial"/>
          <w:sz w:val="20"/>
          <w:szCs w:val="20"/>
        </w:rPr>
        <w:t xml:space="preserve">soit un </w:t>
      </w:r>
      <w:r w:rsidR="00BB76B9">
        <w:rPr>
          <w:rFonts w:ascii="Arial" w:eastAsiaTheme="minorEastAsia" w:hAnsi="Arial" w:cs="Arial"/>
          <w:sz w:val="20"/>
          <w:szCs w:val="20"/>
        </w:rPr>
        <w:t xml:space="preserve">taux de conformité de </w:t>
      </w:r>
      <w:r w:rsidR="00605530">
        <w:rPr>
          <w:rFonts w:ascii="Arial" w:eastAsiaTheme="minorEastAsia" w:hAnsi="Arial" w:cs="Arial"/>
          <w:sz w:val="20"/>
          <w:szCs w:val="20"/>
        </w:rPr>
        <w:t xml:space="preserve">100 %), </w:t>
      </w:r>
      <w:r w:rsidRPr="001F1D0E">
        <w:rPr>
          <w:rFonts w:ascii="Arial" w:eastAsiaTheme="minorEastAsia" w:hAnsi="Arial" w:cs="Arial"/>
          <w:sz w:val="20"/>
          <w:szCs w:val="20"/>
        </w:rPr>
        <w:t>mais constitue le seuil en deçà duquel une défaillance du prestataire pourrait être constatée.</w:t>
      </w:r>
    </w:p>
    <w:p w14:paraId="41F62077" w14:textId="77777777" w:rsidR="00605530" w:rsidRDefault="00BB76B9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Ce niveau d’exigence minimal concerne toutes les fonctionnalités et contenus développés par le </w:t>
      </w:r>
      <w:r w:rsidR="00C45702">
        <w:rPr>
          <w:rFonts w:ascii="Arial" w:eastAsiaTheme="minorEastAsia" w:hAnsi="Arial" w:cs="Arial"/>
          <w:sz w:val="20"/>
          <w:szCs w:val="20"/>
        </w:rPr>
        <w:t>TITULAIRE DU MARCHÉ</w:t>
      </w:r>
      <w:r>
        <w:rPr>
          <w:rFonts w:ascii="Arial" w:eastAsiaTheme="minorEastAsia" w:hAnsi="Arial" w:cs="Arial"/>
          <w:sz w:val="20"/>
          <w:szCs w:val="20"/>
        </w:rPr>
        <w:t xml:space="preserve"> ainsi que </w:t>
      </w:r>
      <w:r w:rsidR="00F75718">
        <w:rPr>
          <w:rFonts w:ascii="Arial" w:eastAsiaTheme="minorEastAsia" w:hAnsi="Arial" w:cs="Arial"/>
          <w:sz w:val="20"/>
          <w:szCs w:val="20"/>
        </w:rPr>
        <w:t>la capacité</w:t>
      </w:r>
      <w:r>
        <w:rPr>
          <w:rFonts w:ascii="Arial" w:eastAsiaTheme="minorEastAsia" w:hAnsi="Arial" w:cs="Arial"/>
          <w:sz w:val="20"/>
          <w:szCs w:val="20"/>
        </w:rPr>
        <w:t xml:space="preserve"> des éventuelles fonctions d’édition de contenu à produire des contenus conformes. </w:t>
      </w:r>
    </w:p>
    <w:p w14:paraId="1A484F39" w14:textId="77777777" w:rsidR="00BB76B9" w:rsidRDefault="00BB76B9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Ce niveau d’exigence minimal ne concerne pas les contenus produits par les équipes de l’ORGANISME ainsi que les </w:t>
      </w:r>
      <w:hyperlink r:id="rId9" w:anchor="contenus-exempt%C3%A9s" w:history="1">
        <w:r w:rsidRPr="00F75718">
          <w:rPr>
            <w:rStyle w:val="Hyperlink"/>
            <w:rFonts w:ascii="Arial" w:eastAsiaTheme="minorEastAsia" w:hAnsi="Arial" w:cs="Arial"/>
            <w:sz w:val="20"/>
            <w:szCs w:val="20"/>
          </w:rPr>
          <w:t>contenus qui feraient l’</w:t>
        </w:r>
        <w:r w:rsidR="00F75718" w:rsidRPr="00F75718">
          <w:rPr>
            <w:rStyle w:val="Hyperlink"/>
            <w:rFonts w:ascii="Arial" w:eastAsiaTheme="minorEastAsia" w:hAnsi="Arial" w:cs="Arial"/>
            <w:sz w:val="20"/>
            <w:szCs w:val="20"/>
          </w:rPr>
          <w:t>objet d’exemptions</w:t>
        </w:r>
      </w:hyperlink>
      <w:r w:rsidR="00F75718"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telles qu’elles sont définies dans la loi.</w:t>
      </w:r>
    </w:p>
    <w:p w14:paraId="6313F6F3" w14:textId="77777777" w:rsidR="00BB76B9" w:rsidRDefault="00F7571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Pour toute </w:t>
      </w:r>
      <w:r w:rsidR="00C45702">
        <w:rPr>
          <w:rFonts w:ascii="Arial" w:eastAsiaTheme="minorEastAsia" w:hAnsi="Arial" w:cs="Arial"/>
          <w:sz w:val="20"/>
          <w:szCs w:val="20"/>
        </w:rPr>
        <w:t xml:space="preserve">fonctionnalité ou contenu non-conforme dont la mise en conformité représenterait éventuellement une </w:t>
      </w:r>
      <w:hyperlink r:id="rId10" w:anchor="d%C3%A9rogation-pour-charge-disproportionn%C3%A9e" w:history="1">
        <w:r w:rsidR="00C45702" w:rsidRPr="00C45702">
          <w:rPr>
            <w:rStyle w:val="Hyperlink"/>
            <w:rFonts w:ascii="Arial" w:eastAsiaTheme="minorEastAsia" w:hAnsi="Arial" w:cs="Arial"/>
            <w:sz w:val="20"/>
            <w:szCs w:val="20"/>
          </w:rPr>
          <w:t>charge de travail disproportionnée</w:t>
        </w:r>
      </w:hyperlink>
      <w:r w:rsidR="00C45702">
        <w:rPr>
          <w:rFonts w:ascii="Arial" w:eastAsiaTheme="minorEastAsia" w:hAnsi="Arial" w:cs="Arial"/>
          <w:sz w:val="20"/>
          <w:szCs w:val="20"/>
        </w:rPr>
        <w:t xml:space="preserve"> pour le TITULAIRE DU MARCHÉ, toute dérogation pour charge disproportionnée devra être validée par l’ORGANISME.</w:t>
      </w:r>
    </w:p>
    <w:p w14:paraId="0FF5BFCB" w14:textId="77777777" w:rsidR="002218F8" w:rsidRPr="00AF757A" w:rsidRDefault="002218F8" w:rsidP="002172B9">
      <w:pPr>
        <w:pStyle w:val="Heading2"/>
      </w:pPr>
      <w:r w:rsidRPr="00AF757A">
        <w:t>Vérification</w:t>
      </w:r>
    </w:p>
    <w:p w14:paraId="61CB775B" w14:textId="7777777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Il est rappelé que l'</w:t>
      </w:r>
      <w:r>
        <w:rPr>
          <w:rFonts w:ascii="Arial" w:eastAsiaTheme="minorEastAsia" w:hAnsi="Arial" w:cs="Arial"/>
          <w:sz w:val="20"/>
          <w:szCs w:val="20"/>
        </w:rPr>
        <w:t>ORGANISME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se réserve le droit de faire vérifier, au moyen d’audits ou de recette, par un prestataire expert </w:t>
      </w:r>
      <w:r w:rsidR="002172B9">
        <w:rPr>
          <w:rFonts w:ascii="Arial" w:eastAsiaTheme="minorEastAsia" w:hAnsi="Arial" w:cs="Arial"/>
          <w:sz w:val="20"/>
          <w:szCs w:val="20"/>
        </w:rPr>
        <w:t>en accessibilité numérique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, le respect de ces exigences minimales lors de toutes les phases du projet et des livraisons (maquettes, </w:t>
      </w:r>
      <w:r>
        <w:rPr>
          <w:rFonts w:ascii="Arial" w:eastAsiaTheme="minorEastAsia" w:hAnsi="Arial" w:cs="Arial"/>
          <w:sz w:val="20"/>
          <w:szCs w:val="20"/>
        </w:rPr>
        <w:t>templates</w:t>
      </w:r>
      <w:r w:rsidRPr="001F1D0E">
        <w:rPr>
          <w:rFonts w:ascii="Arial" w:eastAsiaTheme="minorEastAsia" w:hAnsi="Arial" w:cs="Arial"/>
          <w:sz w:val="20"/>
          <w:szCs w:val="20"/>
        </w:rPr>
        <w:t>, développements, etc.).</w:t>
      </w:r>
    </w:p>
    <w:p w14:paraId="55AEC921" w14:textId="77777777" w:rsidR="002218F8" w:rsidRPr="009B6ACA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9B6ACA">
        <w:rPr>
          <w:rFonts w:ascii="Arial" w:eastAsiaTheme="minorEastAsia" w:hAnsi="Arial" w:cs="Arial"/>
          <w:sz w:val="20"/>
          <w:szCs w:val="20"/>
        </w:rPr>
        <w:t xml:space="preserve">Dans le cas où le niveau minimal requis ne serait pas atteint du fait d’une défaillance du </w:t>
      </w:r>
      <w:r w:rsidR="006B198A">
        <w:rPr>
          <w:rFonts w:ascii="Arial" w:eastAsiaTheme="minorEastAsia" w:hAnsi="Arial" w:cs="Arial"/>
          <w:sz w:val="20"/>
          <w:szCs w:val="20"/>
        </w:rPr>
        <w:t>TITULAIRE DU MARCHÉ</w:t>
      </w:r>
      <w:r w:rsidRPr="009B6ACA">
        <w:rPr>
          <w:rFonts w:ascii="Arial" w:eastAsiaTheme="minorEastAsia" w:hAnsi="Arial" w:cs="Arial"/>
          <w:sz w:val="20"/>
          <w:szCs w:val="20"/>
        </w:rPr>
        <w:t>, celui-ci devra procéder à toutes les actions correctives nécessaires.</w:t>
      </w:r>
    </w:p>
    <w:p w14:paraId="2D66E67C" w14:textId="77777777" w:rsidR="002218F8" w:rsidRPr="001F1D0E" w:rsidRDefault="002218F8" w:rsidP="002218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6ACA">
        <w:rPr>
          <w:rFonts w:ascii="Arial" w:hAnsi="Arial" w:cs="Arial"/>
          <w:sz w:val="20"/>
          <w:szCs w:val="20"/>
        </w:rPr>
        <w:t xml:space="preserve">Ces actions correctives seront à </w:t>
      </w:r>
      <w:r w:rsidR="006B198A">
        <w:rPr>
          <w:rFonts w:ascii="Arial" w:hAnsi="Arial" w:cs="Arial"/>
          <w:sz w:val="20"/>
          <w:szCs w:val="20"/>
        </w:rPr>
        <w:t>la charge du TITULAIRE DU MARCHÉ</w:t>
      </w:r>
      <w:r w:rsidRPr="009B6ACA">
        <w:rPr>
          <w:rFonts w:ascii="Arial" w:hAnsi="Arial" w:cs="Arial"/>
          <w:sz w:val="20"/>
          <w:szCs w:val="20"/>
        </w:rPr>
        <w:t>.</w:t>
      </w:r>
    </w:p>
    <w:p w14:paraId="5FA4E150" w14:textId="77777777" w:rsidR="002218F8" w:rsidRPr="00AF757A" w:rsidRDefault="002218F8" w:rsidP="002172B9">
      <w:pPr>
        <w:pStyle w:val="Heading2"/>
      </w:pPr>
      <w:r w:rsidRPr="00AF757A">
        <w:t xml:space="preserve">Accompagnement expert de </w:t>
      </w:r>
      <w:r>
        <w:t>l’ORGANISME</w:t>
      </w:r>
    </w:p>
    <w:p w14:paraId="536491BA" w14:textId="7777777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Il est rappelé que </w:t>
      </w:r>
      <w:r>
        <w:rPr>
          <w:rFonts w:ascii="Arial" w:eastAsiaTheme="minorEastAsia" w:hAnsi="Arial" w:cs="Arial"/>
          <w:sz w:val="20"/>
          <w:szCs w:val="20"/>
        </w:rPr>
        <w:t>l’ORGANISME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se réserve le droit de recourir à u</w:t>
      </w:r>
      <w:r w:rsidR="002172B9">
        <w:rPr>
          <w:rFonts w:ascii="Arial" w:eastAsiaTheme="minorEastAsia" w:hAnsi="Arial" w:cs="Arial"/>
          <w:sz w:val="20"/>
          <w:szCs w:val="20"/>
        </w:rPr>
        <w:t>n prestataire externe, expert en accessibilité numérique</w:t>
      </w:r>
      <w:r w:rsidRPr="001F1D0E">
        <w:rPr>
          <w:rFonts w:ascii="Arial" w:eastAsiaTheme="minorEastAsia" w:hAnsi="Arial" w:cs="Arial"/>
          <w:sz w:val="20"/>
          <w:szCs w:val="20"/>
        </w:rPr>
        <w:t>, afin de l'accompagner dans toutes les phases de réalisation du projet.</w:t>
      </w:r>
    </w:p>
    <w:p w14:paraId="54377A57" w14:textId="73E9ADDE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Dans ce cas ce prestataire sera le contact technique avec les équipes du </w:t>
      </w:r>
      <w:r w:rsidR="006B198A">
        <w:rPr>
          <w:rFonts w:ascii="Arial" w:eastAsiaTheme="minorEastAsia" w:hAnsi="Arial" w:cs="Arial"/>
          <w:sz w:val="20"/>
          <w:szCs w:val="20"/>
        </w:rPr>
        <w:t>TITULAIRE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pour tout ce qui concerne l'accessibilité et la conformité au RGAA </w:t>
      </w:r>
      <w:r w:rsidR="00554EFB">
        <w:rPr>
          <w:rFonts w:ascii="Arial" w:eastAsiaTheme="minorEastAsia" w:hAnsi="Arial" w:cs="Arial"/>
          <w:sz w:val="20"/>
          <w:szCs w:val="20"/>
        </w:rPr>
        <w:t xml:space="preserve">ou au RAAM </w:t>
      </w:r>
      <w:r w:rsidRPr="001F1D0E">
        <w:rPr>
          <w:rFonts w:ascii="Arial" w:eastAsiaTheme="minorEastAsia" w:hAnsi="Arial" w:cs="Arial"/>
          <w:sz w:val="20"/>
          <w:szCs w:val="20"/>
        </w:rPr>
        <w:t>de l'ensemble du projet.</w:t>
      </w:r>
    </w:p>
    <w:p w14:paraId="6F5D396A" w14:textId="77777777" w:rsidR="002218F8" w:rsidRPr="00AF757A" w:rsidRDefault="002218F8" w:rsidP="002172B9">
      <w:pPr>
        <w:pStyle w:val="Heading2"/>
      </w:pPr>
      <w:r w:rsidRPr="00AF757A">
        <w:lastRenderedPageBreak/>
        <w:t>Éléments de réponse</w:t>
      </w:r>
    </w:p>
    <w:p w14:paraId="6670813B" w14:textId="7777777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Les candidats devront fournir dans le cadre du présent marché tous les renseignements nécessaires en indiquant précisément la méthodologie, les processus et les moyens mis en place pour satisfaire à ces exigences.</w:t>
      </w:r>
    </w:p>
    <w:p w14:paraId="051A99AA" w14:textId="043AB8F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Une attention particulière sera portée à la méthodologie et </w:t>
      </w:r>
      <w:r w:rsidR="00A24079">
        <w:rPr>
          <w:rFonts w:ascii="Arial" w:eastAsiaTheme="minorEastAsia" w:hAnsi="Arial" w:cs="Arial"/>
          <w:sz w:val="20"/>
          <w:szCs w:val="20"/>
        </w:rPr>
        <w:t>aux</w:t>
      </w:r>
      <w:r w:rsidR="00A24079" w:rsidRPr="001F1D0E">
        <w:rPr>
          <w:rFonts w:ascii="Arial" w:eastAsiaTheme="minorEastAsia" w:hAnsi="Arial" w:cs="Arial"/>
          <w:sz w:val="20"/>
          <w:szCs w:val="20"/>
        </w:rPr>
        <w:t xml:space="preserve"> </w:t>
      </w:r>
      <w:r w:rsidRPr="001F1D0E">
        <w:rPr>
          <w:rFonts w:ascii="Arial" w:eastAsiaTheme="minorEastAsia" w:hAnsi="Arial" w:cs="Arial"/>
          <w:sz w:val="20"/>
          <w:szCs w:val="20"/>
        </w:rPr>
        <w:t>processus mis en place pour garantir la conformité des développements, contenus et fonctionnalités présentés à la livraison</w:t>
      </w:r>
      <w:r w:rsidR="00A24079">
        <w:rPr>
          <w:rFonts w:ascii="Arial" w:eastAsiaTheme="minorEastAsia" w:hAnsi="Arial" w:cs="Arial"/>
          <w:sz w:val="20"/>
          <w:szCs w:val="20"/>
        </w:rPr>
        <w:t> ;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cela peut comporter par exemple (liste non limitative) :</w:t>
      </w:r>
    </w:p>
    <w:p w14:paraId="6885D171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Les phases de contrôles (conception, développement, recette avant livraison…) ;</w:t>
      </w:r>
    </w:p>
    <w:p w14:paraId="70C0CF37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Les moyens des contrôles (audit interne, audit par un tiers externe) ;</w:t>
      </w:r>
    </w:p>
    <w:p w14:paraId="2FDA51CA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La matérialisation des contrôles (relevé d’audit, rapport d’audit, attestation de conformité) ;</w:t>
      </w:r>
    </w:p>
    <w:p w14:paraId="65807FEE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 ou les outils utilisés aux fins des contrôles (outils automatiques, technologies d’assistances) ;</w:t>
      </w:r>
    </w:p>
    <w:p w14:paraId="0DB8CD97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Si des attestations de conformité sont proposées, un exemple d’attestation devra être fourni.</w:t>
      </w:r>
    </w:p>
    <w:p w14:paraId="05B3E490" w14:textId="77777777" w:rsidR="002218F8" w:rsidRPr="001F1D0E" w:rsidRDefault="002218F8" w:rsidP="002172B9">
      <w:pPr>
        <w:pStyle w:val="Heading2"/>
        <w:rPr>
          <w:rFonts w:eastAsiaTheme="minorEastAsia"/>
        </w:rPr>
      </w:pPr>
      <w:r w:rsidRPr="001F1D0E">
        <w:rPr>
          <w:rFonts w:eastAsiaTheme="minorEastAsia"/>
        </w:rPr>
        <w:t>Points de vigilance sur les technologies</w:t>
      </w:r>
    </w:p>
    <w:p w14:paraId="61541F75" w14:textId="5BD67E92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Certains besoins définis par le présent document et qui seraient indispensables au projet peuvent nécessiter l’usage de technologies particulières qu’il peut être complexe </w:t>
      </w:r>
      <w:r w:rsidR="00A24079">
        <w:rPr>
          <w:rFonts w:ascii="Arial" w:eastAsiaTheme="minorEastAsia" w:hAnsi="Arial" w:cs="Arial"/>
          <w:sz w:val="20"/>
          <w:szCs w:val="20"/>
        </w:rPr>
        <w:t>de</w:t>
      </w:r>
      <w:r w:rsidR="00A24079" w:rsidRPr="001F1D0E">
        <w:rPr>
          <w:rFonts w:ascii="Arial" w:eastAsiaTheme="minorEastAsia" w:hAnsi="Arial" w:cs="Arial"/>
          <w:sz w:val="20"/>
          <w:szCs w:val="20"/>
        </w:rPr>
        <w:t xml:space="preserve"> </w:t>
      </w:r>
      <w:r w:rsidRPr="001F1D0E">
        <w:rPr>
          <w:rFonts w:ascii="Arial" w:eastAsiaTheme="minorEastAsia" w:hAnsi="Arial" w:cs="Arial"/>
          <w:sz w:val="20"/>
          <w:szCs w:val="20"/>
        </w:rPr>
        <w:t>rendre parfaitement accessibles.</w:t>
      </w:r>
    </w:p>
    <w:p w14:paraId="7347BFB7" w14:textId="77777777" w:rsidR="002218F8" w:rsidRPr="001F1D0E" w:rsidRDefault="002172B9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Le cas échéant</w:t>
      </w:r>
      <w:r w:rsidR="002218F8" w:rsidRPr="001F1D0E">
        <w:rPr>
          <w:rFonts w:ascii="Arial" w:eastAsiaTheme="minorEastAsia" w:hAnsi="Arial" w:cs="Arial"/>
          <w:sz w:val="20"/>
          <w:szCs w:val="20"/>
        </w:rPr>
        <w:t>, il appartient au candidat de décrire précisément :</w:t>
      </w:r>
    </w:p>
    <w:p w14:paraId="2292C51F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Les points de complexité ou de blocage inhérents à l’utilisation de ces technologies.</w:t>
      </w:r>
    </w:p>
    <w:p w14:paraId="73A0F0A1" w14:textId="77777777" w:rsidR="002218F8" w:rsidRPr="002172B9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Les alternatives, lorsqu’elles sont envisageables, qu’il serait possible de proposer afin d’assurer à l’utilisateur l’accès à l’information.</w:t>
      </w:r>
    </w:p>
    <w:p w14:paraId="003C3D70" w14:textId="77777777" w:rsidR="009E0598" w:rsidRDefault="002218F8" w:rsidP="002172B9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Le candidat est libre d’apporter toute autre précision, document ou exemple de livrables qu’il jugerait pertinent.</w:t>
      </w:r>
    </w:p>
    <w:p w14:paraId="220DA95D" w14:textId="77777777" w:rsidR="006B198A" w:rsidRPr="002172B9" w:rsidRDefault="006B198A" w:rsidP="002172B9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sectPr w:rsidR="006B198A" w:rsidRPr="00217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2A270" w14:textId="77777777" w:rsidR="00710EFE" w:rsidRDefault="00710EFE" w:rsidP="00710EFE">
      <w:pPr>
        <w:spacing w:after="0" w:line="240" w:lineRule="auto"/>
      </w:pPr>
      <w:r>
        <w:separator/>
      </w:r>
    </w:p>
  </w:endnote>
  <w:endnote w:type="continuationSeparator" w:id="0">
    <w:p w14:paraId="4AD7ECAB" w14:textId="77777777" w:rsidR="00710EFE" w:rsidRDefault="00710EFE" w:rsidP="0071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1A3DD" w14:textId="77777777" w:rsidR="00710EFE" w:rsidRDefault="00710E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9B358" w14:textId="77777777" w:rsidR="00710EFE" w:rsidRDefault="00710E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A41FC" w14:textId="77777777" w:rsidR="00710EFE" w:rsidRDefault="00710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12823" w14:textId="77777777" w:rsidR="00710EFE" w:rsidRDefault="00710EFE" w:rsidP="00710EFE">
      <w:pPr>
        <w:spacing w:after="0" w:line="240" w:lineRule="auto"/>
      </w:pPr>
      <w:r>
        <w:separator/>
      </w:r>
    </w:p>
  </w:footnote>
  <w:footnote w:type="continuationSeparator" w:id="0">
    <w:p w14:paraId="076BCB19" w14:textId="77777777" w:rsidR="00710EFE" w:rsidRDefault="00710EFE" w:rsidP="0071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81777" w14:textId="77777777" w:rsidR="00710EFE" w:rsidRDefault="00710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0001" w14:textId="77777777" w:rsidR="00710EFE" w:rsidRDefault="00710E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4047" w14:textId="77777777" w:rsidR="00710EFE" w:rsidRDefault="00710E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5E8"/>
    <w:multiLevelType w:val="hybridMultilevel"/>
    <w:tmpl w:val="2E66617C"/>
    <w:lvl w:ilvl="0" w:tplc="4C5A8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CB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4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E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81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02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C8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D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0D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B0B87"/>
    <w:multiLevelType w:val="multilevel"/>
    <w:tmpl w:val="7144C7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F8"/>
    <w:rsid w:val="00106F8E"/>
    <w:rsid w:val="00143676"/>
    <w:rsid w:val="002172B9"/>
    <w:rsid w:val="002218F8"/>
    <w:rsid w:val="003127E2"/>
    <w:rsid w:val="003339FA"/>
    <w:rsid w:val="005067A4"/>
    <w:rsid w:val="00554EFB"/>
    <w:rsid w:val="00605530"/>
    <w:rsid w:val="006B198A"/>
    <w:rsid w:val="00710EFE"/>
    <w:rsid w:val="007C5AEF"/>
    <w:rsid w:val="009653E9"/>
    <w:rsid w:val="009E0598"/>
    <w:rsid w:val="00A24079"/>
    <w:rsid w:val="00AE642D"/>
    <w:rsid w:val="00BB76B9"/>
    <w:rsid w:val="00C45702"/>
    <w:rsid w:val="00DD66F5"/>
    <w:rsid w:val="00EA67DE"/>
    <w:rsid w:val="00F44B21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82D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8F8"/>
  </w:style>
  <w:style w:type="paragraph" w:styleId="Heading1">
    <w:name w:val="heading 1"/>
    <w:basedOn w:val="Normal"/>
    <w:next w:val="Normal"/>
    <w:link w:val="Heading1Char"/>
    <w:uiPriority w:val="9"/>
    <w:qFormat/>
    <w:rsid w:val="002172B9"/>
    <w:pPr>
      <w:keepNext/>
      <w:keepLines/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2B9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B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B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B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B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B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B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B9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72B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B2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B21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B21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B21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B2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B21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44B2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4B21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B2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B2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44B21"/>
    <w:rPr>
      <w:b/>
      <w:bCs/>
    </w:rPr>
  </w:style>
  <w:style w:type="character" w:styleId="Emphasis">
    <w:name w:val="Emphasis"/>
    <w:basedOn w:val="DefaultParagraphFont"/>
    <w:uiPriority w:val="20"/>
    <w:qFormat/>
    <w:rsid w:val="00F44B21"/>
    <w:rPr>
      <w:i/>
      <w:iCs/>
    </w:rPr>
  </w:style>
  <w:style w:type="paragraph" w:styleId="NoSpacing">
    <w:name w:val="No Spacing"/>
    <w:uiPriority w:val="1"/>
    <w:qFormat/>
    <w:rsid w:val="00F44B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4B21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4B21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B2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B21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4B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4B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B2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44B21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44B2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B21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2218F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218F8"/>
  </w:style>
  <w:style w:type="character" w:styleId="Hyperlink">
    <w:name w:val="Hyperlink"/>
    <w:basedOn w:val="DefaultParagraphFont"/>
    <w:uiPriority w:val="99"/>
    <w:unhideWhenUsed/>
    <w:rsid w:val="002218F8"/>
    <w:rPr>
      <w:color w:val="6EAC1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6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FE"/>
  </w:style>
  <w:style w:type="paragraph" w:styleId="Footer">
    <w:name w:val="footer"/>
    <w:basedOn w:val="Normal"/>
    <w:link w:val="Foot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i.org/deliver/etsi_en/301500_301599/301549/03.02.01_60/en_301549v030201p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gilux.public.lu/eli/etat/leg/loi/2019/05/28/a373/j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ccessibilite.public.lu/fr/oblig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ibilite.public.lu/fr/obligation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798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2023-03-10T16:27:00Z</dcterms:created>
  <dcterms:modified xsi:type="dcterms:W3CDTF">2023-03-10T16:27:00Z</dcterms:modified>
</cp:coreProperties>
</file>