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Pokemon Card People/Books/Objects List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People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Baron de Montesquieu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Voltaire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Thomas Jefferson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Cesare Beccaria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Jean-Jacques Rousseau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Mary Wollstonecraft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Thomas Hobbs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John Locke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Thomas Pain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Abigail Adams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Fredrick the Great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Catherine the Great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David Hume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Olympe de Gouges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Denis Diderot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Books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Candide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Spirit of the Laws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Social Contract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Common Sense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Vindication of the Rights of Women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Two Treaties of Government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Leviathan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On Crimes and Punishment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Wealth of Nations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Encyclopédie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The Republic of Letters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180" w:before="180" w:lineRule="auto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Events/Items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American Revolution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French Revolution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Magna Carta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English Bill of Rights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Glorious Revolution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Declaration of Independence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Separation of Powers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Natural Rights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Absolutism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Rights of the Accused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Salons/coffeehouse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Constitutional monarchy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Printing press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Debating Societies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