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Document 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Source: Excerpt from an English play called Everyman, written by an unknown author in 1485.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Note: THough written in 1485, which was during the renaissance period, these lines carry a message right out of the middle ages.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“Ye [man] think sin in the beginning full sweet,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which in the end causeth thy soul to weep,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when the body lieth in clay.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Here shall you see how fellowship and jollity,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Both strength, pleasure, and beauty,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will fade from thee as flower in May. For ye shall hear, how our Heaven-King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Calleth Everyman to a general reckoning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Give audience, and hear what he doth say.”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*Judgement Day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Source: Excerpt from Act II, Scene II of Hamlet by William Shakespeare, 1801.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What a piece of work is a man! How noble in reason! How infinite in faculty! In form and moving how express and admirable! In action how like an angel! In apprehension how like a god! The beauty of the world! The paragon of animals!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Document Analysis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is everyman?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everyman’s ideas about good times change as he gets older?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is the heaven-king and what is the “general reckoning”?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Shakespeare mean when he says, “What a piece of work is a man!”?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some of man’s special qualities, according to Shakespeare?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these two passages show how the renaissance changed man’s view of how he should live life?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