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Rikki Tikki Tavi Character Chart/ Theme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theme of a story can be determined by the central character’s actions, dialogue, and personal thoughts. What do you think is the theme of Rikki-Tikki-Tavi? Think of one word, then create the theme statement featuring that word. The theme statement should be general and can be applied to other works of literature.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Topic (What?):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 Statement: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Character traits: Complete the following character chart for Rudyard Kipling’s “Rikki Tikki Tavi”.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Rikki-Tikki-Tavi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Darzee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Nagaina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Teddy’s Father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Teddy’s Mother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Character Trait(one word):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Evidence (Quote):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