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Beta — Document Index</w:t>
      </w:r>
    </w:p>
    <w:p>
      <w:pPr>
        <w:pStyle w:val="Heading1"/>
      </w:pPr>
      <w:r>
        <w:t>AMASAMYA Beta — Document Index</w:t>
      </w:r>
    </w:p>
    <w:p>
      <w:r>
        <w:t>This folder contains everything you need for the AMASAMYA closed-beta</w:t>
      </w:r>
    </w:p>
    <w:p>
      <w:r>
        <w:t>launch. Every plan document is published in two formats:</w:t>
      </w:r>
    </w:p>
    <w:p>
      <w:pPr>
        <w:pStyle w:val="ListBullet"/>
      </w:pPr>
      <w:r>
        <w:rPr>
          <w:b/>
        </w:rPr>
        <w:t>`.docx`</w:t>
      </w:r>
      <w:r>
        <w:t xml:space="preserve"> — accessible Word document, semantic headings, real</w:t>
      </w:r>
    </w:p>
    <w:p>
      <w:r>
        <w:t xml:space="preserve">  lists, real tables, document title set in core properties so JAWS</w:t>
      </w:r>
    </w:p>
    <w:p>
      <w:r>
        <w:t xml:space="preserve">  and NVDA announce the document name on open. **This is the format</w:t>
      </w:r>
    </w:p>
    <w:p>
      <w:r>
        <w:t xml:space="preserve">  to use for reading and printing.**</w:t>
      </w:r>
    </w:p>
    <w:p>
      <w:pPr>
        <w:pStyle w:val="ListBullet"/>
      </w:pPr>
      <w:r>
        <w:rPr>
          <w:b/>
        </w:rPr>
        <w:t>`.md`</w:t>
      </w:r>
      <w:r>
        <w:t xml:space="preserve"> — same content as plain Markdown for developers, GitHub</w:t>
      </w:r>
    </w:p>
    <w:p>
      <w:r>
        <w:t xml:space="preserve">  rendering, and version control. Edit only the </w:t>
      </w:r>
      <w:r>
        <w:rPr>
          <w:rStyle w:val="InlineCode"/>
          <w:rFonts w:ascii="Consolas" w:hAnsi="Consolas"/>
        </w:rPr>
        <w:t>.md</w:t>
      </w:r>
      <w:r>
        <w:t xml:space="preserve"> and re-run</w:t>
      </w:r>
    </w:p>
    <w:p>
      <w:r>
        <w:t xml:space="preserve">  </w:t>
      </w:r>
      <w:r>
        <w:rPr>
          <w:rStyle w:val="InlineCode"/>
          <w:rFonts w:ascii="Consolas" w:hAnsi="Consolas"/>
        </w:rPr>
        <w:t>python beta/md_to_docx.py</w:t>
      </w:r>
      <w:r>
        <w:t xml:space="preserve"> to regenerate the </w:t>
      </w:r>
      <w:r>
        <w:rPr>
          <w:rStyle w:val="InlineCode"/>
          <w:rFonts w:ascii="Consolas" w:hAnsi="Consolas"/>
        </w:rPr>
        <w:t>.docx</w:t>
      </w:r>
      <w:r>
        <w:t xml:space="preserve"> versions.</w:t>
      </w:r>
    </w:p>
    <w:p>
      <w:pPr>
        <w:pStyle w:val="Heading2"/>
      </w:pPr>
      <w:r>
        <w:t>Read in this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funding/strategy.docx</w:t>
            </w:r>
          </w:p>
        </w:tc>
        <w:tc>
          <w:tcPr>
            <w:tcW w:type="dxa" w:w="2880"/>
          </w:tcPr>
          <w:p>
            <w:r/>
            <w:r>
              <w:t xml:space="preserve">Frames the funding ask honestly — read this </w:t>
            </w:r>
            <w:r>
              <w:rPr>
                <w:b/>
              </w:rPr>
              <w:t>before</w:t>
            </w:r>
            <w:r>
              <w:t xml:space="preserve"> writing any email.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funding/week-one-action-plan.docx</w:t>
            </w:r>
          </w:p>
        </w:tc>
        <w:tc>
          <w:tcPr>
            <w:tcW w:type="dxa" w:w="2880"/>
          </w:tcPr>
          <w:p>
            <w:r/>
            <w:r>
              <w:t>Day-by-day actions for the next 7 days. ~6–8 hours of work.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funding/one-pager.docx</w:t>
            </w:r>
          </w:p>
        </w:tc>
        <w:tc>
          <w:tcPr>
            <w:tcW w:type="dxa" w:w="2880"/>
          </w:tcPr>
          <w:p>
            <w:r/>
            <w:r>
              <w:t xml:space="preserve">The single-page brief you attach to every funding email. </w:t>
            </w:r>
            <w:r>
              <w:rPr>
                <w:b/>
              </w:rPr>
              <w:t>Customise the bracketed fields before sending.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funding/email-templates.docx</w:t>
            </w:r>
          </w:p>
        </w:tc>
        <w:tc>
          <w:tcPr>
            <w:tcW w:type="dxa" w:w="2880"/>
          </w:tcPr>
          <w:p>
            <w:r/>
            <w:r>
              <w:t>Six templates: warm angel, cold angel, grant cover letter, pilot customer, friends-and-family, accelerator.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tester-brief.docx</w:t>
            </w:r>
          </w:p>
        </w:tc>
        <w:tc>
          <w:tcPr>
            <w:tcW w:type="dxa" w:w="2880"/>
          </w:tcPr>
          <w:p>
            <w:r/>
            <w:r>
              <w:t>The brief beta testers themselves will read once funding lands.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feedback-form.docx</w:t>
            </w:r>
          </w:p>
        </w:tc>
        <w:tc>
          <w:tcPr>
            <w:tcW w:type="dxa" w:w="2880"/>
          </w:tcPr>
          <w:p>
            <w:r/>
            <w:r>
              <w:t>Question set to paste into Google Forms (or similar) once you're ready to invite testers.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outreach-emails.docx</w:t>
            </w:r>
          </w:p>
        </w:tc>
        <w:tc>
          <w:tcPr>
            <w:tcW w:type="dxa" w:w="2880"/>
          </w:tcPr>
          <w:p>
            <w:r/>
            <w:r>
              <w:t>Templates for inviting beta testers (separate from the funding emails).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pre-flight-checklist.docx</w:t>
            </w:r>
          </w:p>
        </w:tc>
        <w:tc>
          <w:tcPr>
            <w:tcW w:type="dxa" w:w="2880"/>
          </w:tcPr>
          <w:p>
            <w:r/>
            <w:r>
              <w:t>Final verification before launch. Run through this the day before sending the first tester invite.</w:t>
            </w:r>
          </w:p>
        </w:tc>
      </w:tr>
    </w:tbl>
    <w:p>
      <w:pPr>
        <w:pStyle w:val="Heading2"/>
      </w:pPr>
      <w:r>
        <w:t>Files in repo root</w:t>
      </w:r>
    </w:p>
    <w:p>
      <w:pPr>
        <w:pStyle w:val="ListBullet"/>
      </w:pPr>
      <w:r>
        <w:rPr>
          <w:rStyle w:val="InlineCode"/>
          <w:rFonts w:ascii="Consolas" w:hAnsi="Consolas"/>
        </w:rPr>
        <w:t>../CONTRIBUTORS.docx</w:t>
      </w:r>
      <w:r>
        <w:t xml:space="preserve"> — public credit page for beta testers and</w:t>
      </w:r>
    </w:p>
    <w:p>
      <w:r>
        <w:t xml:space="preserve">  code contributors. Publish at </w:t>
      </w:r>
      <w:r>
        <w:rPr>
          <w:rStyle w:val="InlineCode"/>
          <w:rFonts w:ascii="Consolas" w:hAnsi="Consolas"/>
        </w:rPr>
        <w:t>/amasamya/credits.html</w:t>
      </w:r>
      <w:r>
        <w:t xml:space="preserve"> or as a</w:t>
      </w:r>
    </w:p>
    <w:p>
      <w:r>
        <w:t xml:space="preserve">  </w:t>
      </w:r>
      <w:r>
        <w:rPr>
          <w:rStyle w:val="InlineCode"/>
          <w:rFonts w:ascii="Consolas" w:hAnsi="Consolas"/>
        </w:rPr>
        <w:t>CONTRIBUTORS</w:t>
      </w:r>
      <w:r>
        <w:t xml:space="preserve"> page on the site so testers see the credit policy</w:t>
      </w:r>
    </w:p>
    <w:p>
      <w:r>
        <w:t xml:space="preserve">  before they fill the feedback form.</w:t>
      </w:r>
    </w:p>
    <w:p>
      <w:pPr>
        <w:pStyle w:val="Heading2"/>
      </w:pPr>
      <w:r>
        <w:t>Reading these on Windows with JAWS / NVDA</w:t>
      </w:r>
    </w:p>
    <w:p>
      <w:pPr>
        <w:pStyle w:val="ListNumber"/>
      </w:pPr>
      <w:r>
        <w:t>Open Word (or LibreOffice Writer / Google Docs — all three handle</w:t>
      </w:r>
    </w:p>
    <w:p>
      <w:r>
        <w:t xml:space="preserve">   the .docx files correctly).</w:t>
      </w:r>
    </w:p>
    <w:p>
      <w:pPr>
        <w:pStyle w:val="ListNumber"/>
      </w:pPr>
      <w:r>
        <w:t xml:space="preserve">Press </w:t>
      </w:r>
      <w:r>
        <w:rPr>
          <w:rStyle w:val="InlineCode"/>
          <w:rFonts w:ascii="Consolas" w:hAnsi="Consolas"/>
        </w:rPr>
        <w:t>Ctrl+O</w:t>
      </w:r>
      <w:r>
        <w:t>, navigate to this folder, open the .docx you want.</w:t>
      </w:r>
    </w:p>
    <w:p>
      <w:pPr>
        <w:pStyle w:val="ListNumber"/>
      </w:pPr>
      <w:r>
        <w:t>JAWS / NVDA announces the document title on open.</w:t>
      </w:r>
    </w:p>
    <w:p>
      <w:pPr>
        <w:pStyle w:val="ListNumber"/>
      </w:pPr>
      <w:r>
        <w:t xml:space="preserve">Press </w:t>
      </w:r>
      <w:r>
        <w:rPr>
          <w:rStyle w:val="InlineCode"/>
          <w:rFonts w:ascii="Consolas" w:hAnsi="Consolas"/>
        </w:rPr>
        <w:t>H</w:t>
      </w:r>
      <w:r>
        <w:t xml:space="preserve"> to jump heading-by-heading.</w:t>
      </w:r>
    </w:p>
    <w:p>
      <w:pPr>
        <w:pStyle w:val="ListNumber"/>
      </w:pPr>
      <w:r>
        <w:t xml:space="preserve">Press </w:t>
      </w:r>
      <w:r>
        <w:rPr>
          <w:rStyle w:val="InlineCode"/>
          <w:rFonts w:ascii="Consolas" w:hAnsi="Consolas"/>
        </w:rPr>
        <w:t>T</w:t>
      </w:r>
      <w:r>
        <w:t xml:space="preserve"> to jump table-by-table (the funding one-pager has two</w:t>
      </w:r>
    </w:p>
    <w:p>
      <w:r>
        <w:t xml:space="preserve">   tables — Use of Funds and Milestones).</w:t>
      </w:r>
    </w:p>
    <w:p>
      <w:pPr>
        <w:pStyle w:val="ListNumber"/>
      </w:pPr>
      <w:r>
        <w:t xml:space="preserve">Press </w:t>
      </w:r>
      <w:r>
        <w:rPr>
          <w:rStyle w:val="InlineCode"/>
          <w:rFonts w:ascii="Consolas" w:hAnsi="Consolas"/>
        </w:rPr>
        <w:t>L</w:t>
      </w:r>
      <w:r>
        <w:t xml:space="preserve"> to jump to the next list.</w:t>
      </w:r>
    </w:p>
    <w:p>
      <w:pPr>
        <w:pStyle w:val="ListNumber"/>
      </w:pPr>
      <w:r>
        <w:t xml:space="preserve">Press </w:t>
      </w:r>
      <w:r>
        <w:rPr>
          <w:rStyle w:val="InlineCode"/>
          <w:rFonts w:ascii="Consolas" w:hAnsi="Consolas"/>
        </w:rPr>
        <w:t>K</w:t>
      </w:r>
      <w:r>
        <w:t xml:space="preserve"> to jump to the next link.</w:t>
      </w:r>
    </w:p>
    <w:p>
      <w:pPr>
        <w:pStyle w:val="Heading2"/>
      </w:pPr>
      <w:r>
        <w:t>Reading on macOS with VoiceOver</w:t>
      </w:r>
    </w:p>
    <w:p>
      <w:pPr>
        <w:pStyle w:val="ListNumber"/>
      </w:pPr>
      <w:r>
        <w:t>Open the .docx in Pages or Word for Mac.</w:t>
      </w:r>
    </w:p>
    <w:p>
      <w:pPr>
        <w:pStyle w:val="ListNumber"/>
      </w:pPr>
      <w:r>
        <w:t>VoiceOver announces the document title on open.</w:t>
      </w:r>
    </w:p>
    <w:p>
      <w:pPr>
        <w:pStyle w:val="ListNumber"/>
      </w:pPr>
      <w:r>
        <w:t xml:space="preserve">Use </w:t>
      </w:r>
      <w:r>
        <w:rPr>
          <w:rStyle w:val="InlineCode"/>
          <w:rFonts w:ascii="Consolas" w:hAnsi="Consolas"/>
        </w:rPr>
        <w:t>VO+Cmd+H</w:t>
      </w:r>
      <w:r>
        <w:t xml:space="preserve"> to navigate by heading.</w:t>
      </w:r>
    </w:p>
    <w:p>
      <w:pPr>
        <w:pStyle w:val="ListNumber"/>
      </w:pPr>
      <w:r>
        <w:t xml:space="preserve">Use </w:t>
      </w:r>
      <w:r>
        <w:rPr>
          <w:rStyle w:val="InlineCode"/>
          <w:rFonts w:ascii="Consolas" w:hAnsi="Consolas"/>
        </w:rPr>
        <w:t>VO+Cmd+L</w:t>
      </w:r>
      <w:r>
        <w:t xml:space="preserve"> to navigate by link.</w:t>
      </w:r>
    </w:p>
    <w:p>
      <w:pPr>
        <w:pStyle w:val="Heading2"/>
      </w:pPr>
      <w:r>
        <w:t>Regenerating .docx after editing the .md</w:t>
      </w:r>
    </w:p>
    <w:p>
      <w:r>
        <w:rPr>
          <w:rFonts w:ascii="Consolas" w:hAnsi="Consolas"/>
          <w:sz w:val="20"/>
        </w:rPr>
        <w:t>python beta/md_to_docx.py</w:t>
      </w:r>
    </w:p>
    <w:p>
      <w:r>
        <w:t xml:space="preserve">Requires </w:t>
      </w:r>
      <w:r>
        <w:rPr>
          <w:rStyle w:val="InlineCode"/>
          <w:rFonts w:ascii="Consolas" w:hAnsi="Consolas"/>
        </w:rPr>
        <w:t>python-docx</w:t>
      </w:r>
      <w:r>
        <w:t>:</w:t>
      </w:r>
    </w:p>
    <w:p>
      <w:r>
        <w:rPr>
          <w:rFonts w:ascii="Consolas" w:hAnsi="Consolas"/>
          <w:sz w:val="20"/>
        </w:rPr>
        <w:t>pip install python-docx</w:t>
      </w:r>
    </w:p>
    <w:p>
      <w:r>
        <w:t>The conversion sets:</w:t>
      </w:r>
    </w:p>
    <w:p>
      <w:pPr>
        <w:pStyle w:val="ListBullet"/>
      </w:pPr>
      <w:r>
        <w:t xml:space="preserve">Document title in </w:t>
      </w:r>
      <w:r>
        <w:rPr>
          <w:rStyle w:val="InlineCode"/>
          <w:rFonts w:ascii="Consolas" w:hAnsi="Consolas"/>
        </w:rPr>
        <w:t>docProps/core.xml</w:t>
      </w:r>
      <w:r>
        <w:t xml:space="preserve"> (so AT announces it on open).</w:t>
      </w:r>
    </w:p>
    <w:p>
      <w:pPr>
        <w:pStyle w:val="ListBullet"/>
      </w:pPr>
      <w:r>
        <w:t xml:space="preserve">Default language </w:t>
      </w:r>
      <w:r>
        <w:rPr>
          <w:rStyle w:val="InlineCode"/>
          <w:rFonts w:ascii="Consolas" w:hAnsi="Consolas"/>
        </w:rPr>
        <w:t>en-US</w:t>
      </w:r>
      <w:r>
        <w:t xml:space="preserve"> on the document defaults.</w:t>
      </w:r>
    </w:p>
    <w:p>
      <w:pPr>
        <w:pStyle w:val="ListBullet"/>
      </w:pPr>
      <w:r>
        <w:rPr>
          <w:rStyle w:val="InlineCode"/>
          <w:rFonts w:ascii="Consolas" w:hAnsi="Consolas"/>
        </w:rPr>
        <w:t>Heading 1</w:t>
      </w:r>
      <w:r>
        <w:t>/</w:t>
      </w:r>
      <w:r>
        <w:rPr>
          <w:rStyle w:val="InlineCode"/>
          <w:rFonts w:ascii="Consolas" w:hAnsi="Consolas"/>
        </w:rPr>
        <w:t>Heading 2</w:t>
      </w:r>
      <w:r>
        <w:t>/</w:t>
      </w:r>
      <w:r>
        <w:rPr>
          <w:rStyle w:val="InlineCode"/>
          <w:rFonts w:ascii="Consolas" w:hAnsi="Consolas"/>
        </w:rPr>
        <w:t>Heading 3</w:t>
      </w:r>
      <w:r>
        <w:t xml:space="preserve"> Word styles for </w:t>
      </w:r>
      <w:r>
        <w:rPr>
          <w:rStyle w:val="InlineCode"/>
          <w:rFonts w:ascii="Consolas" w:hAnsi="Consolas"/>
        </w:rPr>
        <w:t>#</w:t>
      </w:r>
      <w:r>
        <w:t>/</w:t>
      </w:r>
      <w:r>
        <w:rPr>
          <w:rStyle w:val="InlineCode"/>
          <w:rFonts w:ascii="Consolas" w:hAnsi="Consolas"/>
        </w:rPr>
        <w:t>##</w:t>
      </w:r>
      <w:r>
        <w:t>/</w:t>
      </w:r>
      <w:r>
        <w:rPr>
          <w:rStyle w:val="InlineCode"/>
          <w:rFonts w:ascii="Consolas" w:hAnsi="Consolas"/>
        </w:rPr>
        <w:t>###</w:t>
      </w:r>
      <w:r>
        <w:t>.</w:t>
      </w:r>
    </w:p>
    <w:p>
      <w:pPr>
        <w:pStyle w:val="ListBullet"/>
      </w:pPr>
      <w:r>
        <w:rPr>
          <w:rStyle w:val="InlineCode"/>
          <w:rFonts w:ascii="Consolas" w:hAnsi="Consolas"/>
        </w:rPr>
        <w:t>List Bullet</w:t>
      </w:r>
      <w:r>
        <w:t xml:space="preserve"> / </w:t>
      </w:r>
      <w:r>
        <w:rPr>
          <w:rStyle w:val="InlineCode"/>
          <w:rFonts w:ascii="Consolas" w:hAnsi="Consolas"/>
        </w:rPr>
        <w:t>List Number</w:t>
      </w:r>
      <w:r>
        <w:t xml:space="preserve"> Word styles for </w:t>
      </w:r>
      <w:r>
        <w:rPr>
          <w:rStyle w:val="InlineCode"/>
          <w:rFonts w:ascii="Consolas" w:hAnsi="Consolas"/>
        </w:rPr>
        <w:t>-</w:t>
      </w:r>
      <w:r>
        <w:t xml:space="preserve"> / </w:t>
      </w:r>
      <w:r>
        <w:rPr>
          <w:rStyle w:val="InlineCode"/>
          <w:rFonts w:ascii="Consolas" w:hAnsi="Consolas"/>
        </w:rPr>
        <w:t>1.</w:t>
      </w:r>
      <w:r>
        <w:t xml:space="preserve"> lines.</w:t>
      </w:r>
    </w:p>
    <w:p>
      <w:pPr>
        <w:pStyle w:val="ListBullet"/>
      </w:pPr>
      <w:r>
        <w:rPr>
          <w:rStyle w:val="InlineCode"/>
          <w:rFonts w:ascii="Consolas" w:hAnsi="Consolas"/>
        </w:rPr>
        <w:t>☐</w:t>
      </w:r>
      <w:r>
        <w:t xml:space="preserve"> / </w:t>
      </w:r>
      <w:r>
        <w:rPr>
          <w:rStyle w:val="InlineCode"/>
          <w:rFonts w:ascii="Consolas" w:hAnsi="Consolas"/>
        </w:rPr>
        <w:t>☒</w:t>
      </w:r>
      <w:r>
        <w:t xml:space="preserve"> checkboxes for GFM task-list items, in a list bullet style.</w:t>
      </w:r>
    </w:p>
    <w:p>
      <w:pPr>
        <w:pStyle w:val="ListBullet"/>
      </w:pPr>
      <w:r>
        <w:t xml:space="preserve">Real tables (with first row marked as </w:t>
      </w:r>
      <w:r>
        <w:rPr>
          <w:rStyle w:val="InlineCode"/>
          <w:rFonts w:ascii="Consolas" w:hAnsi="Consolas"/>
        </w:rPr>
        <w:t>tblHeader</w:t>
      </w:r>
      <w:r>
        <w:t xml:space="preserve"> so it repeats on</w:t>
      </w:r>
    </w:p>
    <w:p>
      <w:r>
        <w:t xml:space="preserve">  page breaks) for GFM tables.</w:t>
      </w:r>
    </w:p>
    <w:p>
      <w:pPr>
        <w:pStyle w:val="ListBullet"/>
      </w:pPr>
      <w:r>
        <w:t xml:space="preserve">Word </w:t>
      </w:r>
      <w:r>
        <w:rPr>
          <w:rStyle w:val="InlineCode"/>
          <w:rFonts w:ascii="Consolas" w:hAnsi="Consolas"/>
        </w:rPr>
        <w:t>Hyperlink</w:t>
      </w:r>
      <w:r>
        <w:t xml:space="preserve"> style for </w:t>
      </w:r>
      <w:r>
        <w:rPr>
          <w:rStyle w:val="InlineCode"/>
          <w:rFonts w:ascii="Consolas" w:hAnsi="Consolas"/>
        </w:rPr>
        <w:t>[text](url)</w:t>
      </w:r>
      <w:r>
        <w:t xml:space="preserve"> markdown links — clickable,</w:t>
      </w:r>
    </w:p>
    <w:p>
      <w:r>
        <w:t xml:space="preserve">  AT-announced as links.</w:t>
      </w:r>
    </w:p>
    <w:p>
      <w:pPr>
        <w:pStyle w:val="ListBullet"/>
      </w:pPr>
      <w:r>
        <w:rPr>
          <w:rStyle w:val="InlineCode"/>
          <w:rFonts w:ascii="Consolas" w:hAnsi="Consolas"/>
        </w:rPr>
        <w:t>Inline Code</w:t>
      </w:r>
      <w:r>
        <w:t xml:space="preserve"> character style for inline `</w:t>
      </w:r>
      <w:r>
        <w:rPr>
          <w:rStyle w:val="InlineCode"/>
          <w:rFonts w:ascii="Consolas" w:hAnsi="Consolas"/>
        </w:rPr>
        <w:t xml:space="preserve"> </w:t>
      </w:r>
      <w:r>
        <w:t>code</w:t>
      </w:r>
      <w:r>
        <w:rPr>
          <w:rStyle w:val="InlineCode"/>
          <w:rFonts w:ascii="Consolas" w:hAnsi="Consolas"/>
        </w:rPr>
        <w:t xml:space="preserve"> </w:t>
      </w:r>
      <w:r>
        <w:t>` — Consolas</w:t>
      </w:r>
    </w:p>
    <w:p>
      <w:r>
        <w:t xml:space="preserve">  font, AT can announce as code where the screen reader supports it.</w:t>
      </w:r>
    </w:p>
    <w:p>
      <w:pPr>
        <w:pStyle w:val="Heading2"/>
      </w:pPr>
      <w:r>
        <w:t>What's deliberately not auto-generated</w:t>
      </w:r>
    </w:p>
    <w:p>
      <w:pPr>
        <w:pStyle w:val="ListBullet"/>
      </w:pPr>
      <w:r>
        <w:rPr>
          <w:b/>
        </w:rPr>
        <w:t>Cover image / logo</w:t>
      </w:r>
      <w:r>
        <w:t xml:space="preserve"> — keep these documents plain so AT users</w:t>
      </w:r>
    </w:p>
    <w:p>
      <w:r>
        <w:t xml:space="preserve">  don't waste time on decorative images. Add only if a sighted</w:t>
      </w:r>
    </w:p>
    <w:p>
      <w:r>
        <w:t xml:space="preserve">  reviewer specifically asks.</w:t>
      </w:r>
    </w:p>
    <w:p>
      <w:pPr>
        <w:pStyle w:val="ListBullet"/>
      </w:pPr>
      <w:r>
        <w:rPr>
          <w:b/>
        </w:rPr>
        <w:t>Page numbers / footer</w:t>
      </w:r>
      <w:r>
        <w:t xml:space="preserve"> — Word's defaults are accessible enough.</w:t>
      </w:r>
    </w:p>
    <w:p>
      <w:r>
        <w:t xml:space="preserve">  Adding a custom footer in python-docx is fiddly; do it manually in</w:t>
      </w:r>
    </w:p>
    <w:p>
      <w:r>
        <w:t xml:space="preserve">  Word for any document you'll print.</w:t>
      </w:r>
    </w:p>
    <w:p>
      <w:pPr>
        <w:pStyle w:val="ListBullet"/>
      </w:pPr>
      <w:r>
        <w:rPr>
          <w:b/>
        </w:rPr>
        <w:t>Watermarks</w:t>
      </w:r>
      <w:r>
        <w:t xml:space="preserve"> — never add. Watermarks are read out by AT as</w:t>
      </w:r>
    </w:p>
    <w:p>
      <w:r>
        <w:t xml:space="preserve">  literal text on every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Beta — Document Index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