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AMASAMYA — One-Page Brief for Funders</w:t>
      </w:r>
    </w:p>
    <w:p>
      <w:pPr>
        <w:pStyle w:val="Heading1"/>
      </w:pPr>
      <w:r>
        <w:t>AMASAMYA — One-Page Brief for Funders</w:t>
      </w:r>
    </w:p>
    <w:p>
      <w:r>
        <w:t>*Render as a single PDF, no logo header, plain typography. Anyone who</w:t>
      </w:r>
    </w:p>
    <w:p>
      <w:r>
        <w:t>wants more than one page is the wrong reader for this stage.*</w:t>
      </w:r>
    </w:p>
    <w:p>
      <w:r>
        <w:t>――――――――――――――――――――――――――――――</w:t>
      </w:r>
    </w:p>
    <w:p>
      <w:r>
        <w:rPr>
          <w:b/>
        </w:rPr>
        <w:t>AMASAMYA</w:t>
      </w:r>
      <w:r>
        <w:t xml:space="preserve"> — A blind-first WCAG 2.2 accessibility audit platform for</w:t>
      </w:r>
    </w:p>
    <w:p>
      <w:r>
        <w:t>the web, documents, and mobile.</w:t>
      </w:r>
    </w:p>
    <w:p>
      <w:hyperlink r:id="rId9">
        <w:r>
          <w:rPr>
            <w:rStyle w:val="Hyperlink"/>
          </w:rPr>
          <w:t xml:space="preserve">https://amasamya.akhileshmalani.com</w:t>
        </w:r>
      </w:hyperlink>
      <w:r>
        <w:t xml:space="preserve"> ·</w:t>
      </w:r>
    </w:p>
    <w:p>
      <w:r>
        <w:t>[CONTRIBUTORS.md] · [Chrome Web Store listing — pending]</w:t>
      </w:r>
    </w:p>
    <w:p>
      <w:pPr>
        <w:pStyle w:val="Heading2"/>
      </w:pPr>
      <w:r>
        <w:t>The problem</w:t>
      </w:r>
    </w:p>
    <w:p>
      <w:r>
        <w:t>The European Accessibility Act takes effect June 2025. ADA Title II</w:t>
      </w:r>
    </w:p>
    <w:p>
      <w:r>
        <w:t>applies to public-sector digital content. Section 508 is enforced</w:t>
      </w:r>
    </w:p>
    <w:p>
      <w:r>
        <w:t>across US federal contractors. Yet **most accessibility audit tools</w:t>
      </w:r>
    </w:p>
    <w:p>
      <w:r>
        <w:t>are built by sighted developers for sighted developers** — they're</w:t>
      </w:r>
    </w:p>
    <w:p>
      <w:r>
        <w:t>hard to use without a screen reader, they cover HTML well but documents</w:t>
      </w:r>
    </w:p>
    <w:p>
      <w:r>
        <w:t>poorly, and their findings are written in jargon that doesn't help a</w:t>
      </w:r>
    </w:p>
    <w:p>
      <w:r>
        <w:t>non-sighted developer fix the problem.</w:t>
      </w:r>
    </w:p>
    <w:p>
      <w:pPr>
        <w:pStyle w:val="Heading2"/>
      </w:pPr>
      <w:r>
        <w:t>The product</w:t>
      </w:r>
    </w:p>
    <w:p>
      <w:r>
        <w:t>AMASAMYA is a web-based audit platform with three engines and a Chrome</w:t>
      </w:r>
    </w:p>
    <w:p>
      <w:r>
        <w:t>extension:</w:t>
      </w:r>
    </w:p>
    <w:p>
      <w:pPr>
        <w:pStyle w:val="ListBullet"/>
      </w:pPr>
      <w:r>
        <w:rPr>
          <w:b/>
        </w:rPr>
        <w:t>Web Audit</w:t>
      </w:r>
      <w:r>
        <w:t xml:space="preserve"> — runs 13 WCAG 2.2 engines on any URL the user provides.</w:t>
      </w:r>
    </w:p>
    <w:p>
      <w:pPr>
        <w:pStyle w:val="ListBullet"/>
      </w:pPr>
      <w:r>
        <w:rPr>
          <w:b/>
        </w:rPr>
        <w:t>Document Audit</w:t>
      </w:r>
      <w:r>
        <w:t xml:space="preserve"> — parses and audits 8 file formats (PDF, DOCX,</w:t>
      </w:r>
    </w:p>
    <w:p>
      <w:r>
        <w:t xml:space="preserve">  PPTX, XLSX, EPUB, ODT, ODS, ODP) with format-specific findings and</w:t>
      </w:r>
    </w:p>
    <w:p>
      <w:r>
        <w:t xml:space="preserve">  step-by-step "How to fix" hints.</w:t>
      </w:r>
    </w:p>
    <w:p>
      <w:pPr>
        <w:pStyle w:val="ListBullet"/>
      </w:pPr>
      <w:r>
        <w:rPr>
          <w:b/>
        </w:rPr>
        <w:t>Mobile Checklist</w:t>
      </w:r>
      <w:r>
        <w:t xml:space="preserve"> — structured manual-test workflow for iOS,</w:t>
      </w:r>
    </w:p>
    <w:p>
      <w:r>
        <w:t xml:space="preserve">  Android, and WearOS.</w:t>
      </w:r>
    </w:p>
    <w:p>
      <w:pPr>
        <w:pStyle w:val="ListBullet"/>
      </w:pPr>
      <w:r>
        <w:rPr>
          <w:b/>
        </w:rPr>
        <w:t>Vision AI integration</w:t>
      </w:r>
      <w:r>
        <w:t xml:space="preserve"> — optional Focus Indicator Narrator and</w:t>
      </w:r>
    </w:p>
    <w:p>
      <w:r>
        <w:t xml:space="preserve">  Visual Layout Auditor backed by GPT-4o or Claude (using the user's</w:t>
      </w:r>
    </w:p>
    <w:p>
      <w:r>
        <w:t xml:space="preserve">  own API key — keys never reach our servers).</w:t>
      </w:r>
    </w:p>
    <w:p>
      <w:r>
        <w:t>The entire UI is keyboard- and screen-reader-first. Every audit finding</w:t>
      </w:r>
    </w:p>
    <w:p>
      <w:r>
        <w:t>is paired with a specific remediation hint and at least one</w:t>
      </w:r>
    </w:p>
    <w:p>
      <w:r>
        <w:t>authoritative reference link.</w:t>
      </w:r>
    </w:p>
    <w:p>
      <w:pPr>
        <w:pStyle w:val="Heading2"/>
      </w:pPr>
      <w:r>
        <w:t>What's already built (as of [date])</w:t>
      </w:r>
    </w:p>
    <w:p>
      <w:pPr>
        <w:pStyle w:val="ListBullet"/>
      </w:pPr>
      <w:r>
        <w:t>Full production tool, deployed at amasamya.akhileshmalani.com.</w:t>
      </w:r>
    </w:p>
    <w:p>
      <w:pPr>
        <w:pStyle w:val="ListBullet"/>
      </w:pPr>
      <w:r>
        <w:t>Chrome extension submitted to the Web Store; approval pending.</w:t>
      </w:r>
    </w:p>
    <w:p>
      <w:pPr>
        <w:pStyle w:val="ListBullet"/>
      </w:pPr>
      <w:r>
        <w:t>0 axe-core violations across every served page (verified 28 April 2026).</w:t>
      </w:r>
    </w:p>
    <w:p>
      <w:pPr>
        <w:pStyle w:val="ListBullet"/>
      </w:pPr>
      <w:r>
        <w:t>All test suites passing (Playwright + custom hardening tests).</w:t>
      </w:r>
    </w:p>
    <w:p>
      <w:pPr>
        <w:pStyle w:val="ListBullet"/>
      </w:pPr>
      <w:r>
        <w:t>Production-grade security: PBKDF2-protected PIN auth, AES-GCM</w:t>
      </w:r>
    </w:p>
    <w:p>
      <w:r>
        <w:t xml:space="preserve">  encryption-at-rest for AI API keys with a non-extractable WebCrypto</w:t>
      </w:r>
    </w:p>
    <w:p>
      <w:r>
        <w:t xml:space="preserve">  master key.</w:t>
      </w:r>
    </w:p>
    <w:p>
      <w:pPr>
        <w:pStyle w:val="ListBullet"/>
      </w:pPr>
      <w:r>
        <w:t>Self-funded MVP. Zero outside capital to date.</w:t>
      </w:r>
    </w:p>
    <w:p>
      <w:pPr>
        <w:pStyle w:val="Heading2"/>
      </w:pPr>
      <w:r>
        <w:t>What I'm raising</w:t>
      </w:r>
    </w:p>
    <w:p>
      <w:r>
        <w:rPr>
          <w:b/>
        </w:rPr>
        <w:t>$[2,500 / 7,500 / 20,000]</w:t>
      </w:r>
      <w:r>
        <w:t xml:space="preserve"> — itemised: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/>
            <w:r>
              <w:t>8 paid beta-tester sessions ($200 each)</w:t>
            </w:r>
          </w:p>
        </w:tc>
        <w:tc>
          <w:tcPr>
            <w:tcW w:type="dxa" w:w="4320"/>
          </w:tcPr>
          <w:p>
            <w:r/>
            <w:r>
              <w:t>$1,600</w:t>
            </w:r>
          </w:p>
        </w:tc>
      </w:tr>
      <w:tr>
        <w:tc>
          <w:tcPr>
            <w:tcW w:type="dxa" w:w="4320"/>
          </w:tcPr>
          <w:p>
            <w:r/>
            <w:r>
              <w:t>Accessibility tooling subscriptions (NVDA training licenses, JAWS, screen-recording, scheduling)</w:t>
            </w:r>
          </w:p>
        </w:tc>
        <w:tc>
          <w:tcPr>
            <w:tcW w:type="dxa" w:w="4320"/>
          </w:tcPr>
          <w:p>
            <w:r/>
            <w:r>
              <w:t>$400</w:t>
            </w:r>
          </w:p>
        </w:tc>
      </w:tr>
      <w:tr>
        <w:tc>
          <w:tcPr>
            <w:tcW w:type="dxa" w:w="4320"/>
          </w:tcPr>
          <w:p>
            <w:r/>
            <w:r>
              <w:t>6-week build sprint to fix top issues from beta</w:t>
            </w:r>
          </w:p>
        </w:tc>
        <w:tc>
          <w:tcPr>
            <w:tcW w:type="dxa" w:w="4320"/>
          </w:tcPr>
          <w:p>
            <w:r/>
            <w:r>
              <w:t>$5,000</w:t>
            </w:r>
          </w:p>
        </w:tc>
      </w:tr>
      <w:tr>
        <w:tc>
          <w:tcPr>
            <w:tcW w:type="dxa" w:w="4320"/>
          </w:tcPr>
          <w:p>
            <w:r/>
            <w:r>
              <w:t>Reserve for grant-application fees / pilot-customer demo travel</w:t>
            </w:r>
          </w:p>
        </w:tc>
        <w:tc>
          <w:tcPr>
            <w:tcW w:type="dxa" w:w="4320"/>
          </w:tcPr>
          <w:p>
            <w:r/>
            <w:r>
              <w:t>$500</w:t>
            </w:r>
          </w:p>
        </w:tc>
      </w:tr>
    </w:tbl>
    <w:p>
      <w:r>
        <w:t>I am the sole user of these funds. There is no team to pay.</w:t>
      </w:r>
    </w:p>
    <w:p>
      <w:pPr>
        <w:pStyle w:val="Heading2"/>
      </w:pPr>
      <w:r>
        <w:t>Use of funds —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r/>
            <w:r>
              <w:rPr>
                <w:b/>
              </w:rPr>
              <w:t>Week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Deliverable</w:t>
            </w:r>
          </w:p>
        </w:tc>
      </w:tr>
      <w:tr>
        <w:tc>
          <w:tcPr>
            <w:tcW w:type="dxa" w:w="4320"/>
          </w:tcPr>
          <w:p>
            <w:r/>
            <w:r>
              <w:t>1–2</w:t>
            </w:r>
          </w:p>
        </w:tc>
        <w:tc>
          <w:tcPr>
            <w:tcW w:type="dxa" w:w="4320"/>
          </w:tcPr>
          <w:p>
            <w:r/>
            <w:r>
              <w:t>Send 5 warm-channel beta-tester invites; hold 3 sessions; collect feedback.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>Triage feedback into P0/P1 issue list; ship hot-fixes.</w:t>
            </w:r>
          </w:p>
        </w:tc>
      </w:tr>
      <w:tr>
        <w:tc>
          <w:tcPr>
            <w:tcW w:type="dxa" w:w="4320"/>
          </w:tcPr>
          <w:p>
            <w:r/>
            <w:r>
              <w:t>4–6</w:t>
            </w:r>
          </w:p>
        </w:tc>
        <w:tc>
          <w:tcPr>
            <w:tcW w:type="dxa" w:w="4320"/>
          </w:tcPr>
          <w:p>
            <w:r/>
            <w:r>
              <w:t>Build sprint: address top 5 tester-reported issues; ship public release.</w:t>
            </w:r>
          </w:p>
        </w:tc>
      </w:tr>
      <w:tr>
        <w:tc>
          <w:tcPr>
            <w:tcW w:type="dxa" w:w="4320"/>
          </w:tcPr>
          <w:p>
            <w:r/>
            <w:r>
              <w:t>7</w:t>
            </w:r>
          </w:p>
        </w:tc>
        <w:tc>
          <w:tcPr>
            <w:tcW w:type="dxa" w:w="4320"/>
          </w:tcPr>
          <w:p>
            <w:r/>
            <w:r>
              <w:t>Public soft-launch post; pilot-customer outreach to 10 prospective buyers.</w:t>
            </w:r>
          </w:p>
        </w:tc>
      </w:tr>
      <w:tr>
        <w:tc>
          <w:tcPr>
            <w:tcW w:type="dxa" w:w="4320"/>
          </w:tcPr>
          <w:p>
            <w:r/>
            <w:r>
              <w:t>8–12</w:t>
            </w:r>
          </w:p>
        </w:tc>
        <w:tc>
          <w:tcPr>
            <w:tcW w:type="dxa" w:w="4320"/>
          </w:tcPr>
          <w:p>
            <w:r/>
            <w:r>
              <w:t>Convert 1–2 pilots into paying contracts; report back to funders.</w:t>
            </w:r>
          </w:p>
        </w:tc>
      </w:tr>
    </w:tbl>
    <w:p>
      <w:pPr>
        <w:pStyle w:val="Heading2"/>
      </w:pPr>
      <w:r>
        <w:t>Why now</w:t>
      </w:r>
    </w:p>
    <w:p>
      <w:pPr>
        <w:pStyle w:val="ListBullet"/>
      </w:pPr>
      <w:r>
        <w:t>WCAG 2.2 became the AA reference in late 2023; enterprise compliance</w:t>
      </w:r>
    </w:p>
    <w:p>
      <w:r>
        <w:t xml:space="preserve">  upgrades are running through 2026.</w:t>
      </w:r>
    </w:p>
    <w:p>
      <w:pPr>
        <w:pStyle w:val="ListBullet"/>
      </w:pPr>
      <w:r>
        <w:t>EU Accessibility Act enforcement starts June 2025.</w:t>
      </w:r>
    </w:p>
    <w:p>
      <w:pPr>
        <w:pStyle w:val="ListBullet"/>
      </w:pPr>
      <w:r>
        <w:t>Vision AI (GPT-4o, Claude 4) makes affordable, accurate alt-text</w:t>
      </w:r>
    </w:p>
    <w:p>
      <w:r>
        <w:t xml:space="preserve">  description and layout analysis newly possible — AMASAMYA is among</w:t>
      </w:r>
    </w:p>
    <w:p>
      <w:r>
        <w:t xml:space="preserve">  the first audit tools to integrate this directly.</w:t>
      </w:r>
    </w:p>
    <w:p>
      <w:pPr>
        <w:pStyle w:val="Heading2"/>
      </w:pPr>
      <w:r>
        <w:t>The founder</w:t>
      </w:r>
    </w:p>
    <w:p>
      <w:r>
        <w:rPr>
          <w:b/>
        </w:rPr>
        <w:t>Akhilesh Malani</w:t>
      </w:r>
      <w:r>
        <w:t xml:space="preserve"> — accessibility architect, ~10 years in digital</w:t>
      </w:r>
    </w:p>
    <w:p>
      <w:r>
        <w:t>inclusion strategy, previously [add 1–2 specific roles or projects].</w:t>
      </w:r>
    </w:p>
    <w:p>
      <w:r>
        <w:t>[link to LinkedIn or homepage]</w:t>
      </w:r>
    </w:p>
    <w:p>
      <w:pPr>
        <w:pStyle w:val="Heading2"/>
      </w:pPr>
      <w:r>
        <w:t>What I'm asking from you</w:t>
      </w:r>
    </w:p>
    <w:p>
      <w:r>
        <w:t>One of:</w:t>
      </w:r>
    </w:p>
    <w:p>
      <w:pPr>
        <w:pStyle w:val="ListNumber"/>
      </w:pPr>
      <w:r>
        <w:t>A small cheque ($1,000–$5,000), with a clear milestone-based</w:t>
      </w:r>
    </w:p>
    <w:p>
      <w:r>
        <w:t xml:space="preserve">   reporting cadence (one written update per month for six months).</w:t>
      </w:r>
    </w:p>
    <w:p>
      <w:pPr>
        <w:pStyle w:val="ListNumber"/>
      </w:pPr>
      <w:r>
        <w:t>An introduction to one funder, accelerator, or pilot customer in</w:t>
      </w:r>
    </w:p>
    <w:p>
      <w:r>
        <w:t xml:space="preserve">   your network.</w:t>
      </w:r>
    </w:p>
    <w:p>
      <w:pPr>
        <w:pStyle w:val="ListNumber"/>
      </w:pPr>
      <w:r>
        <w:t>A 30-minute call to tell me where I'm wrong about anything above.</w:t>
      </w:r>
    </w:p>
    <w:p>
      <w:r>
        <w:t>If none of these fit, no need to reply. If any of them do, reply to</w:t>
      </w:r>
    </w:p>
    <w:p>
      <w:r>
        <w:t>this email and I'll send a short due-diligence packet (financials,</w:t>
      </w:r>
    </w:p>
    <w:p>
      <w:r>
        <w:t>test reports, deploy logs) within 24 hours.</w:t>
      </w:r>
    </w:p>
    <w:p>
      <w:r>
        <w:t>— Akhilesh Malani</w:t>
      </w:r>
    </w:p>
    <w:p>
      <w:r>
        <w:t>[your email] · [your phone, optional]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lineCode">
    <w:name w:val="Inline Code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masamya.akhileshmalan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AMASAMYA — One-Page Brief for Funders</dc:title>
  <dc:subject/>
  <dc:creator>Akhilesh Malani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