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01 — STANDARDS AND GUIDELINES  </w:t>
      </w:r>
    </w:p>
    <w:p>
      <w:pPr>
        <w:spacing w:before="240" w:after="120"/>
        <w:jc w:val="center"/>
      </w:pPr>
      <w:r>
        <w:rPr>
          <w:rFonts w:ascii="Arial" w:hAnsi="Arial"/>
          <w:b/>
          <w:color w:val="1F4E79"/>
          <w:sz w:val="52"/>
        </w:rPr>
        <w:t>EN 301 549 v3.2.1</w:t>
      </w:r>
    </w:p>
    <w:p>
      <w:pPr>
        <w:spacing w:after="120"/>
        <w:jc w:val="center"/>
      </w:pPr>
      <w:r>
        <w:rPr>
          <w:rFonts w:ascii="Arial" w:hAnsi="Arial"/>
          <w:i/>
          <w:color w:val="2E75B6"/>
          <w:sz w:val="26"/>
        </w:rPr>
        <w:t>ICT Accessibility Standard Overview</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1. What Is EN 301 549</w:t>
      </w:r>
    </w:p>
    <w:p>
      <w:pPr>
        <w:spacing w:before="60" w:after="80"/>
      </w:pPr>
      <w:r>
        <w:rPr>
          <w:rFonts w:ascii="Arial" w:hAnsi="Arial"/>
          <w:b w:val="0"/>
          <w:i w:val="0"/>
          <w:color w:val="404040"/>
          <w:sz w:val="20"/>
        </w:rPr>
        <w:t>EN 301 549 is the European harmonised standard for Information and Communication Technology (ICT) accessibility. Adopted by the European Telecommunications Standards Institute (ETSI), it is mandated by the European Accessibility Act (Directive 2019/882) as the technical conformance standard.</w:t>
      </w:r>
    </w:p>
    <w:p>
      <w:pPr>
        <w:spacing w:before="240" w:after="80"/>
      </w:pPr>
      <w:r>
        <w:rPr>
          <w:rFonts w:ascii="Arial" w:hAnsi="Arial"/>
          <w:b/>
          <w:color w:val="2E75B6"/>
          <w:sz w:val="26"/>
        </w:rPr>
        <w:t>Key Characteristics</w:t>
      </w:r>
    </w:p>
    <w:p>
      <w:pPr>
        <w:pStyle w:val="ListBullet"/>
        <w:spacing w:before="20" w:after="20"/>
        <w:ind w:left="360"/>
      </w:pPr>
      <w:r>
        <w:rPr>
          <w:rFonts w:ascii="Arial" w:hAnsi="Arial"/>
          <w:b/>
          <w:color w:val="404040"/>
          <w:sz w:val="20"/>
        </w:rPr>
        <w:t xml:space="preserve">Standards Body: </w:t>
      </w:r>
      <w:r>
        <w:rPr>
          <w:rFonts w:ascii="Arial" w:hAnsi="Arial"/>
          <w:color w:val="404040"/>
          <w:sz w:val="20"/>
        </w:rPr>
        <w:t>Status: Harmonised standard under European standardization framework</w:t>
      </w:r>
    </w:p>
    <w:p>
      <w:pPr>
        <w:pStyle w:val="ListBullet"/>
        <w:spacing w:before="20" w:after="20"/>
        <w:ind w:left="360"/>
      </w:pPr>
      <w:r>
        <w:rPr>
          <w:rFonts w:ascii="Arial" w:hAnsi="Arial"/>
          <w:b/>
          <w:color w:val="404040"/>
          <w:sz w:val="20"/>
        </w:rPr>
        <w:t xml:space="preserve">Version: </w:t>
      </w:r>
      <w:r>
        <w:rPr>
          <w:rFonts w:ascii="Arial" w:hAnsi="Arial"/>
          <w:color w:val="404040"/>
          <w:sz w:val="20"/>
        </w:rPr>
        <w:t>Current Version: v3.2.1 (published February 2021; latest binding version for EAA compliance)</w:t>
      </w:r>
    </w:p>
    <w:p>
      <w:pPr>
        <w:pStyle w:val="ListBullet"/>
        <w:spacing w:before="20" w:after="20"/>
        <w:ind w:left="360"/>
      </w:pPr>
      <w:r>
        <w:rPr>
          <w:rFonts w:ascii="Arial" w:hAnsi="Arial"/>
          <w:b/>
          <w:color w:val="404040"/>
          <w:sz w:val="20"/>
        </w:rPr>
        <w:t xml:space="preserve">Foundation: </w:t>
      </w:r>
      <w:r>
        <w:rPr>
          <w:rFonts w:ascii="Arial" w:hAnsi="Arial"/>
          <w:color w:val="404040"/>
          <w:sz w:val="20"/>
        </w:rPr>
        <w:t>Base Technology: Incorporates WCAG 2.1 Level AA as foundation</w:t>
      </w:r>
    </w:p>
    <w:p>
      <w:pPr>
        <w:pStyle w:val="ListBullet"/>
        <w:spacing w:before="20" w:after="20"/>
        <w:ind w:left="360"/>
      </w:pPr>
      <w:r>
        <w:rPr>
          <w:rFonts w:ascii="Arial" w:hAnsi="Arial"/>
          <w:b/>
          <w:color w:val="404040"/>
          <w:sz w:val="20"/>
        </w:rPr>
        <w:t xml:space="preserve">Breadth: </w:t>
      </w:r>
      <w:r>
        <w:rPr>
          <w:rFonts w:ascii="Arial" w:hAnsi="Arial"/>
          <w:color w:val="404040"/>
          <w:sz w:val="20"/>
        </w:rPr>
        <w:t>Scope: All ICT — web, software, hardware, documents, and accessibility services</w:t>
      </w:r>
    </w:p>
    <w:p>
      <w:pPr>
        <w:pStyle w:val="ListBullet"/>
        <w:spacing w:before="20" w:after="20"/>
        <w:ind w:left="360"/>
      </w:pPr>
      <w:r>
        <w:rPr>
          <w:rFonts w:ascii="Arial" w:hAnsi="Arial"/>
          <w:b/>
          <w:color w:val="404040"/>
          <w:sz w:val="20"/>
        </w:rPr>
        <w:t xml:space="preserve">Extensions: </w:t>
      </w:r>
      <w:r>
        <w:rPr>
          <w:rFonts w:ascii="Arial" w:hAnsi="Arial"/>
          <w:color w:val="404040"/>
          <w:sz w:val="20"/>
        </w:rPr>
        <w:t>'WCAG Plus' Approach: Extends WCAG with chapters addressing ICT types beyond web</w:t>
      </w:r>
    </w:p>
    <w:p>
      <w:pPr>
        <w:spacing w:before="240" w:after="80"/>
      </w:pPr>
      <w:r>
        <w:rPr>
          <w:rFonts w:ascii="Arial" w:hAnsi="Arial"/>
          <w:b/>
          <w:color w:val="2E75B6"/>
          <w:sz w:val="26"/>
        </w:rPr>
        <w:t>Mandatory for EU Compliance</w:t>
      </w:r>
    </w:p>
    <w:p>
      <w:pPr>
        <w:pStyle w:val="ListBullet"/>
        <w:spacing w:before="20" w:after="20"/>
        <w:ind w:left="360"/>
      </w:pPr>
      <w:r>
        <w:rPr>
          <w:rFonts w:ascii="Arial" w:hAnsi="Arial"/>
          <w:b/>
          <w:color w:val="404040"/>
          <w:sz w:val="20"/>
        </w:rPr>
        <w:t xml:space="preserve">Legal Force: </w:t>
      </w:r>
      <w:r>
        <w:rPr>
          <w:rFonts w:ascii="Arial" w:hAnsi="Arial"/>
          <w:color w:val="404040"/>
          <w:sz w:val="20"/>
        </w:rPr>
        <w:t>Legal Status: Binding through EAA (Directive 2019/882) enforcement June 28, 2025</w:t>
      </w:r>
    </w:p>
    <w:p>
      <w:pPr>
        <w:pStyle w:val="ListBullet"/>
        <w:spacing w:before="20" w:after="20"/>
        <w:ind w:left="360"/>
      </w:pPr>
      <w:r>
        <w:rPr>
          <w:rFonts w:ascii="Arial" w:hAnsi="Arial"/>
          <w:b/>
          <w:color w:val="404040"/>
          <w:sz w:val="20"/>
        </w:rPr>
        <w:t xml:space="preserve">Reach: </w:t>
      </w:r>
      <w:r>
        <w:rPr>
          <w:rFonts w:ascii="Arial" w:hAnsi="Arial"/>
          <w:color w:val="404040"/>
          <w:sz w:val="20"/>
        </w:rPr>
        <w:t>Extra-Territorial: Applies to ANY organization (EU or non-EU) selling to EU consumers</w:t>
      </w:r>
    </w:p>
    <w:p>
      <w:pPr>
        <w:pStyle w:val="ListBullet"/>
        <w:spacing w:before="20" w:after="20"/>
        <w:ind w:left="360"/>
      </w:pPr>
      <w:r>
        <w:rPr>
          <w:rFonts w:ascii="Arial" w:hAnsi="Arial"/>
          <w:b/>
          <w:color w:val="404040"/>
          <w:sz w:val="20"/>
        </w:rPr>
        <w:t xml:space="preserve">Public Sector: </w:t>
      </w:r>
      <w:r>
        <w:rPr>
          <w:rFonts w:ascii="Arial" w:hAnsi="Arial"/>
          <w:color w:val="404040"/>
          <w:sz w:val="20"/>
        </w:rPr>
        <w:t>Procurement: EU public sector must specify EN 301 549 in tender documents</w:t>
      </w:r>
    </w:p>
    <w:p>
      <w:pPr>
        <w:pStyle w:val="ListBullet"/>
        <w:spacing w:before="20" w:after="20"/>
        <w:ind w:left="360"/>
      </w:pPr>
      <w:r>
        <w:rPr>
          <w:rFonts w:ascii="Arial" w:hAnsi="Arial"/>
          <w:b/>
          <w:color w:val="404040"/>
          <w:sz w:val="20"/>
        </w:rPr>
        <w:t xml:space="preserve">Market Standard: </w:t>
      </w:r>
      <w:r>
        <w:rPr>
          <w:rFonts w:ascii="Arial" w:hAnsi="Arial"/>
          <w:color w:val="404040"/>
          <w:sz w:val="20"/>
        </w:rPr>
        <w:t>Industry Standard: De facto baseline for European accessibility compliance</w:t>
      </w:r>
    </w:p>
    <w:p>
      <w:pPr>
        <w:spacing w:before="240" w:after="80"/>
      </w:pPr>
      <w:r>
        <w:rPr>
          <w:rFonts w:ascii="Arial" w:hAnsi="Arial"/>
          <w:b/>
          <w:color w:val="2E75B6"/>
          <w:sz w:val="26"/>
        </w:rPr>
        <w:t>Related Standards</w:t>
      </w:r>
    </w:p>
    <w:p>
      <w:pPr>
        <w:pStyle w:val="ListBullet"/>
        <w:spacing w:before="20" w:after="20"/>
        <w:ind w:left="360"/>
      </w:pPr>
      <w:r>
        <w:rPr>
          <w:rFonts w:ascii="Arial" w:hAnsi="Arial"/>
          <w:b/>
          <w:color w:val="404040"/>
          <w:sz w:val="20"/>
        </w:rPr>
        <w:t xml:space="preserve">WCAG Relationship: </w:t>
      </w:r>
      <w:r>
        <w:rPr>
          <w:rFonts w:ascii="Arial" w:hAnsi="Arial"/>
          <w:color w:val="404040"/>
          <w:sz w:val="20"/>
        </w:rPr>
        <w:t>WCAG 2.1: Web Content Accessibility Guidelines (W3C) — foundation for EN 301 549</w:t>
      </w:r>
    </w:p>
    <w:p>
      <w:pPr>
        <w:pStyle w:val="ListBullet"/>
        <w:spacing w:before="20" w:after="20"/>
        <w:ind w:left="360"/>
      </w:pPr>
      <w:r>
        <w:rPr>
          <w:rFonts w:ascii="Arial" w:hAnsi="Arial"/>
          <w:b/>
          <w:color w:val="404040"/>
          <w:sz w:val="20"/>
        </w:rPr>
        <w:t xml:space="preserve">US Standard: </w:t>
      </w:r>
      <w:r>
        <w:rPr>
          <w:rFonts w:ascii="Arial" w:hAnsi="Arial"/>
          <w:color w:val="404040"/>
          <w:sz w:val="20"/>
        </w:rPr>
        <w:t>Section 508 (US): Also references WCAG but uses older WCAG 2.0 AA</w:t>
      </w:r>
    </w:p>
    <w:p>
      <w:pPr>
        <w:pStyle w:val="ListBullet"/>
        <w:spacing w:before="20" w:after="20"/>
        <w:ind w:left="360"/>
      </w:pPr>
      <w:r>
        <w:rPr>
          <w:rFonts w:ascii="Arial" w:hAnsi="Arial"/>
          <w:b/>
          <w:color w:val="404040"/>
          <w:sz w:val="20"/>
        </w:rPr>
        <w:t xml:space="preserve">Canada Standard: </w:t>
      </w:r>
      <w:r>
        <w:rPr>
          <w:rFonts w:ascii="Arial" w:hAnsi="Arial"/>
          <w:color w:val="404040"/>
          <w:sz w:val="20"/>
        </w:rPr>
        <w:t>AODA (Canada): Ontario regulation uses WCAG 2.0 AA with variations</w:t>
      </w:r>
    </w:p>
    <w:p>
      <w:pPr>
        <w:pStyle w:val="ListBullet"/>
        <w:spacing w:before="20" w:after="20"/>
        <w:ind w:left="360"/>
      </w:pPr>
      <w:r>
        <w:rPr>
          <w:rFonts w:ascii="Arial" w:hAnsi="Arial"/>
          <w:b/>
          <w:color w:val="404040"/>
          <w:sz w:val="20"/>
        </w:rPr>
        <w:t xml:space="preserve">International: </w:t>
      </w:r>
      <w:r>
        <w:rPr>
          <w:rFonts w:ascii="Arial" w:hAnsi="Arial"/>
          <w:color w:val="404040"/>
          <w:sz w:val="20"/>
        </w:rPr>
        <w:t>ISO/IEC 40500: International standard equivalent to WCAG 2.1</w:t>
      </w:r>
    </w:p>
    <w:p>
      <w:r>
        <w:br w:type="page"/>
      </w:r>
    </w:p>
    <w:p>
      <w:pPr>
        <w:spacing w:before="360" w:after="120"/>
        <w:pBdr>
          <w:bottom w:val="single" w:sz="12" w:space="4" w:color="2E75B6"/>
        </w:pBdr>
      </w:pPr>
      <w:r>
        <w:rPr>
          <w:rFonts w:ascii="Arial" w:hAnsi="Arial"/>
          <w:b/>
          <w:color w:val="1F4E79"/>
          <w:sz w:val="32"/>
        </w:rPr>
        <w:t>2. Scope: What EN 301 549 Covers</w:t>
      </w:r>
    </w:p>
    <w:p>
      <w:pPr>
        <w:spacing w:before="60" w:after="80"/>
      </w:pPr>
      <w:r>
        <w:rPr>
          <w:rFonts w:ascii="Arial" w:hAnsi="Arial"/>
          <w:b w:val="0"/>
          <w:i w:val="0"/>
          <w:color w:val="404040"/>
          <w:sz w:val="20"/>
        </w:rPr>
        <w:t>EN 301 549 applies to all ICT products and services. Understanding the scope is critical for compliance planning.</w:t>
      </w:r>
    </w:p>
    <w:p>
      <w:pPr>
        <w:spacing w:before="240" w:after="80"/>
      </w:pPr>
      <w:r>
        <w:rPr>
          <w:rFonts w:ascii="Arial" w:hAnsi="Arial"/>
          <w:b/>
          <w:color w:val="2E75B6"/>
          <w:sz w:val="26"/>
        </w:rPr>
        <w:t>Website &amp; Web Applications</w:t>
      </w:r>
    </w:p>
    <w:p>
      <w:pPr>
        <w:pStyle w:val="ListBullet"/>
        <w:spacing w:before="20" w:after="20"/>
        <w:ind w:left="360"/>
      </w:pPr>
      <w:r>
        <w:rPr>
          <w:rFonts w:ascii="Arial" w:hAnsi="Arial"/>
          <w:b/>
          <w:color w:val="404040"/>
          <w:sz w:val="20"/>
        </w:rPr>
        <w:t xml:space="preserve">Websites: </w:t>
      </w:r>
      <w:r>
        <w:rPr>
          <w:rFonts w:ascii="Arial" w:hAnsi="Arial"/>
          <w:color w:val="404040"/>
          <w:sz w:val="20"/>
        </w:rPr>
        <w:t>Public and private websites</w:t>
      </w:r>
    </w:p>
    <w:p>
      <w:pPr>
        <w:pStyle w:val="ListBullet"/>
        <w:spacing w:before="20" w:after="20"/>
        <w:ind w:left="360"/>
      </w:pPr>
      <w:r>
        <w:rPr>
          <w:rFonts w:ascii="Arial" w:hAnsi="Arial"/>
          <w:b/>
          <w:color w:val="404040"/>
          <w:sz w:val="20"/>
        </w:rPr>
        <w:t xml:space="preserve">Web Apps: </w:t>
      </w:r>
      <w:r>
        <w:rPr>
          <w:rFonts w:ascii="Arial" w:hAnsi="Arial"/>
          <w:color w:val="404040"/>
          <w:sz w:val="20"/>
        </w:rPr>
        <w:t>Web applications (Gmail, Salesforce, Microsoft 365, etc.)</w:t>
      </w:r>
    </w:p>
    <w:p>
      <w:pPr>
        <w:pStyle w:val="ListBullet"/>
        <w:spacing w:before="20" w:after="20"/>
        <w:ind w:left="360"/>
      </w:pPr>
      <w:r>
        <w:rPr>
          <w:rFonts w:ascii="Arial" w:hAnsi="Arial"/>
          <w:b/>
          <w:color w:val="404040"/>
          <w:sz w:val="20"/>
        </w:rPr>
        <w:t xml:space="preserve">SPAs: </w:t>
      </w:r>
      <w:r>
        <w:rPr>
          <w:rFonts w:ascii="Arial" w:hAnsi="Arial"/>
          <w:color w:val="404040"/>
          <w:sz w:val="20"/>
        </w:rPr>
        <w:t>Single-page applications (SPAs) built with React, Vue, Angular</w:t>
      </w:r>
    </w:p>
    <w:p>
      <w:pPr>
        <w:pStyle w:val="ListBullet"/>
        <w:spacing w:before="20" w:after="20"/>
        <w:ind w:left="360"/>
      </w:pPr>
      <w:r>
        <w:rPr>
          <w:rFonts w:ascii="Arial" w:hAnsi="Arial"/>
          <w:b/>
          <w:color w:val="404040"/>
          <w:sz w:val="20"/>
        </w:rPr>
        <w:t xml:space="preserve">PWAs: </w:t>
      </w:r>
      <w:r>
        <w:rPr>
          <w:rFonts w:ascii="Arial" w:hAnsi="Arial"/>
          <w:color w:val="404040"/>
          <w:sz w:val="20"/>
        </w:rPr>
        <w:t>Progressive web applications (PWAs)</w:t>
      </w:r>
    </w:p>
    <w:p>
      <w:pPr>
        <w:pStyle w:val="ListBullet"/>
        <w:spacing w:before="20" w:after="20"/>
        <w:ind w:left="360"/>
      </w:pPr>
      <w:r>
        <w:rPr>
          <w:rFonts w:ascii="Arial" w:hAnsi="Arial"/>
          <w:b/>
          <w:color w:val="404040"/>
          <w:sz w:val="20"/>
        </w:rPr>
        <w:t xml:space="preserve">CMS: </w:t>
      </w:r>
      <w:r>
        <w:rPr>
          <w:rFonts w:ascii="Arial" w:hAnsi="Arial"/>
          <w:color w:val="404040"/>
          <w:sz w:val="20"/>
        </w:rPr>
        <w:t>Web content management systems (WordPress, Drupal, etc.)</w:t>
      </w:r>
    </w:p>
    <w:p>
      <w:pPr>
        <w:spacing w:before="240" w:after="80"/>
      </w:pPr>
      <w:r>
        <w:rPr>
          <w:rFonts w:ascii="Arial" w:hAnsi="Arial"/>
          <w:b/>
          <w:color w:val="2E75B6"/>
          <w:sz w:val="26"/>
        </w:rPr>
        <w:t>Non-Web Software</w:t>
      </w:r>
    </w:p>
    <w:p>
      <w:pPr>
        <w:pStyle w:val="ListBullet"/>
        <w:spacing w:before="20" w:after="20"/>
        <w:ind w:left="360"/>
      </w:pPr>
      <w:r>
        <w:rPr>
          <w:rFonts w:ascii="Arial" w:hAnsi="Arial"/>
          <w:b/>
          <w:color w:val="404040"/>
          <w:sz w:val="20"/>
        </w:rPr>
        <w:t xml:space="preserve">Desktop: </w:t>
      </w:r>
      <w:r>
        <w:rPr>
          <w:rFonts w:ascii="Arial" w:hAnsi="Arial"/>
          <w:color w:val="404040"/>
          <w:sz w:val="20"/>
        </w:rPr>
        <w:t>Desktop applications (Windows, macOS, Linux)</w:t>
      </w:r>
    </w:p>
    <w:p>
      <w:pPr>
        <w:pStyle w:val="ListBullet"/>
        <w:spacing w:before="20" w:after="20"/>
        <w:ind w:left="360"/>
      </w:pPr>
      <w:r>
        <w:rPr>
          <w:rFonts w:ascii="Arial" w:hAnsi="Arial"/>
          <w:b/>
          <w:color w:val="404040"/>
          <w:sz w:val="20"/>
        </w:rPr>
        <w:t xml:space="preserve">Mobile: </w:t>
      </w:r>
      <w:r>
        <w:rPr>
          <w:rFonts w:ascii="Arial" w:hAnsi="Arial"/>
          <w:color w:val="404040"/>
          <w:sz w:val="20"/>
        </w:rPr>
        <w:t>Mobile applications (iOS, Android)</w:t>
      </w:r>
    </w:p>
    <w:p>
      <w:pPr>
        <w:pStyle w:val="ListBullet"/>
        <w:spacing w:before="20" w:after="20"/>
        <w:ind w:left="360"/>
      </w:pPr>
      <w:r>
        <w:rPr>
          <w:rFonts w:ascii="Arial" w:hAnsi="Arial"/>
          <w:b/>
          <w:color w:val="404040"/>
          <w:sz w:val="20"/>
        </w:rPr>
        <w:t xml:space="preserve">Frameworks: </w:t>
      </w:r>
      <w:r>
        <w:rPr>
          <w:rFonts w:ascii="Arial" w:hAnsi="Arial"/>
          <w:color w:val="404040"/>
          <w:sz w:val="20"/>
        </w:rPr>
        <w:t>Native and cross-platform frameworks (React Native, Flutter, Electron)</w:t>
      </w:r>
    </w:p>
    <w:p>
      <w:pPr>
        <w:pStyle w:val="ListBullet"/>
        <w:spacing w:before="20" w:after="20"/>
        <w:ind w:left="360"/>
      </w:pPr>
      <w:r>
        <w:rPr>
          <w:rFonts w:ascii="Arial" w:hAnsi="Arial"/>
          <w:b/>
          <w:color w:val="404040"/>
          <w:sz w:val="20"/>
        </w:rPr>
        <w:t xml:space="preserve">CLI Tools: </w:t>
      </w:r>
      <w:r>
        <w:rPr>
          <w:rFonts w:ascii="Arial" w:hAnsi="Arial"/>
          <w:color w:val="404040"/>
          <w:sz w:val="20"/>
        </w:rPr>
        <w:t>Command-line tools and scripts (must support basic accessibility)</w:t>
      </w:r>
    </w:p>
    <w:p>
      <w:pPr>
        <w:spacing w:before="240" w:after="80"/>
      </w:pPr>
      <w:r>
        <w:rPr>
          <w:rFonts w:ascii="Arial" w:hAnsi="Arial"/>
          <w:b/>
          <w:color w:val="2E75B6"/>
          <w:sz w:val="26"/>
        </w:rPr>
        <w:t>Hardware &amp; Physical Devices</w:t>
      </w:r>
    </w:p>
    <w:p>
      <w:pPr>
        <w:pStyle w:val="ListBullet"/>
        <w:spacing w:before="20" w:after="20"/>
        <w:ind w:left="360"/>
      </w:pPr>
      <w:r>
        <w:rPr>
          <w:rFonts w:ascii="Arial" w:hAnsi="Arial"/>
          <w:b/>
          <w:color w:val="404040"/>
          <w:sz w:val="20"/>
        </w:rPr>
        <w:t xml:space="preserve">Computing Devices: </w:t>
      </w:r>
      <w:r>
        <w:rPr>
          <w:rFonts w:ascii="Arial" w:hAnsi="Arial"/>
          <w:color w:val="404040"/>
          <w:sz w:val="20"/>
        </w:rPr>
        <w:t>Computers, tablets, smartphones</w:t>
      </w:r>
    </w:p>
    <w:p>
      <w:pPr>
        <w:pStyle w:val="ListBullet"/>
        <w:spacing w:before="20" w:after="20"/>
        <w:ind w:left="360"/>
      </w:pPr>
      <w:r>
        <w:rPr>
          <w:rFonts w:ascii="Arial" w:hAnsi="Arial"/>
          <w:b/>
          <w:color w:val="404040"/>
          <w:sz w:val="20"/>
        </w:rPr>
        <w:t xml:space="preserve">Financial Equipment: </w:t>
      </w:r>
      <w:r>
        <w:rPr>
          <w:rFonts w:ascii="Arial" w:hAnsi="Arial"/>
          <w:color w:val="404040"/>
          <w:sz w:val="20"/>
        </w:rPr>
        <w:t>ATMs and point-of-sale terminals</w:t>
      </w:r>
    </w:p>
    <w:p>
      <w:pPr>
        <w:pStyle w:val="ListBullet"/>
        <w:spacing w:before="20" w:after="20"/>
        <w:ind w:left="360"/>
      </w:pPr>
      <w:r>
        <w:rPr>
          <w:rFonts w:ascii="Arial" w:hAnsi="Arial"/>
          <w:b/>
          <w:color w:val="404040"/>
          <w:sz w:val="20"/>
        </w:rPr>
        <w:t xml:space="preserve">Public Kiosks: </w:t>
      </w:r>
      <w:r>
        <w:rPr>
          <w:rFonts w:ascii="Arial" w:hAnsi="Arial"/>
          <w:color w:val="404040"/>
          <w:sz w:val="20"/>
        </w:rPr>
        <w:t>Self-service kiosks (ticketing, check-in, information)</w:t>
      </w:r>
    </w:p>
    <w:p>
      <w:pPr>
        <w:pStyle w:val="ListBullet"/>
        <w:spacing w:before="20" w:after="20"/>
        <w:ind w:left="360"/>
      </w:pPr>
      <w:r>
        <w:rPr>
          <w:rFonts w:ascii="Arial" w:hAnsi="Arial"/>
          <w:b/>
          <w:color w:val="404040"/>
          <w:sz w:val="20"/>
        </w:rPr>
        <w:t xml:space="preserve">Medical Devices: </w:t>
      </w:r>
      <w:r>
        <w:rPr>
          <w:rFonts w:ascii="Arial" w:hAnsi="Arial"/>
          <w:color w:val="404040"/>
          <w:sz w:val="20"/>
        </w:rPr>
        <w:t>Medical and laboratory equipment with digital interfaces</w:t>
      </w:r>
    </w:p>
    <w:p>
      <w:pPr>
        <w:pStyle w:val="ListBullet"/>
        <w:spacing w:before="20" w:after="20"/>
        <w:ind w:left="360"/>
      </w:pPr>
      <w:r>
        <w:rPr>
          <w:rFonts w:ascii="Arial" w:hAnsi="Arial"/>
          <w:b/>
          <w:color w:val="404040"/>
          <w:sz w:val="20"/>
        </w:rPr>
        <w:t xml:space="preserve">Display Equipment: </w:t>
      </w:r>
      <w:r>
        <w:rPr>
          <w:rFonts w:ascii="Arial" w:hAnsi="Arial"/>
          <w:color w:val="404040"/>
          <w:sz w:val="20"/>
        </w:rPr>
        <w:t>TVs and video display equipment</w:t>
      </w:r>
    </w:p>
    <w:p>
      <w:pPr>
        <w:pStyle w:val="ListBullet"/>
        <w:spacing w:before="20" w:after="20"/>
        <w:ind w:left="360"/>
      </w:pPr>
      <w:r>
        <w:rPr>
          <w:rFonts w:ascii="Arial" w:hAnsi="Arial"/>
          <w:b/>
          <w:color w:val="404040"/>
          <w:sz w:val="20"/>
        </w:rPr>
        <w:t xml:space="preserve">Audio Equipment: </w:t>
      </w:r>
      <w:r>
        <w:rPr>
          <w:rFonts w:ascii="Arial" w:hAnsi="Arial"/>
          <w:color w:val="404040"/>
          <w:sz w:val="20"/>
        </w:rPr>
        <w:t>Audio and communication equipment</w:t>
      </w:r>
    </w:p>
    <w:p>
      <w:pPr>
        <w:spacing w:before="240" w:after="80"/>
      </w:pPr>
      <w:r>
        <w:rPr>
          <w:rFonts w:ascii="Arial" w:hAnsi="Arial"/>
          <w:b/>
          <w:color w:val="2E75B6"/>
          <w:sz w:val="26"/>
        </w:rPr>
        <w:t>Documents &amp; Accessibility Support</w:t>
      </w:r>
    </w:p>
    <w:p>
      <w:pPr>
        <w:pStyle w:val="ListBullet"/>
        <w:spacing w:before="20" w:after="20"/>
        <w:ind w:left="360"/>
      </w:pPr>
      <w:r>
        <w:rPr>
          <w:rFonts w:ascii="Arial" w:hAnsi="Arial"/>
          <w:b/>
          <w:color w:val="404040"/>
          <w:sz w:val="20"/>
        </w:rPr>
        <w:t xml:space="preserve">Documents: </w:t>
      </w:r>
      <w:r>
        <w:rPr>
          <w:rFonts w:ascii="Arial" w:hAnsi="Arial"/>
          <w:color w:val="404040"/>
          <w:sz w:val="20"/>
        </w:rPr>
        <w:t>PDFs and electronic documents</w:t>
      </w:r>
    </w:p>
    <w:p>
      <w:pPr>
        <w:pStyle w:val="ListBullet"/>
        <w:spacing w:before="20" w:after="20"/>
        <w:ind w:left="360"/>
      </w:pPr>
      <w:r>
        <w:rPr>
          <w:rFonts w:ascii="Arial" w:hAnsi="Arial"/>
          <w:b/>
          <w:color w:val="404040"/>
          <w:sz w:val="20"/>
        </w:rPr>
        <w:t xml:space="preserve">Manuals: </w:t>
      </w:r>
      <w:r>
        <w:rPr>
          <w:rFonts w:ascii="Arial" w:hAnsi="Arial"/>
          <w:color w:val="404040"/>
          <w:sz w:val="20"/>
        </w:rPr>
        <w:t>User manuals and technical documentation</w:t>
      </w:r>
    </w:p>
    <w:p>
      <w:pPr>
        <w:pStyle w:val="ListBullet"/>
        <w:spacing w:before="20" w:after="20"/>
        <w:ind w:left="360"/>
      </w:pPr>
      <w:r>
        <w:rPr>
          <w:rFonts w:ascii="Arial" w:hAnsi="Arial"/>
          <w:b/>
          <w:color w:val="404040"/>
          <w:sz w:val="20"/>
        </w:rPr>
        <w:t xml:space="preserve">Support Services: </w:t>
      </w:r>
      <w:r>
        <w:rPr>
          <w:rFonts w:ascii="Arial" w:hAnsi="Arial"/>
          <w:color w:val="404040"/>
          <w:sz w:val="20"/>
        </w:rPr>
        <w:t>Help systems and online support</w:t>
      </w:r>
    </w:p>
    <w:p>
      <w:pPr>
        <w:pStyle w:val="ListBullet"/>
        <w:spacing w:before="20" w:after="20"/>
        <w:ind w:left="360"/>
      </w:pPr>
      <w:r>
        <w:rPr>
          <w:rFonts w:ascii="Arial" w:hAnsi="Arial"/>
          <w:b/>
          <w:color w:val="404040"/>
          <w:sz w:val="20"/>
        </w:rPr>
        <w:t xml:space="preserve">Emergency Services: </w:t>
      </w:r>
      <w:r>
        <w:rPr>
          <w:rFonts w:ascii="Arial" w:hAnsi="Arial"/>
          <w:color w:val="404040"/>
          <w:sz w:val="20"/>
        </w:rPr>
        <w:t>Relay services and emergency communication systems</w:t>
      </w:r>
    </w:p>
    <w:p>
      <w:pPr>
        <w:spacing w:before="240" w:after="80"/>
      </w:pPr>
      <w:r>
        <w:rPr>
          <w:rFonts w:ascii="Arial" w:hAnsi="Arial"/>
          <w:b/>
          <w:color w:val="2E75B6"/>
          <w:sz w:val="26"/>
        </w:rPr>
        <w:t>Accessibility Services</w:t>
      </w:r>
    </w:p>
    <w:p>
      <w:pPr>
        <w:pStyle w:val="ListBullet"/>
        <w:spacing w:before="20" w:after="20"/>
        <w:ind w:left="360"/>
      </w:pPr>
      <w:r>
        <w:rPr>
          <w:rFonts w:ascii="Arial" w:hAnsi="Arial"/>
          <w:b/>
          <w:color w:val="404040"/>
          <w:sz w:val="20"/>
        </w:rPr>
        <w:t xml:space="preserve">Video Services: </w:t>
      </w:r>
      <w:r>
        <w:rPr>
          <w:rFonts w:ascii="Arial" w:hAnsi="Arial"/>
          <w:color w:val="404040"/>
          <w:sz w:val="20"/>
        </w:rPr>
        <w:t>Captioning and subtitle services for video content</w:t>
      </w:r>
    </w:p>
    <w:p>
      <w:pPr>
        <w:pStyle w:val="ListBullet"/>
        <w:spacing w:before="20" w:after="20"/>
        <w:ind w:left="360"/>
      </w:pPr>
      <w:r>
        <w:rPr>
          <w:rFonts w:ascii="Arial" w:hAnsi="Arial"/>
          <w:b/>
          <w:color w:val="404040"/>
          <w:sz w:val="20"/>
        </w:rPr>
        <w:t xml:space="preserve">Audio Services: </w:t>
      </w:r>
      <w:r>
        <w:rPr>
          <w:rFonts w:ascii="Arial" w:hAnsi="Arial"/>
          <w:color w:val="404040"/>
          <w:sz w:val="20"/>
        </w:rPr>
        <w:t>Audio description services for visual content</w:t>
      </w:r>
    </w:p>
    <w:p>
      <w:pPr>
        <w:pStyle w:val="ListBullet"/>
        <w:spacing w:before="20" w:after="20"/>
        <w:ind w:left="360"/>
      </w:pPr>
      <w:r>
        <w:rPr>
          <w:rFonts w:ascii="Arial" w:hAnsi="Arial"/>
          <w:b/>
          <w:color w:val="404040"/>
          <w:sz w:val="20"/>
        </w:rPr>
        <w:t xml:space="preserve">Relay Services: </w:t>
      </w:r>
      <w:r>
        <w:rPr>
          <w:rFonts w:ascii="Arial" w:hAnsi="Arial"/>
          <w:color w:val="404040"/>
          <w:sz w:val="20"/>
        </w:rPr>
        <w:t>Relay services (speech-to-text, text-to-speech)</w:t>
      </w:r>
    </w:p>
    <w:p>
      <w:pPr>
        <w:pStyle w:val="ListBullet"/>
        <w:spacing w:before="20" w:after="20"/>
        <w:ind w:left="360"/>
      </w:pPr>
      <w:r>
        <w:rPr>
          <w:rFonts w:ascii="Arial" w:hAnsi="Arial"/>
          <w:b/>
          <w:color w:val="404040"/>
          <w:sz w:val="20"/>
        </w:rPr>
        <w:t xml:space="preserve">Emergency Accessibility: </w:t>
      </w:r>
      <w:r>
        <w:rPr>
          <w:rFonts w:ascii="Arial" w:hAnsi="Arial"/>
          <w:color w:val="404040"/>
          <w:sz w:val="20"/>
        </w:rPr>
        <w:t>Emergency communication accessibility features</w:t>
      </w: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EN 301 549 is comprehensive. If your organization produces, distributes, or supports ANY ICT product or service, compliance is likely mandatory.</w:t>
      </w:r>
    </w:p>
    <w:p>
      <w:r>
        <w:br w:type="page"/>
      </w:r>
    </w:p>
    <w:p>
      <w:pPr>
        <w:spacing w:before="360" w:after="120"/>
        <w:pBdr>
          <w:bottom w:val="single" w:sz="12" w:space="4" w:color="2E75B6"/>
        </w:pBdr>
      </w:pPr>
      <w:r>
        <w:rPr>
          <w:rFonts w:ascii="Arial" w:hAnsi="Arial"/>
          <w:b/>
          <w:color w:val="1F4E79"/>
          <w:sz w:val="32"/>
        </w:rPr>
        <w:t>3. Chapter Structure &amp; Content Overview</w:t>
      </w:r>
    </w:p>
    <w:p>
      <w:pPr>
        <w:spacing w:before="60" w:after="80"/>
      </w:pPr>
      <w:r>
        <w:rPr>
          <w:rFonts w:ascii="Arial" w:hAnsi="Arial"/>
          <w:b w:val="0"/>
          <w:i w:val="0"/>
          <w:color w:val="404040"/>
          <w:sz w:val="20"/>
        </w:rPr>
        <w:t>EN 301 549 is organized into 13 chapters, each addressing a specific ICT category or crosscutting concern.</w:t>
      </w:r>
    </w:p>
    <w:p>
      <w:pPr>
        <w:spacing w:before="240" w:after="80"/>
      </w:pPr>
      <w:r>
        <w:rPr>
          <w:rFonts w:ascii="Arial" w:hAnsi="Arial"/>
          <w:b/>
          <w:color w:val="2E75B6"/>
          <w:sz w:val="26"/>
        </w:rPr>
        <w:t>Chapter-by-Chapter Breakdown</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152"/>
            <w:shd w:val="clear" w:color="auto" w:fill="1F4E79"/>
            <w:tcMar>
              <w:top w:w="80" w:type="dxa"/>
              <w:bottom w:w="80" w:type="dxa"/>
              <w:left w:w="120" w:type="dxa"/>
              <w:right w:w="120" w:type="dxa"/>
            </w:tcMar>
          </w:tcPr>
          <w:p>
            <w:pPr>
              <w:jc w:val="left"/>
            </w:pPr>
            <w:r>
              <w:rPr>
                <w:rFonts w:ascii="Arial" w:hAnsi="Arial"/>
                <w:b/>
                <w:color w:val="FFFFFF"/>
                <w:sz w:val="18"/>
              </w:rPr>
              <w:t>Chapter</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Topic</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Description</w:t>
            </w:r>
          </w:p>
        </w:tc>
        <w:tc>
          <w:tcPr>
            <w:tcW w:type="dxa" w:w="1872"/>
            <w:shd w:val="clear" w:color="auto" w:fill="1F4E79"/>
            <w:tcMar>
              <w:top w:w="80" w:type="dxa"/>
              <w:bottom w:w="80" w:type="dxa"/>
              <w:left w:w="120" w:type="dxa"/>
              <w:right w:w="120" w:type="dxa"/>
            </w:tcMar>
          </w:tcPr>
          <w:p>
            <w:pPr>
              <w:jc w:val="left"/>
            </w:pPr>
            <w:r>
              <w:rPr>
                <w:rFonts w:ascii="Arial" w:hAnsi="Arial"/>
                <w:b/>
                <w:color w:val="FFFFFF"/>
                <w:sz w:val="18"/>
              </w:rPr>
              <w:t>Category</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Chapter 4</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Functional Performance Statements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Not WCAG-based; describes accessibility in terms of user capabilities</w:t>
            </w:r>
          </w:p>
        </w:tc>
        <w:tc>
          <w:tcPr>
            <w:tcW w:type="dxa" w:w="1872"/>
            <w:shd w:val="clear" w:color="auto" w:fill="EBF3FB"/>
            <w:tcMar>
              <w:top w:w="80" w:type="dxa"/>
              <w:bottom w:w="80" w:type="dxa"/>
              <w:left w:w="120" w:type="dxa"/>
              <w:right w:w="120" w:type="dxa"/>
            </w:tcMar>
          </w:tcPr>
          <w:p>
            <w:pPr>
              <w:jc w:val="left"/>
            </w:pPr>
            <w:r>
              <w:rPr>
                <w:rFonts w:ascii="Arial" w:hAnsi="Arial"/>
                <w:color w:val="404040"/>
                <w:sz w:val="18"/>
              </w:rPr>
              <w:t>Design requirement</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Chapter 5</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Generic Requirements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Generic ICT requirements (e.g., closed functionality, preservation of accessibility)</w:t>
            </w:r>
          </w:p>
        </w:tc>
        <w:tc>
          <w:tcPr>
            <w:tcW w:type="dxa" w:w="1872"/>
            <w:shd w:val="clear" w:color="auto" w:fill="FFFFFF"/>
            <w:tcMar>
              <w:top w:w="80" w:type="dxa"/>
              <w:bottom w:w="80" w:type="dxa"/>
              <w:left w:w="120" w:type="dxa"/>
              <w:right w:w="120" w:type="dxa"/>
            </w:tcMar>
          </w:tcPr>
          <w:p>
            <w:pPr>
              <w:jc w:val="left"/>
            </w:pPr>
            <w:r>
              <w:rPr>
                <w:rFonts w:ascii="Arial" w:hAnsi="Arial"/>
                <w:color w:val="404040"/>
                <w:sz w:val="18"/>
              </w:rPr>
              <w:t>Cross-cutting</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Chapter 6</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ICT with Two-Way Voice Communication</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Accessibility for voice calls, VoIP, telecom services</w:t>
            </w:r>
          </w:p>
        </w:tc>
        <w:tc>
          <w:tcPr>
            <w:tcW w:type="dxa" w:w="1872"/>
            <w:shd w:val="clear" w:color="auto" w:fill="EBF3FB"/>
            <w:tcMar>
              <w:top w:w="80" w:type="dxa"/>
              <w:bottom w:w="80" w:type="dxa"/>
              <w:left w:w="120" w:type="dxa"/>
              <w:right w:w="120" w:type="dxa"/>
            </w:tcMar>
          </w:tcPr>
          <w:p>
            <w:pPr>
              <w:jc w:val="left"/>
            </w:pPr>
            <w:r>
              <w:rPr>
                <w:rFonts w:ascii="Arial" w:hAnsi="Arial"/>
                <w:color w:val="404040"/>
                <w:sz w:val="18"/>
              </w:rPr>
              <w:t>Telecom/Voice</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Chapter 7</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ICT with Video Capabilities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Video players, captions, audio description, colour contrast for video overlays</w:t>
            </w:r>
          </w:p>
        </w:tc>
        <w:tc>
          <w:tcPr>
            <w:tcW w:type="dxa" w:w="1872"/>
            <w:shd w:val="clear" w:color="auto" w:fill="FFFFFF"/>
            <w:tcMar>
              <w:top w:w="80" w:type="dxa"/>
              <w:bottom w:w="80" w:type="dxa"/>
              <w:left w:w="120" w:type="dxa"/>
              <w:right w:w="120" w:type="dxa"/>
            </w:tcMar>
          </w:tcPr>
          <w:p>
            <w:pPr>
              <w:jc w:val="left"/>
            </w:pPr>
            <w:r>
              <w:rPr>
                <w:rFonts w:ascii="Arial" w:hAnsi="Arial"/>
                <w:color w:val="404040"/>
                <w:sz w:val="18"/>
              </w:rPr>
              <w:t>Video</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Chapter 8</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Hardware</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Operable parts, physical design, compatibility with assistive technology</w:t>
            </w:r>
          </w:p>
        </w:tc>
        <w:tc>
          <w:tcPr>
            <w:tcW w:type="dxa" w:w="1872"/>
            <w:shd w:val="clear" w:color="auto" w:fill="EBF3FB"/>
            <w:tcMar>
              <w:top w:w="80" w:type="dxa"/>
              <w:bottom w:w="80" w:type="dxa"/>
              <w:left w:w="120" w:type="dxa"/>
              <w:right w:w="120" w:type="dxa"/>
            </w:tcMar>
          </w:tcPr>
          <w:p>
            <w:pPr>
              <w:jc w:val="left"/>
            </w:pPr>
            <w:r>
              <w:rPr>
                <w:rFonts w:ascii="Arial" w:hAnsi="Arial"/>
                <w:color w:val="404040"/>
                <w:sz w:val="18"/>
              </w:rPr>
              <w:t>Hardware</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Chapter 9</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Web Content</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Direct mapping to WCAG 2.1 Level AA; applies to websites and web apps</w:t>
            </w:r>
          </w:p>
        </w:tc>
        <w:tc>
          <w:tcPr>
            <w:tcW w:type="dxa" w:w="1872"/>
            <w:shd w:val="clear" w:color="auto" w:fill="FFFFFF"/>
            <w:tcMar>
              <w:top w:w="80" w:type="dxa"/>
              <w:bottom w:w="80" w:type="dxa"/>
              <w:left w:w="120" w:type="dxa"/>
              <w:right w:w="120" w:type="dxa"/>
            </w:tcMar>
          </w:tcPr>
          <w:p>
            <w:pPr>
              <w:jc w:val="left"/>
            </w:pPr>
            <w:r>
              <w:rPr>
                <w:rFonts w:ascii="Arial" w:hAnsi="Arial"/>
                <w:color w:val="404040"/>
                <w:sz w:val="18"/>
              </w:rPr>
              <w:t>Web</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Chapter 10</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Non-Web Documents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Accessible PDFs, Word docs, ePubs; WCAG-derived requirements for document format</w:t>
            </w:r>
          </w:p>
        </w:tc>
        <w:tc>
          <w:tcPr>
            <w:tcW w:type="dxa" w:w="1872"/>
            <w:shd w:val="clear" w:color="auto" w:fill="EBF3FB"/>
            <w:tcMar>
              <w:top w:w="80" w:type="dxa"/>
              <w:bottom w:w="80" w:type="dxa"/>
              <w:left w:w="120" w:type="dxa"/>
              <w:right w:w="120" w:type="dxa"/>
            </w:tcMar>
          </w:tcPr>
          <w:p>
            <w:pPr>
              <w:jc w:val="left"/>
            </w:pPr>
            <w:r>
              <w:rPr>
                <w:rFonts w:ascii="Arial" w:hAnsi="Arial"/>
                <w:color w:val="404040"/>
                <w:sz w:val="18"/>
              </w:rPr>
              <w:t>Documents</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Chapter 11</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Software</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Desktop and mobile apps; WCAG 2.1 adapted for software UX (keyboard, screen readers, focus)</w:t>
            </w:r>
          </w:p>
        </w:tc>
        <w:tc>
          <w:tcPr>
            <w:tcW w:type="dxa" w:w="1872"/>
            <w:shd w:val="clear" w:color="auto" w:fill="FFFFFF"/>
            <w:tcMar>
              <w:top w:w="80" w:type="dxa"/>
              <w:bottom w:w="80" w:type="dxa"/>
              <w:left w:w="120" w:type="dxa"/>
              <w:right w:w="120" w:type="dxa"/>
            </w:tcMar>
          </w:tcPr>
          <w:p>
            <w:pPr>
              <w:jc w:val="left"/>
            </w:pPr>
            <w:r>
              <w:rPr>
                <w:rFonts w:ascii="Arial" w:hAnsi="Arial"/>
                <w:color w:val="404040"/>
                <w:sz w:val="18"/>
              </w:rPr>
              <w:t>Software</w:t>
            </w:r>
          </w:p>
        </w:tc>
      </w:tr>
      <w:tr>
        <w:tc>
          <w:tcPr>
            <w:tcW w:type="dxa" w:w="1152"/>
            <w:shd w:val="clear" w:color="auto" w:fill="EBF3FB"/>
            <w:tcMar>
              <w:top w:w="80" w:type="dxa"/>
              <w:bottom w:w="80" w:type="dxa"/>
              <w:left w:w="120" w:type="dxa"/>
              <w:right w:w="120" w:type="dxa"/>
            </w:tcMar>
          </w:tcPr>
          <w:p>
            <w:pPr>
              <w:jc w:val="left"/>
            </w:pPr>
            <w:r>
              <w:rPr>
                <w:rFonts w:ascii="Arial" w:hAnsi="Arial"/>
                <w:color w:val="404040"/>
                <w:sz w:val="18"/>
              </w:rPr>
              <w:t>Chapter 12</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Documentation &amp; Support Services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Accessible user manuals, help systems, customer support accessibility</w:t>
            </w:r>
          </w:p>
        </w:tc>
        <w:tc>
          <w:tcPr>
            <w:tcW w:type="dxa" w:w="1872"/>
            <w:shd w:val="clear" w:color="auto" w:fill="EBF3FB"/>
            <w:tcMar>
              <w:top w:w="80" w:type="dxa"/>
              <w:bottom w:w="80" w:type="dxa"/>
              <w:left w:w="120" w:type="dxa"/>
              <w:right w:w="120" w:type="dxa"/>
            </w:tcMar>
          </w:tcPr>
          <w:p>
            <w:pPr>
              <w:jc w:val="left"/>
            </w:pPr>
            <w:r>
              <w:rPr>
                <w:rFonts w:ascii="Arial" w:hAnsi="Arial"/>
                <w:color w:val="404040"/>
                <w:sz w:val="18"/>
              </w:rPr>
              <w:t>Support</w:t>
            </w:r>
          </w:p>
        </w:tc>
      </w:tr>
      <w:tr>
        <w:tc>
          <w:tcPr>
            <w:tcW w:type="dxa" w:w="1152"/>
            <w:shd w:val="clear" w:color="auto" w:fill="FFFFFF"/>
            <w:tcMar>
              <w:top w:w="80" w:type="dxa"/>
              <w:bottom w:w="80" w:type="dxa"/>
              <w:left w:w="120" w:type="dxa"/>
              <w:right w:w="120" w:type="dxa"/>
            </w:tcMar>
          </w:tcPr>
          <w:p>
            <w:pPr>
              <w:jc w:val="left"/>
            </w:pPr>
            <w:r>
              <w:rPr>
                <w:rFonts w:ascii="Arial" w:hAnsi="Arial"/>
                <w:color w:val="404040"/>
                <w:sz w:val="18"/>
              </w:rPr>
              <w:t>Chapter 13</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ICT with Relay/Emergency Services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Specialized requirements for emergency call systems and relay services</w:t>
            </w:r>
          </w:p>
        </w:tc>
        <w:tc>
          <w:tcPr>
            <w:tcW w:type="dxa" w:w="1872"/>
            <w:shd w:val="clear" w:color="auto" w:fill="FFFFFF"/>
            <w:tcMar>
              <w:top w:w="80" w:type="dxa"/>
              <w:bottom w:w="80" w:type="dxa"/>
              <w:left w:w="120" w:type="dxa"/>
              <w:right w:w="120" w:type="dxa"/>
            </w:tcMar>
          </w:tcPr>
          <w:p>
            <w:pPr>
              <w:jc w:val="left"/>
            </w:pPr>
            <w:r>
              <w:rPr>
                <w:rFonts w:ascii="Arial" w:hAnsi="Arial"/>
                <w:color w:val="404040"/>
                <w:sz w:val="18"/>
              </w:rPr>
              <w:t>Emergency</w:t>
            </w:r>
          </w:p>
        </w:tc>
      </w:tr>
    </w:tbl>
    <w:p>
      <w:pPr>
        <w:spacing w:after="80"/>
      </w:pPr>
    </w:p>
    <w:p>
      <w:pPr>
        <w:spacing w:before="240" w:after="80"/>
      </w:pPr>
      <w:r>
        <w:rPr>
          <w:rFonts w:ascii="Arial" w:hAnsi="Arial"/>
          <w:b/>
          <w:color w:val="2E75B6"/>
          <w:sz w:val="26"/>
        </w:rPr>
        <w:t>Note on Chapters 1–3</w:t>
      </w:r>
    </w:p>
    <w:p>
      <w:pPr>
        <w:spacing w:before="60" w:after="80"/>
      </w:pPr>
      <w:r>
        <w:rPr>
          <w:rFonts w:ascii="Arial" w:hAnsi="Arial"/>
          <w:b w:val="0"/>
          <w:i w:val="0"/>
          <w:color w:val="404040"/>
          <w:sz w:val="20"/>
        </w:rPr>
        <w:t>Chapters 1–3 contain normative and informative content:</w:t>
      </w:r>
    </w:p>
    <w:p>
      <w:pPr>
        <w:pStyle w:val="ListBullet"/>
        <w:spacing w:before="20" w:after="20"/>
        <w:ind w:left="360"/>
      </w:pPr>
      <w:r>
        <w:rPr>
          <w:rFonts w:ascii="Arial" w:hAnsi="Arial"/>
          <w:b/>
          <w:color w:val="404040"/>
          <w:sz w:val="20"/>
        </w:rPr>
        <w:t xml:space="preserve">Scope: </w:t>
      </w:r>
      <w:r>
        <w:rPr>
          <w:rFonts w:ascii="Arial" w:hAnsi="Arial"/>
          <w:color w:val="404040"/>
          <w:sz w:val="20"/>
        </w:rPr>
        <w:t>Chapter 1: Scope and normative references</w:t>
      </w:r>
    </w:p>
    <w:p>
      <w:pPr>
        <w:pStyle w:val="ListBullet"/>
        <w:spacing w:before="20" w:after="20"/>
        <w:ind w:left="360"/>
      </w:pPr>
      <w:r>
        <w:rPr>
          <w:rFonts w:ascii="Arial" w:hAnsi="Arial"/>
          <w:b/>
          <w:color w:val="404040"/>
          <w:sz w:val="20"/>
        </w:rPr>
        <w:t xml:space="preserve">References: </w:t>
      </w:r>
      <w:r>
        <w:rPr>
          <w:rFonts w:ascii="Arial" w:hAnsi="Arial"/>
          <w:color w:val="404040"/>
          <w:sz w:val="20"/>
        </w:rPr>
        <w:t>Chapter 2: Normative references (WCAG 2.1, ISO standards, etc.)</w:t>
      </w:r>
    </w:p>
    <w:p>
      <w:pPr>
        <w:pStyle w:val="ListBullet"/>
        <w:spacing w:before="20" w:after="20"/>
        <w:ind w:left="360"/>
      </w:pPr>
      <w:r>
        <w:rPr>
          <w:rFonts w:ascii="Arial" w:hAnsi="Arial"/>
          <w:b/>
          <w:color w:val="404040"/>
          <w:sz w:val="20"/>
        </w:rPr>
        <w:t xml:space="preserve">Definitions: </w:t>
      </w:r>
      <w:r>
        <w:rPr>
          <w:rFonts w:ascii="Arial" w:hAnsi="Arial"/>
          <w:color w:val="404040"/>
          <w:sz w:val="20"/>
        </w:rPr>
        <w:t>Chapter 3: Terms and definitions</w:t>
      </w:r>
    </w:p>
    <w:p>
      <w:r>
        <w:br w:type="page"/>
      </w:r>
    </w:p>
    <w:p>
      <w:pPr>
        <w:spacing w:before="360" w:after="120"/>
        <w:pBdr>
          <w:bottom w:val="single" w:sz="12" w:space="4" w:color="2E75B6"/>
        </w:pBdr>
      </w:pPr>
      <w:r>
        <w:rPr>
          <w:rFonts w:ascii="Arial" w:hAnsi="Arial"/>
          <w:b/>
          <w:color w:val="1F4E79"/>
          <w:sz w:val="32"/>
        </w:rPr>
        <w:t>4. WCAG 2.1 Mapping in Chapter 9 (Web Content)</w:t>
      </w:r>
    </w:p>
    <w:p>
      <w:pPr>
        <w:spacing w:before="60" w:after="80"/>
      </w:pPr>
      <w:r>
        <w:rPr>
          <w:rFonts w:ascii="Arial" w:hAnsi="Arial"/>
          <w:b w:val="0"/>
          <w:i w:val="0"/>
          <w:color w:val="404040"/>
          <w:sz w:val="20"/>
        </w:rPr>
        <w:t>EN 301 549 Chapter 9 directly maps to WCAG 2.1 Level AA. Understanding this mapping is essential for web accessibility work.</w:t>
      </w:r>
    </w:p>
    <w:p>
      <w:pPr>
        <w:spacing w:before="240" w:after="80"/>
      </w:pPr>
      <w:r>
        <w:rPr>
          <w:rFonts w:ascii="Arial" w:hAnsi="Arial"/>
          <w:b/>
          <w:color w:val="2E75B6"/>
          <w:sz w:val="26"/>
        </w:rPr>
        <w:t>WCAG 2.1 Structure</w:t>
      </w:r>
    </w:p>
    <w:p>
      <w:pPr>
        <w:spacing w:before="60" w:after="80"/>
      </w:pPr>
      <w:r>
        <w:rPr>
          <w:rFonts w:ascii="Arial" w:hAnsi="Arial"/>
          <w:b w:val="0"/>
          <w:i w:val="0"/>
          <w:color w:val="404040"/>
          <w:sz w:val="20"/>
        </w:rPr>
        <w:t>WCAG 2.1 organizes accessibility into four principles (POUR):</w:t>
      </w:r>
    </w:p>
    <w:p>
      <w:pPr>
        <w:pStyle w:val="ListBullet"/>
        <w:spacing w:before="20" w:after="20"/>
        <w:ind w:left="360"/>
      </w:pPr>
      <w:r>
        <w:rPr>
          <w:rFonts w:ascii="Arial" w:hAnsi="Arial"/>
          <w:b/>
          <w:color w:val="404040"/>
          <w:sz w:val="20"/>
        </w:rPr>
        <w:t xml:space="preserve">P: </w:t>
      </w:r>
      <w:r>
        <w:rPr>
          <w:rFonts w:ascii="Arial" w:hAnsi="Arial"/>
          <w:color w:val="404040"/>
          <w:sz w:val="20"/>
        </w:rPr>
        <w:t>Perceivable (P): Users can perceive content with their senses</w:t>
      </w:r>
    </w:p>
    <w:p>
      <w:pPr>
        <w:pStyle w:val="ListBullet"/>
        <w:spacing w:before="20" w:after="20"/>
        <w:ind w:left="360"/>
      </w:pPr>
      <w:r>
        <w:rPr>
          <w:rFonts w:ascii="Arial" w:hAnsi="Arial"/>
          <w:b/>
          <w:color w:val="404040"/>
          <w:sz w:val="20"/>
        </w:rPr>
        <w:t xml:space="preserve">O: </w:t>
      </w:r>
      <w:r>
        <w:rPr>
          <w:rFonts w:ascii="Arial" w:hAnsi="Arial"/>
          <w:color w:val="404040"/>
          <w:sz w:val="20"/>
        </w:rPr>
        <w:t>Operable (O): Users can navigate and control interfaces</w:t>
      </w:r>
    </w:p>
    <w:p>
      <w:pPr>
        <w:pStyle w:val="ListBullet"/>
        <w:spacing w:before="20" w:after="20"/>
        <w:ind w:left="360"/>
      </w:pPr>
      <w:r>
        <w:rPr>
          <w:rFonts w:ascii="Arial" w:hAnsi="Arial"/>
          <w:b/>
          <w:color w:val="404040"/>
          <w:sz w:val="20"/>
        </w:rPr>
        <w:t xml:space="preserve">U: </w:t>
      </w:r>
      <w:r>
        <w:rPr>
          <w:rFonts w:ascii="Arial" w:hAnsi="Arial"/>
          <w:color w:val="404040"/>
          <w:sz w:val="20"/>
        </w:rPr>
        <w:t>Understandable (U): Content and interfaces are clear and predictable</w:t>
      </w:r>
    </w:p>
    <w:p>
      <w:pPr>
        <w:pStyle w:val="ListBullet"/>
        <w:spacing w:before="20" w:after="20"/>
        <w:ind w:left="360"/>
      </w:pPr>
      <w:r>
        <w:rPr>
          <w:rFonts w:ascii="Arial" w:hAnsi="Arial"/>
          <w:b/>
          <w:color w:val="404040"/>
          <w:sz w:val="20"/>
        </w:rPr>
        <w:t xml:space="preserve">R: </w:t>
      </w:r>
      <w:r>
        <w:rPr>
          <w:rFonts w:ascii="Arial" w:hAnsi="Arial"/>
          <w:color w:val="404040"/>
          <w:sz w:val="20"/>
        </w:rPr>
        <w:t>Robust (R): Content works with assistive technologies</w:t>
      </w:r>
    </w:p>
    <w:p>
      <w:pPr>
        <w:spacing w:before="240" w:after="80"/>
      </w:pPr>
      <w:r>
        <w:rPr>
          <w:rFonts w:ascii="Arial" w:hAnsi="Arial"/>
          <w:b/>
          <w:color w:val="2E75B6"/>
          <w:sz w:val="26"/>
        </w:rPr>
        <w:t>Clause 9.x Mapping to WCAG Success Criteria</w:t>
      </w:r>
    </w:p>
    <w:p>
      <w:pPr>
        <w:spacing w:before="60" w:after="80"/>
      </w:pPr>
      <w:r>
        <w:rPr>
          <w:rFonts w:ascii="Arial" w:hAnsi="Arial"/>
          <w:b w:val="0"/>
          <w:i w:val="0"/>
          <w:color w:val="404040"/>
          <w:sz w:val="20"/>
        </w:rPr>
        <w:t>EN 301 549 clause 9.x (where x represents specific clauses) maps directly to WCAG 2.1 criteria:</w:t>
      </w:r>
    </w:p>
    <w:p>
      <w:pPr>
        <w:pStyle w:val="ListBullet"/>
        <w:spacing w:before="20" w:after="20"/>
        <w:ind w:left="360"/>
      </w:pPr>
      <w:r>
        <w:rPr>
          <w:rFonts w:ascii="Arial" w:hAnsi="Arial"/>
          <w:b/>
          <w:color w:val="404040"/>
          <w:sz w:val="20"/>
        </w:rPr>
        <w:t xml:space="preserve">Perceivable: </w:t>
      </w:r>
      <w:r>
        <w:rPr>
          <w:rFonts w:ascii="Arial" w:hAnsi="Arial"/>
          <w:color w:val="404040"/>
          <w:sz w:val="20"/>
        </w:rPr>
        <w:t>Clause 9.1.x → WCAG Perceivable criteria (Level A and AA)</w:t>
      </w:r>
    </w:p>
    <w:p>
      <w:pPr>
        <w:pStyle w:val="ListBullet"/>
        <w:spacing w:before="20" w:after="20"/>
        <w:ind w:left="360"/>
      </w:pPr>
      <w:r>
        <w:rPr>
          <w:rFonts w:ascii="Arial" w:hAnsi="Arial"/>
          <w:b/>
          <w:color w:val="404040"/>
          <w:sz w:val="20"/>
        </w:rPr>
        <w:t xml:space="preserve">Operable: </w:t>
      </w:r>
      <w:r>
        <w:rPr>
          <w:rFonts w:ascii="Arial" w:hAnsi="Arial"/>
          <w:color w:val="404040"/>
          <w:sz w:val="20"/>
        </w:rPr>
        <w:t>Clause 9.2.x → WCAG Operable criteria (Level A and AA)</w:t>
      </w:r>
    </w:p>
    <w:p>
      <w:pPr>
        <w:pStyle w:val="ListBullet"/>
        <w:spacing w:before="20" w:after="20"/>
        <w:ind w:left="360"/>
      </w:pPr>
      <w:r>
        <w:rPr>
          <w:rFonts w:ascii="Arial" w:hAnsi="Arial"/>
          <w:b/>
          <w:color w:val="404040"/>
          <w:sz w:val="20"/>
        </w:rPr>
        <w:t xml:space="preserve">Understandable: </w:t>
      </w:r>
      <w:r>
        <w:rPr>
          <w:rFonts w:ascii="Arial" w:hAnsi="Arial"/>
          <w:color w:val="404040"/>
          <w:sz w:val="20"/>
        </w:rPr>
        <w:t>Clause 9.3.x → WCAG Understandable criteria (Level A and AA)</w:t>
      </w:r>
    </w:p>
    <w:p>
      <w:pPr>
        <w:pStyle w:val="ListBullet"/>
        <w:spacing w:before="20" w:after="20"/>
        <w:ind w:left="360"/>
      </w:pPr>
      <w:r>
        <w:rPr>
          <w:rFonts w:ascii="Arial" w:hAnsi="Arial"/>
          <w:b/>
          <w:color w:val="404040"/>
          <w:sz w:val="20"/>
        </w:rPr>
        <w:t xml:space="preserve">Robust: </w:t>
      </w:r>
      <w:r>
        <w:rPr>
          <w:rFonts w:ascii="Arial" w:hAnsi="Arial"/>
          <w:color w:val="404040"/>
          <w:sz w:val="20"/>
        </w:rPr>
        <w:t>Clause 9.4.x → WCAG Robust criteria (Level A and AA)</w:t>
      </w:r>
    </w:p>
    <w:p>
      <w:pPr>
        <w:spacing w:before="240" w:after="80"/>
      </w:pPr>
      <w:r>
        <w:rPr>
          <w:rFonts w:ascii="Arial" w:hAnsi="Arial"/>
          <w:b/>
          <w:color w:val="2E75B6"/>
          <w:sz w:val="26"/>
        </w:rPr>
        <w:t>Critical Web Accessibility Requirements (Top 20)</w:t>
      </w:r>
    </w:p>
    <w:p>
      <w:pPr>
        <w:spacing w:before="0" w:after="120"/>
      </w:pP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1728"/>
            <w:shd w:val="clear" w:color="auto" w:fill="1F4E79"/>
            <w:tcMar>
              <w:top w:w="80" w:type="dxa"/>
              <w:bottom w:w="80" w:type="dxa"/>
              <w:left w:w="120" w:type="dxa"/>
              <w:right w:w="120" w:type="dxa"/>
            </w:tcMar>
          </w:tcPr>
          <w:p>
            <w:pPr>
              <w:jc w:val="left"/>
            </w:pPr>
            <w:r>
              <w:rPr>
                <w:rFonts w:ascii="Arial" w:hAnsi="Arial"/>
                <w:b/>
                <w:color w:val="FFFFFF"/>
                <w:sz w:val="18"/>
              </w:rPr>
              <w:t>Criterion</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Title</w:t>
            </w:r>
          </w:p>
        </w:tc>
        <w:tc>
          <w:tcPr>
            <w:tcW w:type="dxa" w:w="4752"/>
            <w:shd w:val="clear" w:color="auto" w:fill="1F4E79"/>
            <w:tcMar>
              <w:top w:w="80" w:type="dxa"/>
              <w:bottom w:w="80" w:type="dxa"/>
              <w:left w:w="120" w:type="dxa"/>
              <w:right w:w="120" w:type="dxa"/>
            </w:tcMar>
          </w:tcPr>
          <w:p>
            <w:pPr>
              <w:jc w:val="left"/>
            </w:pPr>
            <w:r>
              <w:rPr>
                <w:rFonts w:ascii="Arial" w:hAnsi="Arial"/>
                <w:b/>
                <w:color w:val="FFFFFF"/>
                <w:sz w:val="18"/>
              </w:rPr>
              <w:t>Requirement</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1.1.1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Non-text Content</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All images, graphics, and embedded content must have text alternatives (alt text)</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1.2.2</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Captions (Prerecorded)</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Prerecorded videos must have accurate, synchronized captions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1.2.5</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Audio Description</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Videos with important visual information must have audio description</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1.4.3</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Contrast (Minimum)</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Text must have 4.5:1 contrast ratio (normal text) or 3:1 (large text)</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2.1.1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Keyboard</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All functionality must be operable by keyboard</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2.1.2</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No Keyboard Trap</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Keyboard focus must not be locked; users can navigate away from any component</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2.4.3</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Focus Order</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Navigation order (tab key) must be logical and intuitive</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2.4.7</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Focus Visible</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Keyboard focus indicator must be visible at all times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2.5.1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Pointer Gestures</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Gestures requiring multiple fingers or complex paths must have alternatives</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2.5.5</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Target Size (Enhanced)</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Touch targets must be at least 44×44 CSS pixels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3.1.1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Language of Page</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Primary language must be identified in HTML</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3.2.1</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On Focus</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Components must not automatically change context when receiving focus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3.3.1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Error Identification</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Form errors must be clearly identified</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3.3.4</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Error Prevention</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Legal, financial, and data-deletion transactions must be reversible or confirmed</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4.1.2</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Name, Role, Value</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All UI components must have accessible name, role, and state information</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4.1.3</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Status Messages</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Status messages (e.g., search results count) must be announced to screen readers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1.3.1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Info &amp; Relationships</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Relationships between content must be conveyed programmatically (headings, lists)</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2.2.2</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Pause, Stop, Hide</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Moving, blinking, or scrolling content must be pausable</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3.2.2</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On Input</w:t>
            </w:r>
          </w:p>
        </w:tc>
        <w:tc>
          <w:tcPr>
            <w:tcW w:type="dxa" w:w="4752"/>
            <w:shd w:val="clear" w:color="auto" w:fill="EBF3FB"/>
            <w:tcMar>
              <w:top w:w="80" w:type="dxa"/>
              <w:bottom w:w="80" w:type="dxa"/>
              <w:left w:w="120" w:type="dxa"/>
              <w:right w:w="120" w:type="dxa"/>
            </w:tcMar>
          </w:tcPr>
          <w:p>
            <w:pPr>
              <w:jc w:val="left"/>
            </w:pPr>
            <w:r>
              <w:rPr>
                <w:rFonts w:ascii="Arial" w:hAnsi="Arial"/>
                <w:color w:val="404040"/>
                <w:sz w:val="18"/>
              </w:rPr>
              <w:t>User input must not automatically change context unless warned</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4.1.1</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Parsing</w:t>
            </w:r>
          </w:p>
        </w:tc>
        <w:tc>
          <w:tcPr>
            <w:tcW w:type="dxa" w:w="4752"/>
            <w:shd w:val="clear" w:color="auto" w:fill="FFFFFF"/>
            <w:tcMar>
              <w:top w:w="80" w:type="dxa"/>
              <w:bottom w:w="80" w:type="dxa"/>
              <w:left w:w="120" w:type="dxa"/>
              <w:right w:w="120" w:type="dxa"/>
            </w:tcMar>
          </w:tcPr>
          <w:p>
            <w:pPr>
              <w:jc w:val="left"/>
            </w:pPr>
            <w:r>
              <w:rPr>
                <w:rFonts w:ascii="Arial" w:hAnsi="Arial"/>
                <w:color w:val="404040"/>
                <w:sz w:val="18"/>
              </w:rPr>
              <w:t>HTML/code must be valid with no duplicate IDs or improper nesting</w:t>
            </w:r>
          </w:p>
        </w:tc>
      </w:tr>
    </w:tbl>
    <w:p>
      <w:pPr>
        <w:spacing w:after="80"/>
      </w:pPr>
    </w:p>
    <w:p>
      <w:pPr>
        <w:spacing w:before="240" w:after="80"/>
      </w:pPr>
      <w:r>
        <w:rPr>
          <w:rFonts w:ascii="Arial" w:hAnsi="Arial"/>
          <w:b/>
          <w:color w:val="2E75B6"/>
          <w:sz w:val="26"/>
        </w:rPr>
        <w:t>Full Conformance to Chapter 9</w:t>
      </w:r>
    </w:p>
    <w:p>
      <w:pPr>
        <w:pStyle w:val="ListBullet"/>
        <w:spacing w:before="20" w:after="20"/>
        <w:ind w:left="360"/>
      </w:pPr>
      <w:r>
        <w:rPr>
          <w:rFonts w:ascii="Arial" w:hAnsi="Arial"/>
          <w:b/>
          <w:color w:val="404040"/>
          <w:sz w:val="20"/>
        </w:rPr>
        <w:t xml:space="preserve">Definition: </w:t>
      </w:r>
      <w:r>
        <w:rPr>
          <w:rFonts w:ascii="Arial" w:hAnsi="Arial"/>
          <w:color w:val="404040"/>
          <w:sz w:val="20"/>
        </w:rPr>
        <w:t>Conformance means: Websites and web apps meet WCAG 2.1 Level AA for all applicable WCAG success criteria</w:t>
      </w:r>
    </w:p>
    <w:p>
      <w:pPr>
        <w:pStyle w:val="ListBullet"/>
        <w:spacing w:before="20" w:after="20"/>
        <w:ind w:left="360"/>
      </w:pPr>
      <w:r>
        <w:rPr>
          <w:rFonts w:ascii="Arial" w:hAnsi="Arial"/>
          <w:b/>
          <w:color w:val="404040"/>
          <w:sz w:val="20"/>
        </w:rPr>
        <w:t xml:space="preserve">Limited Scope: </w:t>
      </w:r>
      <w:r>
        <w:rPr>
          <w:rFonts w:ascii="Arial" w:hAnsi="Arial"/>
          <w:color w:val="404040"/>
          <w:sz w:val="20"/>
        </w:rPr>
        <w:t>Exemptions: Pre-recorded audio, legacy content, and third-party content may have limited applicability</w:t>
      </w:r>
    </w:p>
    <w:p>
      <w:pPr>
        <w:pStyle w:val="ListBullet"/>
        <w:spacing w:before="20" w:after="20"/>
        <w:ind w:left="360"/>
      </w:pPr>
      <w:r>
        <w:rPr>
          <w:rFonts w:ascii="Arial" w:hAnsi="Arial"/>
          <w:b/>
          <w:color w:val="404040"/>
          <w:sz w:val="20"/>
        </w:rPr>
        <w:t xml:space="preserve">Testing Approach: </w:t>
      </w:r>
      <w:r>
        <w:rPr>
          <w:rFonts w:ascii="Arial" w:hAnsi="Arial"/>
          <w:color w:val="404040"/>
          <w:sz w:val="20"/>
        </w:rPr>
        <w:t>Testing required: Automated tools, manual testing with assistive technologies, keyboard navigation</w:t>
      </w: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Conformance to WCAG 2.1 Level AA is mathematically equivalent to conformance to EN 301 549 Chapter 9 (web content). Master WCAG 2.1, and you master EN 301 549 for web.</w:t>
      </w:r>
    </w:p>
    <w:p>
      <w:r>
        <w:br w:type="page"/>
      </w:r>
    </w:p>
    <w:p>
      <w:pPr>
        <w:spacing w:before="360" w:after="120"/>
        <w:pBdr>
          <w:bottom w:val="single" w:sz="12" w:space="4" w:color="2E75B6"/>
        </w:pBdr>
      </w:pPr>
      <w:r>
        <w:rPr>
          <w:rFonts w:ascii="Arial" w:hAnsi="Arial"/>
          <w:b/>
          <w:color w:val="1F4E79"/>
          <w:sz w:val="32"/>
        </w:rPr>
        <w:t>5. Relationship to Section 508 (US Standard)</w:t>
      </w:r>
    </w:p>
    <w:p>
      <w:pPr>
        <w:spacing w:before="60" w:after="80"/>
      </w:pPr>
      <w:r>
        <w:rPr>
          <w:rFonts w:ascii="Arial" w:hAnsi="Arial"/>
          <w:b w:val="0"/>
          <w:i w:val="0"/>
          <w:color w:val="404040"/>
          <w:sz w:val="20"/>
        </w:rPr>
        <w:t>Section 508 is the US federal accessibility standard. Organizations serving both US and EU markets must understand the differences.</w:t>
      </w:r>
    </w:p>
    <w:p>
      <w:pPr>
        <w:spacing w:before="240" w:after="80"/>
      </w:pPr>
      <w:r>
        <w:rPr>
          <w:rFonts w:ascii="Arial" w:hAnsi="Arial"/>
          <w:b/>
          <w:color w:val="2E75B6"/>
          <w:sz w:val="26"/>
        </w:rPr>
        <w:t>Section 508 Background</w:t>
      </w:r>
    </w:p>
    <w:p>
      <w:pPr>
        <w:pStyle w:val="ListBullet"/>
        <w:spacing w:before="20" w:after="20"/>
        <w:ind w:left="360"/>
      </w:pPr>
      <w:r>
        <w:rPr>
          <w:rFonts w:ascii="Arial" w:hAnsi="Arial"/>
          <w:b/>
          <w:color w:val="404040"/>
          <w:sz w:val="20"/>
        </w:rPr>
        <w:t xml:space="preserve">Law: </w:t>
      </w:r>
      <w:r>
        <w:rPr>
          <w:rFonts w:ascii="Arial" w:hAnsi="Arial"/>
          <w:color w:val="404040"/>
          <w:sz w:val="20"/>
        </w:rPr>
        <w:t>Legal Basis: Americans with Disabilities Act (ADA) Section 508 (1998)</w:t>
      </w:r>
    </w:p>
    <w:p>
      <w:pPr>
        <w:pStyle w:val="ListBullet"/>
        <w:spacing w:before="20" w:after="20"/>
        <w:ind w:left="360"/>
      </w:pPr>
      <w:r>
        <w:rPr>
          <w:rFonts w:ascii="Arial" w:hAnsi="Arial"/>
          <w:b/>
          <w:color w:val="404040"/>
          <w:sz w:val="20"/>
        </w:rPr>
        <w:t xml:space="preserve">Jurisdiction: </w:t>
      </w:r>
      <w:r>
        <w:rPr>
          <w:rFonts w:ascii="Arial" w:hAnsi="Arial"/>
          <w:color w:val="404040"/>
          <w:sz w:val="20"/>
        </w:rPr>
        <w:t>Scope: US federal agencies, federal contractors, federally-funded organizations</w:t>
      </w:r>
    </w:p>
    <w:p>
      <w:pPr>
        <w:pStyle w:val="ListBullet"/>
        <w:spacing w:before="20" w:after="20"/>
        <w:ind w:left="360"/>
      </w:pPr>
      <w:r>
        <w:rPr>
          <w:rFonts w:ascii="Arial" w:hAnsi="Arial"/>
          <w:b/>
          <w:color w:val="404040"/>
          <w:sz w:val="20"/>
        </w:rPr>
        <w:t xml:space="preserve">Current Version: </w:t>
      </w:r>
      <w:r>
        <w:rPr>
          <w:rFonts w:ascii="Arial" w:hAnsi="Arial"/>
          <w:color w:val="404040"/>
          <w:sz w:val="20"/>
        </w:rPr>
        <w:t>2017 Refresh: Updated to require WCAG 2.0 Level AA for web; updated for software</w:t>
      </w:r>
    </w:p>
    <w:p>
      <w:pPr>
        <w:pStyle w:val="ListBullet"/>
        <w:spacing w:before="20" w:after="20"/>
        <w:ind w:left="360"/>
      </w:pPr>
      <w:r>
        <w:rPr>
          <w:rFonts w:ascii="Arial" w:hAnsi="Arial"/>
          <w:b/>
          <w:color w:val="404040"/>
          <w:sz w:val="20"/>
        </w:rPr>
        <w:t xml:space="preserve">Authority: </w:t>
      </w:r>
      <w:r>
        <w:rPr>
          <w:rFonts w:ascii="Arial" w:hAnsi="Arial"/>
          <w:color w:val="404040"/>
          <w:sz w:val="20"/>
        </w:rPr>
        <w:t>Enforcement: Executive Branch; lawsuits for ADA Title III violations</w:t>
      </w:r>
    </w:p>
    <w:p>
      <w:pPr>
        <w:spacing w:before="240" w:after="80"/>
      </w:pPr>
      <w:r>
        <w:rPr>
          <w:rFonts w:ascii="Arial" w:hAnsi="Arial"/>
          <w:b/>
          <w:color w:val="2E75B6"/>
          <w:sz w:val="26"/>
        </w:rPr>
        <w:t>EN 301 549 vs Section 508: Side-by-Side Comparison</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Aspect</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EN 301 549 v3.2.1</w:t>
            </w:r>
          </w:p>
        </w:tc>
        <w:tc>
          <w:tcPr>
            <w:tcW w:type="dxa" w:w="3312"/>
            <w:shd w:val="clear" w:color="auto" w:fill="1F4E79"/>
            <w:tcMar>
              <w:top w:w="80" w:type="dxa"/>
              <w:bottom w:w="80" w:type="dxa"/>
              <w:left w:w="120" w:type="dxa"/>
              <w:right w:w="120" w:type="dxa"/>
            </w:tcMar>
          </w:tcPr>
          <w:p>
            <w:pPr>
              <w:jc w:val="left"/>
            </w:pPr>
            <w:r>
              <w:rPr>
                <w:rFonts w:ascii="Arial" w:hAnsi="Arial"/>
                <w:b/>
                <w:color w:val="FFFFFF"/>
                <w:sz w:val="18"/>
              </w:rPr>
              <w:t>Section 508 (2017)</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Base Standard</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WCAG 2.1 Level AA</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WCAG 2.0 Level AA</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Jurisdiction</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European Union &amp; EEA countries</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United States (federal)</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Scope</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All ICT: web, software, hardware, docs, services</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Primarily federal ICT; applies to contractors</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Hardware</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Yes, Chapter 8</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Limited</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Documents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Yes, Chapter 10 (non-web docs)</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Guidance but not prescriptive</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Software</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Yes, Chapter 11 (desktop &amp; mobile)</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Yes, applies to all software</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Enforcement</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EU member states; €100K+ fines</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Section 504 complaints; contract suspension</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Litigation Risk</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High (ADA Title III lawsuits likely)</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High (ADA Title III lawsuits)</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Compliance Timeline</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Immediate for new products (June 28, 2025)</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Varies by organization type</w:t>
            </w:r>
          </w:p>
        </w:tc>
      </w:tr>
    </w:tbl>
    <w:p>
      <w:pPr>
        <w:spacing w:after="80"/>
      </w:pPr>
    </w:p>
    <w:p>
      <w:pPr>
        <w:spacing w:before="240" w:after="80"/>
      </w:pPr>
      <w:r>
        <w:rPr>
          <w:rFonts w:ascii="Arial" w:hAnsi="Arial"/>
          <w:b/>
          <w:color w:val="2E75B6"/>
          <w:sz w:val="26"/>
        </w:rPr>
        <w:t>Key Differences for Organizations</w:t>
      </w:r>
    </w:p>
    <w:p>
      <w:pPr>
        <w:pStyle w:val="ListBullet"/>
        <w:spacing w:before="20" w:after="20"/>
        <w:ind w:left="360"/>
      </w:pPr>
      <w:r>
        <w:rPr>
          <w:rFonts w:ascii="Arial" w:hAnsi="Arial"/>
          <w:b/>
          <w:color w:val="404040"/>
          <w:sz w:val="20"/>
        </w:rPr>
        <w:t xml:space="preserve">Recency: </w:t>
      </w:r>
      <w:r>
        <w:rPr>
          <w:rFonts w:ascii="Arial" w:hAnsi="Arial"/>
          <w:color w:val="404040"/>
          <w:sz w:val="20"/>
        </w:rPr>
        <w:t>Standards Gap: EN 301 549 uses newer WCAG 2.1 while Section 508 still references WCAG 2.0</w:t>
      </w:r>
    </w:p>
    <w:p>
      <w:pPr>
        <w:pStyle w:val="ListBullet"/>
        <w:spacing w:before="20" w:after="20"/>
        <w:ind w:left="360"/>
      </w:pPr>
      <w:r>
        <w:rPr>
          <w:rFonts w:ascii="Arial" w:hAnsi="Arial"/>
          <w:b/>
          <w:color w:val="404040"/>
          <w:sz w:val="20"/>
        </w:rPr>
        <w:t xml:space="preserve">Mobile Focus: </w:t>
      </w:r>
      <w:r>
        <w:rPr>
          <w:rFonts w:ascii="Arial" w:hAnsi="Arial"/>
          <w:color w:val="404040"/>
          <w:sz w:val="20"/>
        </w:rPr>
        <w:t>WCAG 2.1 includes new criteria on mobile accessibility (pointer size, mobile text spacing) not in WCAG 2.0</w:t>
      </w:r>
    </w:p>
    <w:p>
      <w:pPr>
        <w:pStyle w:val="ListBullet"/>
        <w:spacing w:before="20" w:after="20"/>
        <w:ind w:left="360"/>
      </w:pPr>
      <w:r>
        <w:rPr>
          <w:rFonts w:ascii="Arial" w:hAnsi="Arial"/>
          <w:b/>
          <w:color w:val="404040"/>
          <w:sz w:val="20"/>
        </w:rPr>
        <w:t xml:space="preserve">Hardware Coverage: </w:t>
      </w:r>
      <w:r>
        <w:rPr>
          <w:rFonts w:ascii="Arial" w:hAnsi="Arial"/>
          <w:color w:val="404040"/>
          <w:sz w:val="20"/>
        </w:rPr>
        <w:t>Hardware: EN 301 549 is more comprehensive on hardware accessibility than Section 508</w:t>
      </w:r>
    </w:p>
    <w:p>
      <w:pPr>
        <w:pStyle w:val="ListBullet"/>
        <w:spacing w:before="20" w:after="20"/>
        <w:ind w:left="360"/>
      </w:pPr>
      <w:r>
        <w:rPr>
          <w:rFonts w:ascii="Arial" w:hAnsi="Arial"/>
          <w:b/>
          <w:color w:val="404040"/>
          <w:sz w:val="20"/>
        </w:rPr>
        <w:t xml:space="preserve">Recommendation: </w:t>
      </w:r>
      <w:r>
        <w:rPr>
          <w:rFonts w:ascii="Arial" w:hAnsi="Arial"/>
          <w:color w:val="404040"/>
          <w:sz w:val="20"/>
        </w:rPr>
        <w:t>Best Practice: If you must comply with both, implement EN 301 549 (WCAG 2.1 AA). This exceeds Section 508 and future-proofs.</w:t>
      </w:r>
    </w:p>
    <w:p>
      <w:pPr>
        <w:spacing w:before="240" w:after="80"/>
      </w:pPr>
      <w:r>
        <w:rPr>
          <w:rFonts w:ascii="Arial" w:hAnsi="Arial"/>
          <w:b/>
          <w:color w:val="2E75B6"/>
          <w:sz w:val="26"/>
        </w:rPr>
        <w:t>Important Context: ADA Title III Litigation (US Private Sector)</w:t>
      </w:r>
    </w:p>
    <w:p>
      <w:pPr>
        <w:spacing w:before="60" w:after="80"/>
      </w:pPr>
      <w:r>
        <w:rPr>
          <w:rFonts w:ascii="Arial" w:hAnsi="Arial"/>
          <w:b w:val="0"/>
          <w:i w:val="0"/>
          <w:color w:val="404040"/>
          <w:sz w:val="20"/>
        </w:rPr>
        <w:t>Most US accessibility lawsuits are brought under ADA Title III (private businesses) by plaintiffs alleging barrier to equal access:</w:t>
      </w:r>
    </w:p>
    <w:p>
      <w:pPr>
        <w:pStyle w:val="ListBullet"/>
        <w:spacing w:before="20" w:after="20"/>
        <w:ind w:left="360"/>
      </w:pPr>
      <w:r>
        <w:rPr>
          <w:rFonts w:ascii="Arial" w:hAnsi="Arial"/>
          <w:b/>
          <w:color w:val="404040"/>
          <w:sz w:val="20"/>
        </w:rPr>
        <w:t xml:space="preserve">Volume: </w:t>
      </w:r>
      <w:r>
        <w:rPr>
          <w:rFonts w:ascii="Arial" w:hAnsi="Arial"/>
          <w:color w:val="404040"/>
          <w:sz w:val="20"/>
        </w:rPr>
        <w:t>2024 Federal Lawsuits: Nearly 2,500 ADA Title III lawsuits filed</w:t>
      </w:r>
    </w:p>
    <w:p>
      <w:pPr>
        <w:pStyle w:val="ListBullet"/>
        <w:spacing w:before="20" w:after="20"/>
        <w:ind w:left="360"/>
      </w:pPr>
      <w:r>
        <w:rPr>
          <w:rFonts w:ascii="Arial" w:hAnsi="Arial"/>
          <w:b/>
          <w:color w:val="404040"/>
          <w:sz w:val="20"/>
        </w:rPr>
        <w:t xml:space="preserve">Trend: </w:t>
      </w:r>
      <w:r>
        <w:rPr>
          <w:rFonts w:ascii="Arial" w:hAnsi="Arial"/>
          <w:color w:val="404040"/>
          <w:sz w:val="20"/>
        </w:rPr>
        <w:t>2025 Trend: 37% increase expected; AI-powered litigation tools accelerating filings</w:t>
      </w:r>
    </w:p>
    <w:p>
      <w:pPr>
        <w:pStyle w:val="ListBullet"/>
        <w:spacing w:before="20" w:after="20"/>
        <w:ind w:left="360"/>
      </w:pPr>
      <w:r>
        <w:rPr>
          <w:rFonts w:ascii="Arial" w:hAnsi="Arial"/>
          <w:b/>
          <w:color w:val="404040"/>
          <w:sz w:val="20"/>
        </w:rPr>
        <w:t xml:space="preserve">Targets: </w:t>
      </w:r>
      <w:r>
        <w:rPr>
          <w:rFonts w:ascii="Arial" w:hAnsi="Arial"/>
          <w:color w:val="404040"/>
          <w:sz w:val="20"/>
        </w:rPr>
        <w:t>Primary Targets: E-commerce, hospitality, education, financial services, entertainment</w:t>
      </w:r>
    </w:p>
    <w:p>
      <w:pPr>
        <w:pStyle w:val="ListBullet"/>
        <w:spacing w:before="20" w:after="20"/>
        <w:ind w:left="360"/>
      </w:pPr>
      <w:r>
        <w:rPr>
          <w:rFonts w:ascii="Arial" w:hAnsi="Arial"/>
          <w:b/>
          <w:color w:val="404040"/>
          <w:sz w:val="20"/>
        </w:rPr>
        <w:t xml:space="preserve">Court Standard: </w:t>
      </w:r>
      <w:r>
        <w:rPr>
          <w:rFonts w:ascii="Arial" w:hAnsi="Arial"/>
          <w:color w:val="404040"/>
          <w:sz w:val="20"/>
        </w:rPr>
        <w:t>De Facto Standard: WCAG 2.1 Level AA is the standard referenced by courts</w:t>
      </w:r>
    </w:p>
    <w:p>
      <w:pPr>
        <w:pStyle w:val="ListBullet"/>
        <w:spacing w:before="20" w:after="20"/>
        <w:ind w:left="360"/>
      </w:pPr>
      <w:r>
        <w:rPr>
          <w:rFonts w:ascii="Arial" w:hAnsi="Arial"/>
          <w:b/>
          <w:color w:val="404040"/>
          <w:sz w:val="20"/>
        </w:rPr>
        <w:t xml:space="preserve">Costs: </w:t>
      </w:r>
      <w:r>
        <w:rPr>
          <w:rFonts w:ascii="Arial" w:hAnsi="Arial"/>
          <w:color w:val="404040"/>
          <w:sz w:val="20"/>
        </w:rPr>
        <w:t>Settlement Range: $5,000–$75,000 per case plus attorney fees (can be $50,000+)</w:t>
      </w: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US organizations: Section 508 is the federal standard, but ADA Title III litigation risk is driving private sector adoption of WCAG 2.1 AA. Implement WCAG 2.1 AA proactively.</w:t>
      </w:r>
    </w:p>
    <w:p>
      <w:r>
        <w:br w:type="page"/>
      </w:r>
    </w:p>
    <w:p>
      <w:pPr>
        <w:spacing w:before="360" w:after="120"/>
        <w:pBdr>
          <w:bottom w:val="single" w:sz="12" w:space="4" w:color="2E75B6"/>
        </w:pBdr>
      </w:pPr>
      <w:r>
        <w:rPr>
          <w:rFonts w:ascii="Arial" w:hAnsi="Arial"/>
          <w:b/>
          <w:color w:val="1F4E79"/>
          <w:sz w:val="32"/>
        </w:rPr>
        <w:t>6. Using EN 301 549 in Procurement</w:t>
      </w:r>
    </w:p>
    <w:p>
      <w:pPr>
        <w:spacing w:before="60" w:after="80"/>
      </w:pPr>
      <w:r>
        <w:rPr>
          <w:rFonts w:ascii="Arial" w:hAnsi="Arial"/>
          <w:b w:val="0"/>
          <w:i w:val="0"/>
          <w:color w:val="404040"/>
          <w:sz w:val="20"/>
        </w:rPr>
        <w:t>Public and private organizations use EN 301 549 to evaluate and acquire accessible ICT products and services.</w:t>
      </w:r>
    </w:p>
    <w:p>
      <w:pPr>
        <w:spacing w:before="240" w:after="80"/>
      </w:pPr>
      <w:r>
        <w:rPr>
          <w:rFonts w:ascii="Arial" w:hAnsi="Arial"/>
          <w:b/>
          <w:color w:val="2E75B6"/>
          <w:sz w:val="26"/>
        </w:rPr>
        <w:t>Procurement Best Practices</w:t>
      </w:r>
    </w:p>
    <w:p>
      <w:pPr>
        <w:spacing w:before="160" w:after="60"/>
      </w:pPr>
      <w:r>
        <w:rPr>
          <w:rFonts w:ascii="Arial" w:hAnsi="Arial"/>
          <w:b/>
          <w:color w:val="404040"/>
          <w:sz w:val="22"/>
        </w:rPr>
        <w:t>For Request for Proposal (RFP)</w:t>
      </w:r>
    </w:p>
    <w:p>
      <w:pPr>
        <w:pStyle w:val="ListBullet"/>
        <w:spacing w:before="20" w:after="20"/>
        <w:ind w:left="360"/>
      </w:pPr>
      <w:r>
        <w:rPr>
          <w:rFonts w:ascii="Arial" w:hAnsi="Arial"/>
          <w:b/>
          <w:color w:val="404040"/>
          <w:sz w:val="20"/>
        </w:rPr>
        <w:t xml:space="preserve">Requirement Language: </w:t>
      </w:r>
      <w:r>
        <w:rPr>
          <w:rFonts w:ascii="Arial" w:hAnsi="Arial"/>
          <w:color w:val="404040"/>
          <w:sz w:val="20"/>
        </w:rPr>
        <w:t>Specify conformance level: 'Products must conform to EN 301 549 v3.2.1, Chapters [X], Level AA'</w:t>
      </w:r>
    </w:p>
    <w:p>
      <w:pPr>
        <w:pStyle w:val="ListBullet"/>
        <w:spacing w:before="20" w:after="20"/>
        <w:ind w:left="360"/>
      </w:pPr>
      <w:r>
        <w:rPr>
          <w:rFonts w:ascii="Arial" w:hAnsi="Arial"/>
          <w:b/>
          <w:color w:val="404040"/>
          <w:sz w:val="20"/>
        </w:rPr>
        <w:t xml:space="preserve">Applicability: </w:t>
      </w:r>
      <w:r>
        <w:rPr>
          <w:rFonts w:ascii="Arial" w:hAnsi="Arial"/>
          <w:color w:val="404040"/>
          <w:sz w:val="20"/>
        </w:rPr>
        <w:t>List applicable chapters: If buying software, require Chapter 11 conformance; for docs, Chapter 10</w:t>
      </w:r>
    </w:p>
    <w:p>
      <w:pPr>
        <w:pStyle w:val="ListBullet"/>
        <w:spacing w:before="20" w:after="20"/>
        <w:ind w:left="360"/>
      </w:pPr>
      <w:r>
        <w:rPr>
          <w:rFonts w:ascii="Arial" w:hAnsi="Arial"/>
          <w:b/>
          <w:color w:val="404040"/>
          <w:sz w:val="20"/>
        </w:rPr>
        <w:t xml:space="preserve">Documentation: </w:t>
      </w:r>
      <w:r>
        <w:rPr>
          <w:rFonts w:ascii="Arial" w:hAnsi="Arial"/>
          <w:color w:val="404040"/>
          <w:sz w:val="20"/>
        </w:rPr>
        <w:t>Request Accessibility Conformance Report (ACR): Vendor must provide detailed conformance documentation</w:t>
      </w:r>
    </w:p>
    <w:p>
      <w:pPr>
        <w:pStyle w:val="ListBullet"/>
        <w:spacing w:before="20" w:after="20"/>
        <w:ind w:left="360"/>
      </w:pPr>
      <w:r>
        <w:rPr>
          <w:rFonts w:ascii="Arial" w:hAnsi="Arial"/>
          <w:b/>
          <w:color w:val="404040"/>
          <w:sz w:val="20"/>
        </w:rPr>
        <w:t xml:space="preserve">VPAT Requirement: </w:t>
      </w:r>
      <w:r>
        <w:rPr>
          <w:rFonts w:ascii="Arial" w:hAnsi="Arial"/>
          <w:color w:val="404040"/>
          <w:sz w:val="20"/>
        </w:rPr>
        <w:t>Require VPAT EU Edition: Detailed table showing conformance against each EN 301 549 clause</w:t>
      </w:r>
    </w:p>
    <w:p>
      <w:pPr>
        <w:pStyle w:val="ListBullet"/>
        <w:spacing w:before="20" w:after="20"/>
        <w:ind w:left="360"/>
      </w:pPr>
      <w:r>
        <w:rPr>
          <w:rFonts w:ascii="Arial" w:hAnsi="Arial"/>
          <w:b/>
          <w:color w:val="404040"/>
          <w:sz w:val="20"/>
        </w:rPr>
        <w:t xml:space="preserve">Evidence: </w:t>
      </w:r>
      <w:r>
        <w:rPr>
          <w:rFonts w:ascii="Arial" w:hAnsi="Arial"/>
          <w:color w:val="404040"/>
          <w:sz w:val="20"/>
        </w:rPr>
        <w:t>Testing requirement: Vendor must provide evidence of accessibility testing (screenshots, test reports)</w:t>
      </w:r>
    </w:p>
    <w:p>
      <w:pPr>
        <w:spacing w:before="160" w:after="60"/>
      </w:pPr>
      <w:r>
        <w:rPr>
          <w:rFonts w:ascii="Arial" w:hAnsi="Arial"/>
          <w:b/>
          <w:color w:val="404040"/>
          <w:sz w:val="22"/>
        </w:rPr>
        <w:t>Evaluation Criteria</w:t>
      </w:r>
    </w:p>
    <w:p>
      <w:pPr>
        <w:pStyle w:val="ListBullet"/>
        <w:spacing w:before="20" w:after="20"/>
        <w:ind w:left="360"/>
      </w:pPr>
      <w:r>
        <w:rPr>
          <w:rFonts w:ascii="Arial" w:hAnsi="Arial"/>
          <w:b/>
          <w:color w:val="404040"/>
          <w:sz w:val="20"/>
        </w:rPr>
        <w:t xml:space="preserve">Full Conformance: </w:t>
      </w:r>
      <w:r>
        <w:rPr>
          <w:rFonts w:ascii="Arial" w:hAnsi="Arial"/>
          <w:color w:val="404040"/>
          <w:sz w:val="20"/>
        </w:rPr>
        <w:t>Full conformance (all applicable chapters at Level AA) = highest score</w:t>
      </w:r>
    </w:p>
    <w:p>
      <w:pPr>
        <w:pStyle w:val="ListBullet"/>
        <w:spacing w:before="20" w:after="20"/>
        <w:ind w:left="360"/>
      </w:pPr>
      <w:r>
        <w:rPr>
          <w:rFonts w:ascii="Arial" w:hAnsi="Arial"/>
          <w:b/>
          <w:color w:val="404040"/>
          <w:sz w:val="20"/>
        </w:rPr>
        <w:t xml:space="preserve">Partial Conformance: </w:t>
      </w:r>
      <w:r>
        <w:rPr>
          <w:rFonts w:ascii="Arial" w:hAnsi="Arial"/>
          <w:color w:val="404040"/>
          <w:sz w:val="20"/>
        </w:rPr>
        <w:t>Partial conformance with roadmap to full conformance = acceptable if timeline is near-term</w:t>
      </w:r>
    </w:p>
    <w:p>
      <w:pPr>
        <w:pStyle w:val="ListBullet"/>
        <w:spacing w:before="20" w:after="20"/>
        <w:ind w:left="360"/>
      </w:pPr>
      <w:r>
        <w:rPr>
          <w:rFonts w:ascii="Arial" w:hAnsi="Arial"/>
          <w:b/>
          <w:color w:val="404040"/>
          <w:sz w:val="20"/>
        </w:rPr>
        <w:t xml:space="preserve">Non-Conformance: </w:t>
      </w:r>
      <w:r>
        <w:rPr>
          <w:rFonts w:ascii="Arial" w:hAnsi="Arial"/>
          <w:color w:val="404040"/>
          <w:sz w:val="20"/>
        </w:rPr>
        <w:t>Non-conformance = major risk; requires exception approval from accessibility officer</w:t>
      </w:r>
    </w:p>
    <w:p>
      <w:pPr>
        <w:spacing w:before="240" w:after="80"/>
      </w:pPr>
      <w:r>
        <w:rPr>
          <w:rFonts w:ascii="Arial" w:hAnsi="Arial"/>
          <w:b/>
          <w:color w:val="2E75B6"/>
          <w:sz w:val="26"/>
        </w:rPr>
        <w:t>Accessibility Conformance Report (ACR) Format</w:t>
      </w:r>
    </w:p>
    <w:p>
      <w:pPr>
        <w:spacing w:before="60" w:after="80"/>
      </w:pPr>
      <w:r>
        <w:rPr>
          <w:rFonts w:ascii="Arial" w:hAnsi="Arial"/>
          <w:b w:val="0"/>
          <w:i w:val="0"/>
          <w:color w:val="404040"/>
          <w:sz w:val="20"/>
        </w:rPr>
        <w:t>Vendors should provide an ACR organized by EN 301 549 chapters:</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Section</w:t>
            </w:r>
          </w:p>
        </w:tc>
        <w:tc>
          <w:tcPr>
            <w:tcW w:type="dxa" w:w="6480"/>
            <w:shd w:val="clear" w:color="auto" w:fill="1F4E79"/>
            <w:tcMar>
              <w:top w:w="80" w:type="dxa"/>
              <w:bottom w:w="80" w:type="dxa"/>
              <w:left w:w="120" w:type="dxa"/>
              <w:right w:w="120" w:type="dxa"/>
            </w:tcMar>
          </w:tcPr>
          <w:p>
            <w:pPr>
              <w:jc w:val="left"/>
            </w:pPr>
            <w:r>
              <w:rPr>
                <w:rFonts w:ascii="Arial" w:hAnsi="Arial"/>
                <w:b/>
                <w:color w:val="FFFFFF"/>
                <w:sz w:val="18"/>
              </w:rPr>
              <w:t>Content</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Product Name &amp; Version</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Official product identifier and release version</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Evaluation Date</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When was the accessibility evaluation conducted?</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Evaluation Method</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Automated testing, manual testing, user testing, third-party audit?</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Scope</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Which features were evaluated? Any exclusions?</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Conformance Claim</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Full conformance or partial conformance with specific limitations</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Chapter 4 Results</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Functional performance criteria (if applicable)</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Chapter 5 Results</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Generic ICT requirements</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Chapters 6–13 Results</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Results for applicable chapters (e.g., Chapter 9 for web)</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Known Limitations</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Specific accessibility gaps or exceptions</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Assistive Technology Testing</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Which screen readers, voice control, and other AT tools were tested?</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Contact for Questions</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Vendor accessibility point of contact</w:t>
            </w:r>
          </w:p>
        </w:tc>
      </w:tr>
    </w:tbl>
    <w:p>
      <w:pPr>
        <w:spacing w:after="80"/>
      </w:pPr>
    </w:p>
    <w:p>
      <w:pPr>
        <w:spacing w:before="240" w:after="80"/>
      </w:pPr>
      <w:r>
        <w:rPr>
          <w:rFonts w:ascii="Arial" w:hAnsi="Arial"/>
          <w:b/>
          <w:color w:val="2E75B6"/>
          <w:sz w:val="26"/>
        </w:rPr>
        <w:t>VPAT EU Edition</w:t>
      </w:r>
    </w:p>
    <w:p>
      <w:pPr>
        <w:pStyle w:val="ListBullet"/>
        <w:spacing w:before="20" w:after="20"/>
        <w:ind w:left="360"/>
      </w:pPr>
      <w:r>
        <w:rPr>
          <w:rFonts w:ascii="Arial" w:hAnsi="Arial"/>
          <w:b/>
          <w:color w:val="404040"/>
          <w:sz w:val="20"/>
        </w:rPr>
        <w:t xml:space="preserve">Acronym: </w:t>
      </w:r>
      <w:r>
        <w:rPr>
          <w:rFonts w:ascii="Arial" w:hAnsi="Arial"/>
          <w:color w:val="404040"/>
          <w:sz w:val="20"/>
        </w:rPr>
        <w:t>VPAT = Voluntary Product Accessibility Template</w:t>
      </w:r>
    </w:p>
    <w:p>
      <w:pPr>
        <w:pStyle w:val="ListBullet"/>
        <w:spacing w:before="20" w:after="20"/>
        <w:ind w:left="360"/>
      </w:pPr>
      <w:r>
        <w:rPr>
          <w:rFonts w:ascii="Arial" w:hAnsi="Arial"/>
          <w:b/>
          <w:color w:val="404040"/>
          <w:sz w:val="20"/>
        </w:rPr>
        <w:t xml:space="preserve">Version: </w:t>
      </w:r>
      <w:r>
        <w:rPr>
          <w:rFonts w:ascii="Arial" w:hAnsi="Arial"/>
          <w:color w:val="404040"/>
          <w:sz w:val="20"/>
        </w:rPr>
        <w:t>EU Edition: Aligned with EN 301 549 v3.2.1 structure</w:t>
      </w:r>
    </w:p>
    <w:p>
      <w:pPr>
        <w:pStyle w:val="ListBullet"/>
        <w:spacing w:before="20" w:after="20"/>
        <w:ind w:left="360"/>
      </w:pPr>
      <w:r>
        <w:rPr>
          <w:rFonts w:ascii="Arial" w:hAnsi="Arial"/>
          <w:b/>
          <w:color w:val="404040"/>
          <w:sz w:val="20"/>
        </w:rPr>
        <w:t xml:space="preserve">Structure: </w:t>
      </w:r>
      <w:r>
        <w:rPr>
          <w:rFonts w:ascii="Arial" w:hAnsi="Arial"/>
          <w:color w:val="404040"/>
          <w:sz w:val="20"/>
        </w:rPr>
        <w:t>Format: Detailed table mapping each EN 301 549 clause to product conformance</w:t>
      </w:r>
    </w:p>
    <w:p>
      <w:pPr>
        <w:pStyle w:val="ListBullet"/>
        <w:spacing w:before="20" w:after="20"/>
        <w:ind w:left="360"/>
      </w:pPr>
      <w:r>
        <w:rPr>
          <w:rFonts w:ascii="Arial" w:hAnsi="Arial"/>
          <w:b/>
          <w:color w:val="404040"/>
          <w:sz w:val="20"/>
        </w:rPr>
        <w:t xml:space="preserve">Values: </w:t>
      </w:r>
      <w:r>
        <w:rPr>
          <w:rFonts w:ascii="Arial" w:hAnsi="Arial"/>
          <w:color w:val="404040"/>
          <w:sz w:val="20"/>
        </w:rPr>
        <w:t>Conformance Values: 'Supports', 'Partially Supports', 'Does Not Support', 'Not Applicable'</w:t>
      </w:r>
    </w:p>
    <w:p>
      <w:pPr>
        <w:pStyle w:val="ListBullet"/>
        <w:spacing w:before="20" w:after="20"/>
        <w:ind w:left="360"/>
      </w:pPr>
      <w:r>
        <w:rPr>
          <w:rFonts w:ascii="Arial" w:hAnsi="Arial"/>
          <w:b/>
          <w:color w:val="404040"/>
          <w:sz w:val="20"/>
        </w:rPr>
        <w:t xml:space="preserve">Source: </w:t>
      </w:r>
      <w:r>
        <w:rPr>
          <w:rFonts w:ascii="Arial" w:hAnsi="Arial"/>
          <w:color w:val="404040"/>
          <w:sz w:val="20"/>
        </w:rPr>
        <w:t>Availability: VPAT EU Edition available from IAAP (International Association of Accessibility Professionals)</w:t>
      </w:r>
    </w:p>
    <w:p>
      <w:pPr>
        <w:spacing w:before="240" w:after="80"/>
      </w:pPr>
      <w:r>
        <w:rPr>
          <w:rFonts w:ascii="Arial" w:hAnsi="Arial"/>
          <w:b/>
          <w:color w:val="2E75B6"/>
          <w:sz w:val="26"/>
        </w:rPr>
        <w:t>Conformance Value Definitions (VPAT)</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2160"/>
            <w:shd w:val="clear" w:color="auto" w:fill="1F4E79"/>
            <w:tcMar>
              <w:top w:w="80" w:type="dxa"/>
              <w:bottom w:w="80" w:type="dxa"/>
              <w:left w:w="120" w:type="dxa"/>
              <w:right w:w="120" w:type="dxa"/>
            </w:tcMar>
          </w:tcPr>
          <w:p>
            <w:pPr>
              <w:jc w:val="left"/>
            </w:pPr>
            <w:r>
              <w:rPr>
                <w:rFonts w:ascii="Arial" w:hAnsi="Arial"/>
                <w:b/>
                <w:color w:val="FFFFFF"/>
                <w:sz w:val="18"/>
              </w:rPr>
              <w:t>Value</w:t>
            </w:r>
          </w:p>
        </w:tc>
        <w:tc>
          <w:tcPr>
            <w:tcW w:type="dxa" w:w="7200"/>
            <w:shd w:val="clear" w:color="auto" w:fill="1F4E79"/>
            <w:tcMar>
              <w:top w:w="80" w:type="dxa"/>
              <w:bottom w:w="80" w:type="dxa"/>
              <w:left w:w="120" w:type="dxa"/>
              <w:right w:w="120" w:type="dxa"/>
            </w:tcMar>
          </w:tcPr>
          <w:p>
            <w:pPr>
              <w:jc w:val="left"/>
            </w:pPr>
            <w:r>
              <w:rPr>
                <w:rFonts w:ascii="Arial" w:hAnsi="Arial"/>
                <w:b/>
                <w:color w:val="FFFFFF"/>
                <w:sz w:val="18"/>
              </w:rPr>
              <w:t>Meaning</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Supports</w:t>
            </w:r>
          </w:p>
        </w:tc>
        <w:tc>
          <w:tcPr>
            <w:tcW w:type="dxa" w:w="7200"/>
            <w:shd w:val="clear" w:color="auto" w:fill="EBF3FB"/>
            <w:tcMar>
              <w:top w:w="80" w:type="dxa"/>
              <w:bottom w:w="80" w:type="dxa"/>
              <w:left w:w="120" w:type="dxa"/>
              <w:right w:w="120" w:type="dxa"/>
            </w:tcMar>
          </w:tcPr>
          <w:p>
            <w:pPr>
              <w:jc w:val="left"/>
            </w:pPr>
            <w:r>
              <w:rPr>
                <w:rFonts w:ascii="Arial" w:hAnsi="Arial"/>
                <w:color w:val="404040"/>
                <w:sz w:val="18"/>
              </w:rPr>
              <w:t>Product fully meets the requirement; no workarounds needed</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Partially Supports</w:t>
            </w:r>
          </w:p>
        </w:tc>
        <w:tc>
          <w:tcPr>
            <w:tcW w:type="dxa" w:w="7200"/>
            <w:shd w:val="clear" w:color="auto" w:fill="FFFFFF"/>
            <w:tcMar>
              <w:top w:w="80" w:type="dxa"/>
              <w:bottom w:w="80" w:type="dxa"/>
              <w:left w:w="120" w:type="dxa"/>
              <w:right w:w="120" w:type="dxa"/>
            </w:tcMar>
          </w:tcPr>
          <w:p>
            <w:pPr>
              <w:jc w:val="left"/>
            </w:pPr>
            <w:r>
              <w:rPr>
                <w:rFonts w:ascii="Arial" w:hAnsi="Arial"/>
                <w:color w:val="404040"/>
                <w:sz w:val="18"/>
              </w:rPr>
              <w:t>Product meets some but not all aspects of the requirement; user workarounds may be needed</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Does Not Support</w:t>
            </w:r>
          </w:p>
        </w:tc>
        <w:tc>
          <w:tcPr>
            <w:tcW w:type="dxa" w:w="7200"/>
            <w:shd w:val="clear" w:color="auto" w:fill="EBF3FB"/>
            <w:tcMar>
              <w:top w:w="80" w:type="dxa"/>
              <w:bottom w:w="80" w:type="dxa"/>
              <w:left w:w="120" w:type="dxa"/>
              <w:right w:w="120" w:type="dxa"/>
            </w:tcMar>
          </w:tcPr>
          <w:p>
            <w:pPr>
              <w:jc w:val="left"/>
            </w:pPr>
            <w:r>
              <w:rPr>
                <w:rFonts w:ascii="Arial" w:hAnsi="Arial"/>
                <w:color w:val="404040"/>
                <w:sz w:val="18"/>
              </w:rPr>
              <w:t>Product does not meet the requirement; cannot be used as specified</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Not Applicable</w:t>
            </w:r>
          </w:p>
        </w:tc>
        <w:tc>
          <w:tcPr>
            <w:tcW w:type="dxa" w:w="7200"/>
            <w:shd w:val="clear" w:color="auto" w:fill="FFFFFF"/>
            <w:tcMar>
              <w:top w:w="80" w:type="dxa"/>
              <w:bottom w:w="80" w:type="dxa"/>
              <w:left w:w="120" w:type="dxa"/>
              <w:right w:w="120" w:type="dxa"/>
            </w:tcMar>
          </w:tcPr>
          <w:p>
            <w:pPr>
              <w:jc w:val="left"/>
            </w:pPr>
            <w:r>
              <w:rPr>
                <w:rFonts w:ascii="Arial" w:hAnsi="Arial"/>
                <w:color w:val="404040"/>
                <w:sz w:val="18"/>
              </w:rPr>
              <w:t>Requirement does not apply to this product type</w:t>
            </w:r>
          </w:p>
        </w:tc>
      </w:tr>
    </w:tbl>
    <w:p>
      <w:pPr>
        <w:spacing w:after="80"/>
      </w:pP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Never accept 'Not Applicable' for requirements that obviously apply. Challenge vendors to explain why a requirement doesn't apply to their product.</w:t>
      </w:r>
    </w:p>
    <w:p>
      <w:r>
        <w:br w:type="page"/>
      </w:r>
    </w:p>
    <w:p>
      <w:pPr>
        <w:spacing w:before="360" w:after="120"/>
        <w:pBdr>
          <w:bottom w:val="single" w:sz="12" w:space="4" w:color="2E75B6"/>
        </w:pBdr>
      </w:pPr>
      <w:r>
        <w:rPr>
          <w:rFonts w:ascii="Arial" w:hAnsi="Arial"/>
          <w:b/>
          <w:color w:val="1F4E79"/>
          <w:sz w:val="32"/>
        </w:rPr>
        <w:t>7. Conformance Documentation Requirements</w:t>
      </w:r>
    </w:p>
    <w:p>
      <w:pPr>
        <w:spacing w:before="60" w:after="80"/>
      </w:pPr>
      <w:r>
        <w:rPr>
          <w:rFonts w:ascii="Arial" w:hAnsi="Arial"/>
          <w:b w:val="0"/>
          <w:i w:val="0"/>
          <w:color w:val="404040"/>
          <w:sz w:val="20"/>
        </w:rPr>
        <w:t>Organizations claiming EN 301 549 conformance must be able to document and defend their claims.</w:t>
      </w:r>
    </w:p>
    <w:p>
      <w:pPr>
        <w:spacing w:before="240" w:after="80"/>
      </w:pPr>
      <w:r>
        <w:rPr>
          <w:rFonts w:ascii="Arial" w:hAnsi="Arial"/>
          <w:b/>
          <w:color w:val="2E75B6"/>
          <w:sz w:val="26"/>
        </w:rPr>
        <w:t>What Documentation Must Be Maintained</w:t>
      </w:r>
    </w:p>
    <w:p>
      <w:pPr>
        <w:pStyle w:val="ListBullet"/>
        <w:spacing w:before="20" w:after="20"/>
        <w:ind w:left="360"/>
      </w:pPr>
      <w:r>
        <w:rPr>
          <w:rFonts w:ascii="Arial" w:hAnsi="Arial"/>
          <w:b/>
          <w:color w:val="404040"/>
          <w:sz w:val="20"/>
        </w:rPr>
        <w:t xml:space="preserve">Public Document: </w:t>
      </w:r>
      <w:r>
        <w:rPr>
          <w:rFonts w:ascii="Arial" w:hAnsi="Arial"/>
          <w:color w:val="404040"/>
          <w:sz w:val="20"/>
        </w:rPr>
        <w:t>Accessibility Statement: Public statement available on product homepage or documentation</w:t>
      </w:r>
    </w:p>
    <w:p>
      <w:pPr>
        <w:pStyle w:val="ListBullet"/>
        <w:spacing w:before="20" w:after="20"/>
        <w:ind w:left="360"/>
      </w:pPr>
      <w:r>
        <w:rPr>
          <w:rFonts w:ascii="Arial" w:hAnsi="Arial"/>
          <w:b/>
          <w:color w:val="404040"/>
          <w:sz w:val="20"/>
        </w:rPr>
        <w:t xml:space="preserve">Internal Record: </w:t>
      </w:r>
      <w:r>
        <w:rPr>
          <w:rFonts w:ascii="Arial" w:hAnsi="Arial"/>
          <w:color w:val="404040"/>
          <w:sz w:val="20"/>
        </w:rPr>
        <w:t>Conformance Report: Internal documentation detailing how each clause is addressed</w:t>
      </w:r>
    </w:p>
    <w:p>
      <w:pPr>
        <w:pStyle w:val="ListBullet"/>
        <w:spacing w:before="20" w:after="20"/>
        <w:ind w:left="360"/>
      </w:pPr>
      <w:r>
        <w:rPr>
          <w:rFonts w:ascii="Arial" w:hAnsi="Arial"/>
          <w:b/>
          <w:color w:val="404040"/>
          <w:sz w:val="20"/>
        </w:rPr>
        <w:t xml:space="preserve">Test Evidence: </w:t>
      </w:r>
      <w:r>
        <w:rPr>
          <w:rFonts w:ascii="Arial" w:hAnsi="Arial"/>
          <w:color w:val="404040"/>
          <w:sz w:val="20"/>
        </w:rPr>
        <w:t>Test Evidence: Automated test reports, manual testing screenshots, assistive tech test logs</w:t>
      </w:r>
    </w:p>
    <w:p>
      <w:pPr>
        <w:pStyle w:val="ListBullet"/>
        <w:spacing w:before="20" w:after="20"/>
        <w:ind w:left="360"/>
      </w:pPr>
      <w:r>
        <w:rPr>
          <w:rFonts w:ascii="Arial" w:hAnsi="Arial"/>
          <w:b/>
          <w:color w:val="404040"/>
          <w:sz w:val="20"/>
        </w:rPr>
        <w:t xml:space="preserve">Issue Tracking: </w:t>
      </w:r>
      <w:r>
        <w:rPr>
          <w:rFonts w:ascii="Arial" w:hAnsi="Arial"/>
          <w:color w:val="404040"/>
          <w:sz w:val="20"/>
        </w:rPr>
        <w:t>Remediation Log: Track of accessibility issues found and fixed, including dates and responsible parties</w:t>
      </w:r>
    </w:p>
    <w:p>
      <w:pPr>
        <w:pStyle w:val="ListBullet"/>
        <w:spacing w:before="20" w:after="20"/>
        <w:ind w:left="360"/>
      </w:pPr>
      <w:r>
        <w:rPr>
          <w:rFonts w:ascii="Arial" w:hAnsi="Arial"/>
          <w:b/>
          <w:color w:val="404040"/>
          <w:sz w:val="20"/>
        </w:rPr>
        <w:t xml:space="preserve">Vendor Records: </w:t>
      </w:r>
      <w:r>
        <w:rPr>
          <w:rFonts w:ascii="Arial" w:hAnsi="Arial"/>
          <w:color w:val="404040"/>
          <w:sz w:val="20"/>
        </w:rPr>
        <w:t>Vendor Conformance Reports: ACRs and VPATs from third-party vendors and suppliers</w:t>
      </w:r>
    </w:p>
    <w:p>
      <w:pPr>
        <w:pStyle w:val="ListBullet"/>
        <w:spacing w:before="20" w:after="20"/>
        <w:ind w:left="360"/>
      </w:pPr>
      <w:r>
        <w:rPr>
          <w:rFonts w:ascii="Arial" w:hAnsi="Arial"/>
          <w:b/>
          <w:color w:val="404040"/>
          <w:sz w:val="20"/>
        </w:rPr>
        <w:t xml:space="preserve">Audit Trail: </w:t>
      </w:r>
      <w:r>
        <w:rPr>
          <w:rFonts w:ascii="Arial" w:hAnsi="Arial"/>
          <w:color w:val="404040"/>
          <w:sz w:val="20"/>
        </w:rPr>
        <w:t>Audit Trail: Documentation showing when accessibility was tested and by whom</w:t>
      </w:r>
    </w:p>
    <w:p>
      <w:pPr>
        <w:spacing w:before="240" w:after="80"/>
      </w:pPr>
      <w:r>
        <w:rPr>
          <w:rFonts w:ascii="Arial" w:hAnsi="Arial"/>
          <w:b/>
          <w:color w:val="2E75B6"/>
          <w:sz w:val="26"/>
        </w:rPr>
        <w:t>Accessibility Statement Content (Minimum)</w:t>
      </w:r>
    </w:p>
    <w:p>
      <w:pPr>
        <w:pStyle w:val="ListBullet"/>
        <w:spacing w:before="20" w:after="20"/>
        <w:ind w:left="360"/>
      </w:pPr>
      <w:r>
        <w:rPr>
          <w:rFonts w:ascii="Arial" w:hAnsi="Arial"/>
          <w:b/>
          <w:color w:val="404040"/>
          <w:sz w:val="20"/>
        </w:rPr>
        <w:t xml:space="preserve">Identification: </w:t>
      </w:r>
      <w:r>
        <w:rPr>
          <w:rFonts w:ascii="Arial" w:hAnsi="Arial"/>
          <w:color w:val="404040"/>
          <w:sz w:val="20"/>
        </w:rPr>
        <w:t>Product name and version</w:t>
      </w:r>
    </w:p>
    <w:p>
      <w:pPr>
        <w:pStyle w:val="ListBullet"/>
        <w:spacing w:before="20" w:after="20"/>
        <w:ind w:left="360"/>
      </w:pPr>
      <w:r>
        <w:rPr>
          <w:rFonts w:ascii="Arial" w:hAnsi="Arial"/>
          <w:b/>
          <w:color w:val="404040"/>
          <w:sz w:val="20"/>
        </w:rPr>
        <w:t xml:space="preserve">Organization: </w:t>
      </w:r>
      <w:r>
        <w:rPr>
          <w:rFonts w:ascii="Arial" w:hAnsi="Arial"/>
          <w:color w:val="404040"/>
          <w:sz w:val="20"/>
        </w:rPr>
        <w:t>Organization name</w:t>
      </w:r>
    </w:p>
    <w:p>
      <w:pPr>
        <w:pStyle w:val="ListBullet"/>
        <w:spacing w:before="20" w:after="20"/>
        <w:ind w:left="360"/>
      </w:pPr>
      <w:r>
        <w:rPr>
          <w:rFonts w:ascii="Arial" w:hAnsi="Arial"/>
          <w:b/>
          <w:color w:val="404040"/>
          <w:sz w:val="20"/>
        </w:rPr>
        <w:t xml:space="preserve">Currency: </w:t>
      </w:r>
      <w:r>
        <w:rPr>
          <w:rFonts w:ascii="Arial" w:hAnsi="Arial"/>
          <w:color w:val="404040"/>
          <w:sz w:val="20"/>
        </w:rPr>
        <w:t>Date of last review/update</w:t>
      </w:r>
    </w:p>
    <w:p>
      <w:pPr>
        <w:pStyle w:val="ListBullet"/>
        <w:spacing w:before="20" w:after="20"/>
        <w:ind w:left="360"/>
      </w:pPr>
      <w:r>
        <w:rPr>
          <w:rFonts w:ascii="Arial" w:hAnsi="Arial"/>
          <w:b/>
          <w:color w:val="404040"/>
          <w:sz w:val="20"/>
        </w:rPr>
        <w:t xml:space="preserve">Claim: </w:t>
      </w:r>
      <w:r>
        <w:rPr>
          <w:rFonts w:ascii="Arial" w:hAnsi="Arial"/>
          <w:color w:val="404040"/>
          <w:sz w:val="20"/>
        </w:rPr>
        <w:t>Conformance claim: 'Fully conforms to EN 301 549 v3.2.1' or 'Partially conforms' with specifics</w:t>
      </w:r>
    </w:p>
    <w:p>
      <w:pPr>
        <w:pStyle w:val="ListBullet"/>
        <w:spacing w:before="20" w:after="20"/>
        <w:ind w:left="360"/>
      </w:pPr>
      <w:r>
        <w:rPr>
          <w:rFonts w:ascii="Arial" w:hAnsi="Arial"/>
          <w:b/>
          <w:color w:val="404040"/>
          <w:sz w:val="20"/>
        </w:rPr>
        <w:t xml:space="preserve">Transparency: </w:t>
      </w:r>
      <w:r>
        <w:rPr>
          <w:rFonts w:ascii="Arial" w:hAnsi="Arial"/>
          <w:color w:val="404040"/>
          <w:sz w:val="20"/>
        </w:rPr>
        <w:t>Known limitations: What accessibility gaps remain?</w:t>
      </w:r>
    </w:p>
    <w:p>
      <w:pPr>
        <w:pStyle w:val="ListBullet"/>
        <w:spacing w:before="20" w:after="20"/>
        <w:ind w:left="360"/>
      </w:pPr>
      <w:r>
        <w:rPr>
          <w:rFonts w:ascii="Arial" w:hAnsi="Arial"/>
          <w:b/>
          <w:color w:val="404040"/>
          <w:sz w:val="20"/>
        </w:rPr>
        <w:t xml:space="preserve">Support: </w:t>
      </w:r>
      <w:r>
        <w:rPr>
          <w:rFonts w:ascii="Arial" w:hAnsi="Arial"/>
          <w:color w:val="404040"/>
          <w:sz w:val="20"/>
        </w:rPr>
        <w:t>Contact for assistance: Dedicated email and phone</w:t>
      </w:r>
    </w:p>
    <w:p>
      <w:pPr>
        <w:pStyle w:val="ListBullet"/>
        <w:spacing w:before="20" w:after="20"/>
        <w:ind w:left="360"/>
      </w:pPr>
      <w:r>
        <w:rPr>
          <w:rFonts w:ascii="Arial" w:hAnsi="Arial"/>
          <w:b/>
          <w:color w:val="404040"/>
          <w:sz w:val="20"/>
        </w:rPr>
        <w:t xml:space="preserve">Feedback Mechanism: </w:t>
      </w:r>
      <w:r>
        <w:rPr>
          <w:rFonts w:ascii="Arial" w:hAnsi="Arial"/>
          <w:color w:val="404040"/>
          <w:sz w:val="20"/>
        </w:rPr>
        <w:t>How to report issues: Process for users to report barriers</w:t>
      </w:r>
    </w:p>
    <w:p>
      <w:pPr>
        <w:pStyle w:val="ListBullet"/>
        <w:spacing w:before="20" w:after="20"/>
        <w:ind w:left="360"/>
      </w:pPr>
      <w:r>
        <w:rPr>
          <w:rFonts w:ascii="Arial" w:hAnsi="Arial"/>
          <w:b/>
          <w:color w:val="404040"/>
          <w:sz w:val="20"/>
        </w:rPr>
        <w:t xml:space="preserve">Regulatory Info: </w:t>
      </w:r>
      <w:r>
        <w:rPr>
          <w:rFonts w:ascii="Arial" w:hAnsi="Arial"/>
          <w:color w:val="404040"/>
          <w:sz w:val="20"/>
        </w:rPr>
        <w:t>Enforcement body link: National accessibility authority</w:t>
      </w:r>
    </w:p>
    <w:p>
      <w:pPr>
        <w:spacing w:before="240" w:after="80"/>
      </w:pPr>
      <w:r>
        <w:rPr>
          <w:rFonts w:ascii="Arial" w:hAnsi="Arial"/>
          <w:b/>
          <w:color w:val="2E75B6"/>
          <w:sz w:val="26"/>
        </w:rPr>
        <w:t>Key Documentation Principles</w:t>
      </w:r>
    </w:p>
    <w:p>
      <w:pPr>
        <w:pStyle w:val="ListBullet"/>
        <w:spacing w:before="20" w:after="20"/>
        <w:ind w:left="360"/>
      </w:pPr>
      <w:r>
        <w:rPr>
          <w:rFonts w:ascii="Arial" w:hAnsi="Arial"/>
          <w:b/>
          <w:color w:val="404040"/>
          <w:sz w:val="20"/>
        </w:rPr>
        <w:t xml:space="preserve">Timing: </w:t>
      </w:r>
      <w:r>
        <w:rPr>
          <w:rFonts w:ascii="Arial" w:hAnsi="Arial"/>
          <w:color w:val="404040"/>
          <w:sz w:val="20"/>
        </w:rPr>
        <w:t>Currency: Statements and reports must be current (updated within 3–6 months of last significant change)</w:t>
      </w:r>
    </w:p>
    <w:p>
      <w:pPr>
        <w:pStyle w:val="ListBullet"/>
        <w:spacing w:before="20" w:after="20"/>
        <w:ind w:left="360"/>
      </w:pPr>
      <w:r>
        <w:rPr>
          <w:rFonts w:ascii="Arial" w:hAnsi="Arial"/>
          <w:b/>
          <w:color w:val="404040"/>
          <w:sz w:val="20"/>
        </w:rPr>
        <w:t xml:space="preserve">Truthfulness: </w:t>
      </w:r>
      <w:r>
        <w:rPr>
          <w:rFonts w:ascii="Arial" w:hAnsi="Arial"/>
          <w:color w:val="404040"/>
          <w:sz w:val="20"/>
        </w:rPr>
        <w:t>Accuracy: Claims must be verifiable and truthful; false claims expose organization to legal liability</w:t>
      </w:r>
    </w:p>
    <w:p>
      <w:pPr>
        <w:pStyle w:val="ListBullet"/>
        <w:spacing w:before="20" w:after="20"/>
        <w:ind w:left="360"/>
      </w:pPr>
      <w:r>
        <w:rPr>
          <w:rFonts w:ascii="Arial" w:hAnsi="Arial"/>
          <w:b/>
          <w:color w:val="404040"/>
          <w:sz w:val="20"/>
        </w:rPr>
        <w:t xml:space="preserve">Honesty: </w:t>
      </w:r>
      <w:r>
        <w:rPr>
          <w:rFonts w:ascii="Arial" w:hAnsi="Arial"/>
          <w:color w:val="404040"/>
          <w:sz w:val="20"/>
        </w:rPr>
        <w:t>Transparency: Acknowledge gaps rather than hiding them; this builds trust and limits liability</w:t>
      </w:r>
    </w:p>
    <w:p>
      <w:pPr>
        <w:pStyle w:val="ListBullet"/>
        <w:spacing w:before="20" w:after="20"/>
        <w:ind w:left="360"/>
      </w:pPr>
      <w:r>
        <w:rPr>
          <w:rFonts w:ascii="Arial" w:hAnsi="Arial"/>
          <w:b/>
          <w:color w:val="404040"/>
          <w:sz w:val="20"/>
        </w:rPr>
        <w:t xml:space="preserve">Precision: </w:t>
      </w:r>
      <w:r>
        <w:rPr>
          <w:rFonts w:ascii="Arial" w:hAnsi="Arial"/>
          <w:color w:val="404040"/>
          <w:sz w:val="20"/>
        </w:rPr>
        <w:t>Specificity: General claims like 'accessible' are insufficient; cite specific clauses and versions</w:t>
      </w:r>
    </w:p>
    <w:p>
      <w:pPr>
        <w:pStyle w:val="ListBullet"/>
        <w:spacing w:before="20" w:after="20"/>
        <w:ind w:left="360"/>
      </w:pPr>
      <w:r>
        <w:rPr>
          <w:rFonts w:ascii="Arial" w:hAnsi="Arial"/>
          <w:b/>
          <w:color w:val="404040"/>
          <w:sz w:val="20"/>
        </w:rPr>
        <w:t xml:space="preserve">Defensibility: </w:t>
      </w:r>
      <w:r>
        <w:rPr>
          <w:rFonts w:ascii="Arial" w:hAnsi="Arial"/>
          <w:color w:val="404040"/>
          <w:sz w:val="20"/>
        </w:rPr>
        <w:t>Evidence: Be ready to produce test results, vendor reports, and audit documentation if challenged</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Documentation is evidence. If a user or regulator challenges your conformance claim, these documents will be your defense. Keep them organized, up-to-date, and truthful.</w:t>
      </w:r>
    </w:p>
    <w:p>
      <w:r>
        <w:br w:type="page"/>
      </w:r>
    </w:p>
    <w:p>
      <w:pPr>
        <w:spacing w:before="360" w:after="120"/>
        <w:pBdr>
          <w:bottom w:val="single" w:sz="12" w:space="4" w:color="2E75B6"/>
        </w:pBdr>
      </w:pPr>
      <w:r>
        <w:rPr>
          <w:rFonts w:ascii="Arial" w:hAnsi="Arial"/>
          <w:b/>
          <w:color w:val="1F4E79"/>
          <w:sz w:val="32"/>
        </w:rPr>
        <w:t>8. Testing Against EN 301 549</w:t>
      </w:r>
    </w:p>
    <w:p>
      <w:pPr>
        <w:spacing w:before="60" w:after="80"/>
      </w:pPr>
      <w:r>
        <w:rPr>
          <w:rFonts w:ascii="Arial" w:hAnsi="Arial"/>
          <w:b w:val="0"/>
          <w:i w:val="0"/>
          <w:color w:val="404040"/>
          <w:sz w:val="20"/>
        </w:rPr>
        <w:t>Achieving EN 301 549 conformance requires systematic testing. Different chapters require different testing approaches.</w:t>
      </w:r>
    </w:p>
    <w:p>
      <w:pPr>
        <w:spacing w:before="240" w:after="80"/>
      </w:pPr>
      <w:r>
        <w:rPr>
          <w:rFonts w:ascii="Arial" w:hAnsi="Arial"/>
          <w:b/>
          <w:color w:val="2E75B6"/>
          <w:sz w:val="26"/>
        </w:rPr>
        <w:t>Testing Strategies by Chapter</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400" w:hRule="atLeast"/>
        </w:trPr>
        <w:tc>
          <w:tcPr>
            <w:tcW w:type="dxa" w:w="1440"/>
            <w:shd w:val="clear" w:color="auto" w:fill="1F4E79"/>
            <w:tcMar>
              <w:top w:w="80" w:type="dxa"/>
              <w:bottom w:w="80" w:type="dxa"/>
              <w:left w:w="120" w:type="dxa"/>
              <w:right w:w="120" w:type="dxa"/>
            </w:tcMar>
          </w:tcPr>
          <w:p>
            <w:pPr>
              <w:jc w:val="left"/>
            </w:pPr>
            <w:r>
              <w:rPr>
                <w:rFonts w:ascii="Arial" w:hAnsi="Arial"/>
                <w:b/>
                <w:color w:val="FFFFFF"/>
                <w:sz w:val="18"/>
              </w:rPr>
              <w:t>Chapter</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Content Type</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Automated</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Manual</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Assistive Tech</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User Testing</w:t>
            </w:r>
          </w:p>
        </w:tc>
      </w:tr>
      <w:tr>
        <w:tc>
          <w:tcPr>
            <w:tcW w:type="dxa" w:w="1440"/>
            <w:shd w:val="clear" w:color="auto" w:fill="EBF3FB"/>
            <w:tcMar>
              <w:top w:w="80" w:type="dxa"/>
              <w:bottom w:w="80" w:type="dxa"/>
              <w:left w:w="120" w:type="dxa"/>
              <w:right w:w="120" w:type="dxa"/>
            </w:tcMar>
          </w:tcPr>
          <w:p>
            <w:pPr>
              <w:jc w:val="left"/>
            </w:pPr>
            <w:r>
              <w:rPr>
                <w:rFonts w:ascii="Arial" w:hAnsi="Arial"/>
                <w:color w:val="404040"/>
                <w:sz w:val="18"/>
              </w:rPr>
              <w:t>9 (Web)</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Websites, web apps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axe-core, WAVE</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Keyboard, screen readers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NVDA, JAWS, VoiceOver</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Users with disabilities</w:t>
            </w:r>
          </w:p>
        </w:tc>
      </w:tr>
      <w:tr>
        <w:tc>
          <w:tcPr>
            <w:tcW w:type="dxa" w:w="1440"/>
            <w:shd w:val="clear" w:color="auto" w:fill="FFFFFF"/>
            <w:tcMar>
              <w:top w:w="80" w:type="dxa"/>
              <w:bottom w:w="80" w:type="dxa"/>
              <w:left w:w="120" w:type="dxa"/>
              <w:right w:w="120" w:type="dxa"/>
            </w:tcMar>
          </w:tcPr>
          <w:p>
            <w:pPr>
              <w:jc w:val="left"/>
            </w:pPr>
            <w:r>
              <w:rPr>
                <w:rFonts w:ascii="Arial" w:hAnsi="Arial"/>
                <w:color w:val="404040"/>
                <w:sz w:val="18"/>
              </w:rPr>
              <w:t>10 (Docs)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PDFs, Word, ePub</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Limited (axe-pdf)</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Accessibility checker tools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Screen reader with Acrobat</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User with AT</w:t>
            </w:r>
          </w:p>
        </w:tc>
      </w:tr>
      <w:tr>
        <w:tc>
          <w:tcPr>
            <w:tcW w:type="dxa" w:w="1440"/>
            <w:shd w:val="clear" w:color="auto" w:fill="EBF3FB"/>
            <w:tcMar>
              <w:top w:w="80" w:type="dxa"/>
              <w:bottom w:w="80" w:type="dxa"/>
              <w:left w:w="120" w:type="dxa"/>
              <w:right w:w="120" w:type="dxa"/>
            </w:tcMar>
          </w:tcPr>
          <w:p>
            <w:pPr>
              <w:jc w:val="left"/>
            </w:pPr>
            <w:r>
              <w:rPr>
                <w:rFonts w:ascii="Arial" w:hAnsi="Arial"/>
                <w:color w:val="404040"/>
                <w:sz w:val="18"/>
              </w:rPr>
              <w:t>11 (Software)</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Desktop/mobile apps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axe-android, axe-mac</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Keyboard, focus, AT</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Screen readers, voice control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Users with disabilities</w:t>
            </w:r>
          </w:p>
        </w:tc>
      </w:tr>
      <w:tr>
        <w:tc>
          <w:tcPr>
            <w:tcW w:type="dxa" w:w="1440"/>
            <w:shd w:val="clear" w:color="auto" w:fill="FFFFFF"/>
            <w:tcMar>
              <w:top w:w="80" w:type="dxa"/>
              <w:bottom w:w="80" w:type="dxa"/>
              <w:left w:w="120" w:type="dxa"/>
              <w:right w:w="120" w:type="dxa"/>
            </w:tcMar>
          </w:tcPr>
          <w:p>
            <w:pPr>
              <w:jc w:val="left"/>
            </w:pPr>
            <w:r>
              <w:rPr>
                <w:rFonts w:ascii="Arial" w:hAnsi="Arial"/>
                <w:color w:val="404040"/>
                <w:sz w:val="18"/>
              </w:rPr>
              <w:t>8 (Hardware)</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Physical devices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None</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Manual inspection, testing</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AT compatibility test</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Users with various abilities</w:t>
            </w:r>
          </w:p>
        </w:tc>
      </w:tr>
    </w:tbl>
    <w:p>
      <w:pPr>
        <w:spacing w:after="80"/>
      </w:pPr>
    </w:p>
    <w:p>
      <w:pPr>
        <w:spacing w:before="240" w:after="80"/>
      </w:pPr>
      <w:r>
        <w:rPr>
          <w:rFonts w:ascii="Arial" w:hAnsi="Arial"/>
          <w:b/>
          <w:color w:val="2E75B6"/>
          <w:sz w:val="26"/>
        </w:rPr>
        <w:t>Automated Testing Tools (Chapter 9: Web)</w:t>
      </w:r>
    </w:p>
    <w:p>
      <w:pPr>
        <w:pStyle w:val="ListBullet"/>
        <w:spacing w:before="20" w:after="20"/>
        <w:ind w:left="360"/>
      </w:pPr>
      <w:r>
        <w:rPr>
          <w:rFonts w:ascii="Arial" w:hAnsi="Arial"/>
          <w:b/>
          <w:color w:val="404040"/>
          <w:sz w:val="20"/>
        </w:rPr>
        <w:t xml:space="preserve">axe-core: </w:t>
      </w:r>
      <w:r>
        <w:rPr>
          <w:rFonts w:ascii="Arial" w:hAnsi="Arial"/>
          <w:color w:val="404040"/>
          <w:sz w:val="20"/>
        </w:rPr>
        <w:t>axe-core: Open-source accessibility engine; integrates into development workflow</w:t>
      </w:r>
    </w:p>
    <w:p>
      <w:pPr>
        <w:pStyle w:val="ListBullet"/>
        <w:spacing w:before="20" w:after="20"/>
        <w:ind w:left="360"/>
      </w:pPr>
      <w:r>
        <w:rPr>
          <w:rFonts w:ascii="Arial" w:hAnsi="Arial"/>
          <w:b/>
          <w:color w:val="404040"/>
          <w:sz w:val="20"/>
        </w:rPr>
        <w:t xml:space="preserve">WAVE: </w:t>
      </w:r>
      <w:r>
        <w:rPr>
          <w:rFonts w:ascii="Arial" w:hAnsi="Arial"/>
          <w:color w:val="404040"/>
          <w:sz w:val="20"/>
        </w:rPr>
        <w:t>WAVE: Browser-based web accessibility evaluator; identifies WCAG failures</w:t>
      </w:r>
    </w:p>
    <w:p>
      <w:pPr>
        <w:pStyle w:val="ListBullet"/>
        <w:spacing w:before="20" w:after="20"/>
        <w:ind w:left="360"/>
      </w:pPr>
      <w:r>
        <w:rPr>
          <w:rFonts w:ascii="Arial" w:hAnsi="Arial"/>
          <w:b/>
          <w:color w:val="404040"/>
          <w:sz w:val="20"/>
        </w:rPr>
        <w:t xml:space="preserve">Lighthouse: </w:t>
      </w:r>
      <w:r>
        <w:rPr>
          <w:rFonts w:ascii="Arial" w:hAnsi="Arial"/>
          <w:color w:val="404040"/>
          <w:sz w:val="20"/>
        </w:rPr>
        <w:t>Lighthouse: Built into Chrome DevTools; includes accessibility audit</w:t>
      </w:r>
    </w:p>
    <w:p>
      <w:pPr>
        <w:pStyle w:val="ListBullet"/>
        <w:spacing w:before="20" w:after="20"/>
        <w:ind w:left="360"/>
      </w:pPr>
      <w:r>
        <w:rPr>
          <w:rFonts w:ascii="Arial" w:hAnsi="Arial"/>
          <w:b/>
          <w:color w:val="404040"/>
          <w:sz w:val="20"/>
        </w:rPr>
        <w:t xml:space="preserve">Pa11y: </w:t>
      </w:r>
      <w:r>
        <w:rPr>
          <w:rFonts w:ascii="Arial" w:hAnsi="Arial"/>
          <w:color w:val="404040"/>
          <w:sz w:val="20"/>
        </w:rPr>
        <w:t>Pa11y: Command-line accessibility testing; good for CI/CD integration</w:t>
      </w:r>
    </w:p>
    <w:p>
      <w:pPr>
        <w:pStyle w:val="ListBullet"/>
        <w:spacing w:before="20" w:after="20"/>
        <w:ind w:left="360"/>
      </w:pPr>
      <w:r>
        <w:rPr>
          <w:rFonts w:ascii="Arial" w:hAnsi="Arial"/>
          <w:b/>
          <w:color w:val="404040"/>
          <w:sz w:val="20"/>
        </w:rPr>
        <w:t xml:space="preserve">axe Commercial: </w:t>
      </w:r>
      <w:r>
        <w:rPr>
          <w:rFonts w:ascii="Arial" w:hAnsi="Arial"/>
          <w:color w:val="404040"/>
          <w:sz w:val="20"/>
        </w:rPr>
        <w:t>Deque axe: Commercial version of axe-core with additional features and support</w:t>
      </w:r>
    </w:p>
    <w:p>
      <w:pPr>
        <w:spacing w:before="240" w:after="80"/>
      </w:pPr>
      <w:r>
        <w:rPr>
          <w:rFonts w:ascii="Arial" w:hAnsi="Arial"/>
          <w:b/>
          <w:color w:val="2E75B6"/>
          <w:sz w:val="26"/>
        </w:rPr>
        <w:t>Manual Testing (All Chapters)</w:t>
      </w:r>
    </w:p>
    <w:p>
      <w:pPr>
        <w:pStyle w:val="ListBullet"/>
        <w:spacing w:before="20" w:after="20"/>
        <w:ind w:left="360"/>
      </w:pPr>
      <w:r>
        <w:rPr>
          <w:rFonts w:ascii="Arial" w:hAnsi="Arial"/>
          <w:b/>
          <w:color w:val="404040"/>
          <w:sz w:val="20"/>
        </w:rPr>
        <w:t xml:space="preserve">Keyboard Test: </w:t>
      </w:r>
      <w:r>
        <w:rPr>
          <w:rFonts w:ascii="Arial" w:hAnsi="Arial"/>
          <w:color w:val="404040"/>
          <w:sz w:val="20"/>
        </w:rPr>
        <w:t>Keyboard Navigation: Tab through entire interface using keyboard only</w:t>
      </w:r>
    </w:p>
    <w:p>
      <w:pPr>
        <w:pStyle w:val="ListBullet"/>
        <w:spacing w:before="20" w:after="20"/>
        <w:ind w:left="360"/>
      </w:pPr>
      <w:r>
        <w:rPr>
          <w:rFonts w:ascii="Arial" w:hAnsi="Arial"/>
          <w:b/>
          <w:color w:val="404040"/>
          <w:sz w:val="20"/>
        </w:rPr>
        <w:t xml:space="preserve">Contrast Check: </w:t>
      </w:r>
      <w:r>
        <w:rPr>
          <w:rFonts w:ascii="Arial" w:hAnsi="Arial"/>
          <w:color w:val="404040"/>
          <w:sz w:val="20"/>
        </w:rPr>
        <w:t>Color Contrast: Verify 4.5:1 (text) and 3:1 (large text) using contrast checker tools</w:t>
      </w:r>
    </w:p>
    <w:p>
      <w:pPr>
        <w:pStyle w:val="ListBullet"/>
        <w:spacing w:before="20" w:after="20"/>
        <w:ind w:left="360"/>
      </w:pPr>
      <w:r>
        <w:rPr>
          <w:rFonts w:ascii="Arial" w:hAnsi="Arial"/>
          <w:b/>
          <w:color w:val="404040"/>
          <w:sz w:val="20"/>
        </w:rPr>
        <w:t xml:space="preserve">Focus Visibility: </w:t>
      </w:r>
      <w:r>
        <w:rPr>
          <w:rFonts w:ascii="Arial" w:hAnsi="Arial"/>
          <w:color w:val="404040"/>
          <w:sz w:val="20"/>
        </w:rPr>
        <w:t>Focus Visibility: Ensure focus indicator is visible and logical</w:t>
      </w:r>
    </w:p>
    <w:p>
      <w:pPr>
        <w:pStyle w:val="ListBullet"/>
        <w:spacing w:before="20" w:after="20"/>
        <w:ind w:left="360"/>
      </w:pPr>
      <w:r>
        <w:rPr>
          <w:rFonts w:ascii="Arial" w:hAnsi="Arial"/>
          <w:b/>
          <w:color w:val="404040"/>
          <w:sz w:val="20"/>
        </w:rPr>
        <w:t xml:space="preserve">Heading Hierarchy: </w:t>
      </w:r>
      <w:r>
        <w:rPr>
          <w:rFonts w:ascii="Arial" w:hAnsi="Arial"/>
          <w:color w:val="404040"/>
          <w:sz w:val="20"/>
        </w:rPr>
        <w:t>Heading Structure: Verify proper h1, h2, h3 hierarchy (not skipping levels)</w:t>
      </w:r>
    </w:p>
    <w:p>
      <w:pPr>
        <w:pStyle w:val="ListBullet"/>
        <w:spacing w:before="20" w:after="20"/>
        <w:ind w:left="360"/>
      </w:pPr>
      <w:r>
        <w:rPr>
          <w:rFonts w:ascii="Arial" w:hAnsi="Arial"/>
          <w:b/>
          <w:color w:val="404040"/>
          <w:sz w:val="20"/>
        </w:rPr>
        <w:t xml:space="preserve">Form Accessibility: </w:t>
      </w:r>
      <w:r>
        <w:rPr>
          <w:rFonts w:ascii="Arial" w:hAnsi="Arial"/>
          <w:color w:val="404040"/>
          <w:sz w:val="20"/>
        </w:rPr>
        <w:t>Form Labels: Confirm all form inputs have associated labels</w:t>
      </w:r>
    </w:p>
    <w:p>
      <w:pPr>
        <w:pStyle w:val="ListBullet"/>
        <w:spacing w:before="20" w:after="20"/>
        <w:ind w:left="360"/>
      </w:pPr>
      <w:r>
        <w:rPr>
          <w:rFonts w:ascii="Arial" w:hAnsi="Arial"/>
          <w:b/>
          <w:color w:val="404040"/>
          <w:sz w:val="20"/>
        </w:rPr>
        <w:t xml:space="preserve">Link Accessibility: </w:t>
      </w:r>
      <w:r>
        <w:rPr>
          <w:rFonts w:ascii="Arial" w:hAnsi="Arial"/>
          <w:color w:val="404040"/>
          <w:sz w:val="20"/>
        </w:rPr>
        <w:t>Link Text: Check that links are meaningful (not 'click here'; describe destination)</w:t>
      </w:r>
    </w:p>
    <w:p>
      <w:pPr>
        <w:spacing w:before="240" w:after="80"/>
      </w:pPr>
      <w:r>
        <w:rPr>
          <w:rFonts w:ascii="Arial" w:hAnsi="Arial"/>
          <w:b/>
          <w:color w:val="2E75B6"/>
          <w:sz w:val="26"/>
        </w:rPr>
        <w:t>Assistive Technology Testing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872"/>
            <w:shd w:val="clear" w:color="auto" w:fill="1F4E79"/>
            <w:tcMar>
              <w:top w:w="80" w:type="dxa"/>
              <w:bottom w:w="80" w:type="dxa"/>
              <w:left w:w="120" w:type="dxa"/>
              <w:right w:w="120" w:type="dxa"/>
            </w:tcMar>
          </w:tcPr>
          <w:p>
            <w:pPr>
              <w:jc w:val="left"/>
            </w:pPr>
            <w:r>
              <w:rPr>
                <w:rFonts w:ascii="Arial" w:hAnsi="Arial"/>
                <w:b/>
                <w:color w:val="FFFFFF"/>
                <w:sz w:val="18"/>
              </w:rPr>
              <w:t>Technology</w:t>
            </w:r>
          </w:p>
        </w:tc>
        <w:tc>
          <w:tcPr>
            <w:tcW w:type="dxa" w:w="2592"/>
            <w:shd w:val="clear" w:color="auto" w:fill="1F4E79"/>
            <w:tcMar>
              <w:top w:w="80" w:type="dxa"/>
              <w:bottom w:w="80" w:type="dxa"/>
              <w:left w:w="120" w:type="dxa"/>
              <w:right w:w="120" w:type="dxa"/>
            </w:tcMar>
          </w:tcPr>
          <w:p>
            <w:pPr>
              <w:jc w:val="left"/>
            </w:pPr>
            <w:r>
              <w:rPr>
                <w:rFonts w:ascii="Arial" w:hAnsi="Arial"/>
                <w:b/>
                <w:color w:val="FFFFFF"/>
                <w:sz w:val="18"/>
              </w:rPr>
              <w:t>Platforms</w:t>
            </w:r>
          </w:p>
        </w:tc>
        <w:tc>
          <w:tcPr>
            <w:tcW w:type="dxa" w:w="3456"/>
            <w:shd w:val="clear" w:color="auto" w:fill="1F4E79"/>
            <w:tcMar>
              <w:top w:w="80" w:type="dxa"/>
              <w:bottom w:w="80" w:type="dxa"/>
              <w:left w:w="120" w:type="dxa"/>
              <w:right w:w="120" w:type="dxa"/>
            </w:tcMar>
          </w:tcPr>
          <w:p>
            <w:pPr>
              <w:jc w:val="left"/>
            </w:pPr>
            <w:r>
              <w:rPr>
                <w:rFonts w:ascii="Arial" w:hAnsi="Arial"/>
                <w:b/>
                <w:color w:val="FFFFFF"/>
                <w:sz w:val="18"/>
              </w:rPr>
              <w:t>Key Tests</w:t>
            </w:r>
          </w:p>
        </w:tc>
        <w:tc>
          <w:tcPr>
            <w:tcW w:type="dxa" w:w="1440"/>
            <w:shd w:val="clear" w:color="auto" w:fill="1F4E79"/>
            <w:tcMar>
              <w:top w:w="80" w:type="dxa"/>
              <w:bottom w:w="80" w:type="dxa"/>
              <w:left w:w="120" w:type="dxa"/>
              <w:right w:w="120" w:type="dxa"/>
            </w:tcMar>
          </w:tcPr>
          <w:p>
            <w:pPr>
              <w:jc w:val="left"/>
            </w:pPr>
            <w:r>
              <w:rPr>
                <w:rFonts w:ascii="Arial" w:hAnsi="Arial"/>
                <w:b/>
                <w:color w:val="FFFFFF"/>
                <w:sz w:val="18"/>
              </w:rPr>
              <w:t>Notes</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NVDA</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Windows</w:t>
            </w:r>
          </w:p>
        </w:tc>
        <w:tc>
          <w:tcPr>
            <w:tcW w:type="dxa" w:w="3456"/>
            <w:shd w:val="clear" w:color="auto" w:fill="EBF3FB"/>
            <w:tcMar>
              <w:top w:w="80" w:type="dxa"/>
              <w:bottom w:w="80" w:type="dxa"/>
              <w:left w:w="120" w:type="dxa"/>
              <w:right w:w="120" w:type="dxa"/>
            </w:tcMar>
          </w:tcPr>
          <w:p>
            <w:pPr>
              <w:jc w:val="left"/>
            </w:pPr>
            <w:r>
              <w:rPr>
                <w:rFonts w:ascii="Arial" w:hAnsi="Arial"/>
                <w:color w:val="404040"/>
                <w:sz w:val="18"/>
              </w:rPr>
              <w:t>Screen reader navigation, form filling, table understanding</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Free; most common Windows AT</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JAWS</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Windows</w:t>
            </w:r>
          </w:p>
        </w:tc>
        <w:tc>
          <w:tcPr>
            <w:tcW w:type="dxa" w:w="3456"/>
            <w:shd w:val="clear" w:color="auto" w:fill="FFFFFF"/>
            <w:tcMar>
              <w:top w:w="80" w:type="dxa"/>
              <w:bottom w:w="80" w:type="dxa"/>
              <w:left w:w="120" w:type="dxa"/>
              <w:right w:w="120" w:type="dxa"/>
            </w:tcMar>
          </w:tcPr>
          <w:p>
            <w:pPr>
              <w:jc w:val="left"/>
            </w:pPr>
            <w:r>
              <w:rPr>
                <w:rFonts w:ascii="Arial" w:hAnsi="Arial"/>
                <w:color w:val="404040"/>
                <w:sz w:val="18"/>
              </w:rPr>
              <w:t>Advanced screen reader features, table navigation</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Commercial; most feature-rich</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VoiceOver</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macOS, iOS</w:t>
            </w:r>
          </w:p>
        </w:tc>
        <w:tc>
          <w:tcPr>
            <w:tcW w:type="dxa" w:w="3456"/>
            <w:shd w:val="clear" w:color="auto" w:fill="EBF3FB"/>
            <w:tcMar>
              <w:top w:w="80" w:type="dxa"/>
              <w:bottom w:w="80" w:type="dxa"/>
              <w:left w:w="120" w:type="dxa"/>
              <w:right w:w="120" w:type="dxa"/>
            </w:tcMar>
          </w:tcPr>
          <w:p>
            <w:pPr>
              <w:jc w:val="left"/>
            </w:pPr>
            <w:r>
              <w:rPr>
                <w:rFonts w:ascii="Arial" w:hAnsi="Arial"/>
                <w:color w:val="404040"/>
                <w:sz w:val="18"/>
              </w:rPr>
              <w:t>Native screen reader on Apple devices</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Built-in to macOS/iOS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TalkBack</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Android</w:t>
            </w:r>
          </w:p>
        </w:tc>
        <w:tc>
          <w:tcPr>
            <w:tcW w:type="dxa" w:w="3456"/>
            <w:shd w:val="clear" w:color="auto" w:fill="FFFFFF"/>
            <w:tcMar>
              <w:top w:w="80" w:type="dxa"/>
              <w:bottom w:w="80" w:type="dxa"/>
              <w:left w:w="120" w:type="dxa"/>
              <w:right w:w="120" w:type="dxa"/>
            </w:tcMar>
          </w:tcPr>
          <w:p>
            <w:pPr>
              <w:jc w:val="left"/>
            </w:pPr>
            <w:r>
              <w:rPr>
                <w:rFonts w:ascii="Arial" w:hAnsi="Arial"/>
                <w:color w:val="404040"/>
                <w:sz w:val="18"/>
              </w:rPr>
              <w:t>Mobile screen reader navigation, gesture control</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Built-in to Android</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Voice Control</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macOS, iOS, Windows</w:t>
            </w:r>
          </w:p>
        </w:tc>
        <w:tc>
          <w:tcPr>
            <w:tcW w:type="dxa" w:w="3456"/>
            <w:shd w:val="clear" w:color="auto" w:fill="EBF3FB"/>
            <w:tcMar>
              <w:top w:w="80" w:type="dxa"/>
              <w:bottom w:w="80" w:type="dxa"/>
              <w:left w:w="120" w:type="dxa"/>
              <w:right w:w="120" w:type="dxa"/>
            </w:tcMar>
          </w:tcPr>
          <w:p>
            <w:pPr>
              <w:jc w:val="left"/>
            </w:pPr>
            <w:r>
              <w:rPr>
                <w:rFonts w:ascii="Arial" w:hAnsi="Arial"/>
                <w:color w:val="404040"/>
                <w:sz w:val="18"/>
              </w:rPr>
              <w:t>Voice command navigation and input</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Growing alternative to screen readers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Speech Recognition</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Windows (built-in), macOS</w:t>
            </w:r>
          </w:p>
        </w:tc>
        <w:tc>
          <w:tcPr>
            <w:tcW w:type="dxa" w:w="3456"/>
            <w:shd w:val="clear" w:color="auto" w:fill="FFFFFF"/>
            <w:tcMar>
              <w:top w:w="80" w:type="dxa"/>
              <w:bottom w:w="80" w:type="dxa"/>
              <w:left w:w="120" w:type="dxa"/>
              <w:right w:w="120" w:type="dxa"/>
            </w:tcMar>
          </w:tcPr>
          <w:p>
            <w:pPr>
              <w:jc w:val="left"/>
            </w:pPr>
            <w:r>
              <w:rPr>
                <w:rFonts w:ascii="Arial" w:hAnsi="Arial"/>
                <w:color w:val="404040"/>
                <w:sz w:val="18"/>
              </w:rPr>
              <w:t>Dragon, Windows Speech Recognition</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Alternative input method</w:t>
            </w:r>
          </w:p>
        </w:tc>
      </w:tr>
    </w:tbl>
    <w:p>
      <w:pPr>
        <w:spacing w:after="80"/>
      </w:pPr>
    </w:p>
    <w:p>
      <w:pPr>
        <w:spacing w:before="240" w:after="80"/>
      </w:pPr>
      <w:r>
        <w:rPr>
          <w:rFonts w:ascii="Arial" w:hAnsi="Arial"/>
          <w:b/>
          <w:color w:val="2E75B6"/>
          <w:sz w:val="26"/>
        </w:rPr>
        <w:t>Test Matrix Template for EN 301 549</w:t>
      </w:r>
    </w:p>
    <w:p>
      <w:pPr>
        <w:spacing w:before="60" w:after="80"/>
      </w:pPr>
      <w:r>
        <w:rPr>
          <w:rFonts w:ascii="Arial" w:hAnsi="Arial"/>
          <w:b w:val="0"/>
          <w:i w:val="0"/>
          <w:color w:val="404040"/>
          <w:sz w:val="20"/>
        </w:rPr>
        <w:t>Use this matrix to track conformance across all applicable clauses:</w:t>
      </w:r>
    </w:p>
    <w:p>
      <w:pPr>
        <w:spacing w:before="60" w:after="60"/>
        <w:ind w:left="360"/>
        <w:shd w:val="clear" w:color="auto" w:fill="F4F4F4"/>
      </w:pPr>
      <w:r>
        <w:rPr>
          <w:rFonts w:ascii="Courier New" w:hAnsi="Courier New"/>
          <w:color w:val="1A1A1A"/>
          <w:sz w:val="18"/>
        </w:rPr>
        <w:br/>
        <w:t>EN 301 549 CONFORMANCE TEST MATRIX</w:t>
        <w:br/>
        <w:br/>
        <w:t>Product: [Name]</w:t>
        <w:br/>
        <w:t>Version: [Version]</w:t>
        <w:br/>
        <w:t>Test Date: [Date]</w:t>
        <w:br/>
        <w:t>Tested By: [Name/Organization]</w:t>
        <w:br/>
        <w:br/>
        <w:t>CHAPTER 9: WEB CONTENT</w:t>
        <w:br/>
        <w:t>┌─────────┬──────────────────┬────────────┬──────────┬────────────────┐</w:t>
        <w:br/>
        <w:t>│ Clause  │ WCAG Criterion   │ Testing    │ Result   │ Evidence/Notes │</w:t>
        <w:br/>
        <w:t>├─────────┼──────────────────┼────────────┼──────────┼────────────────┤</w:t>
        <w:br/>
        <w:t>│ 9.1.1.1 │ 1.1.1 Non-text   │ Automated  │ PASS     │ 0 missing alt  │</w:t>
        <w:br/>
        <w:t>│         │ Content          │ + Manual   │          │ text detected  │</w:t>
        <w:br/>
        <w:t>├─────────┼──────────────────┼────────────┼──────────┼────────────────┤</w:t>
        <w:br/>
        <w:t>│ 9.1.4.3 │ 1.4.3 Contrast   │ Automated  │ PASS     │ All text meets │</w:t>
        <w:br/>
        <w:t>│         │ (Minimum)        │ + Manual   │          │ 4.5:1 ratio    │</w:t>
        <w:br/>
        <w:t>└─────────┴──────────────────┴────────────┴──────────┴────────────────┘</w:t>
        <w:br/>
        <w:br/>
        <w:t>Summary: 20/20 applicable clauses PASS</w:t>
        <w:br/>
        <w:t>Conformance: FULL</w:t>
        <w:br/>
        <w:t>Non-Conformances: 0</w:t>
        <w:br/>
        <w:t>Known Limitations: None</w:t>
        <w:br/>
      </w: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Automated testing catches 30–40% of accessibility issues. Manual testing and assistive technology testing are essential for comprehensive conformance.</w:t>
      </w:r>
    </w:p>
    <w:p>
      <w:r>
        <w:br w:type="page"/>
      </w:r>
    </w:p>
    <w:p>
      <w:pPr>
        <w:spacing w:before="360" w:after="120"/>
        <w:pBdr>
          <w:bottom w:val="single" w:sz="12" w:space="4" w:color="2E75B6"/>
        </w:pBdr>
      </w:pPr>
      <w:r>
        <w:rPr>
          <w:rFonts w:ascii="Arial" w:hAnsi="Arial"/>
          <w:b/>
          <w:color w:val="1F4E79"/>
          <w:sz w:val="32"/>
        </w:rPr>
        <w:t>Conclusion &amp; Resources</w:t>
      </w:r>
    </w:p>
    <w:p>
      <w:pPr>
        <w:spacing w:before="60" w:after="80"/>
      </w:pPr>
      <w:r>
        <w:rPr>
          <w:rFonts w:ascii="Arial" w:hAnsi="Arial"/>
          <w:b/>
          <w:i w:val="0"/>
          <w:color w:val="404040"/>
          <w:sz w:val="20"/>
        </w:rPr>
        <w:t>EN 301 549 v3.2.1 is the foundational accessibility standard for Europe. Compliance is legally required under the EAA and is the baseline expectation for EU market access.</w:t>
      </w:r>
    </w:p>
    <w:p>
      <w:pPr>
        <w:spacing w:before="60" w:after="80"/>
      </w:pPr>
      <w:r>
        <w:rPr>
          <w:rFonts w:ascii="Arial" w:hAnsi="Arial"/>
          <w:b w:val="0"/>
          <w:i w:val="0"/>
          <w:color w:val="404040"/>
          <w:sz w:val="20"/>
        </w:rPr>
        <w:t>Understanding the structure (13 chapters), mapping to WCAG 2.1 (Chapter 9), and testing approaches is essential for successful implementation.</w:t>
      </w:r>
    </w:p>
    <w:p>
      <w:pPr>
        <w:spacing w:before="0" w:after="240"/>
      </w:pPr>
    </w:p>
    <w:p>
      <w:pPr>
        <w:spacing w:before="240" w:after="80"/>
      </w:pPr>
      <w:r>
        <w:rPr>
          <w:rFonts w:ascii="Arial" w:hAnsi="Arial"/>
          <w:b/>
          <w:color w:val="2E75B6"/>
          <w:sz w:val="26"/>
        </w:rPr>
        <w:t>Further Resources</w:t>
      </w:r>
    </w:p>
    <w:p>
      <w:pPr>
        <w:pStyle w:val="ListBullet"/>
        <w:spacing w:before="20" w:after="20"/>
        <w:ind w:left="360"/>
      </w:pPr>
      <w:r>
        <w:rPr>
          <w:rFonts w:ascii="Arial" w:hAnsi="Arial"/>
          <w:b/>
          <w:color w:val="404040"/>
          <w:sz w:val="20"/>
        </w:rPr>
        <w:t xml:space="preserve">Full Standard: </w:t>
      </w:r>
      <w:r>
        <w:rPr>
          <w:rFonts w:ascii="Arial" w:hAnsi="Arial"/>
          <w:color w:val="404040"/>
          <w:sz w:val="20"/>
        </w:rPr>
        <w:t>ETSI EN 301 549 v3.2.1: Available from ETSI shop (fee applies for full standard)</w:t>
      </w:r>
    </w:p>
    <w:p>
      <w:pPr>
        <w:pStyle w:val="ListBullet"/>
        <w:spacing w:before="20" w:after="20"/>
        <w:ind w:left="360"/>
      </w:pPr>
      <w:r>
        <w:rPr>
          <w:rFonts w:ascii="Arial" w:hAnsi="Arial"/>
          <w:b/>
          <w:color w:val="404040"/>
          <w:sz w:val="20"/>
        </w:rPr>
        <w:t xml:space="preserve">Mapping Guide: </w:t>
      </w:r>
      <w:r>
        <w:rPr>
          <w:rFonts w:ascii="Arial" w:hAnsi="Arial"/>
          <w:color w:val="404040"/>
          <w:sz w:val="20"/>
        </w:rPr>
        <w:t>ETSI/W3C Mapping: Detailed mapping of EN 301 549 to WCAG 2.1 (available free from ETSI)</w:t>
      </w:r>
    </w:p>
    <w:p>
      <w:pPr>
        <w:pStyle w:val="ListBullet"/>
        <w:spacing w:before="20" w:after="20"/>
        <w:ind w:left="360"/>
      </w:pPr>
      <w:r>
        <w:rPr>
          <w:rFonts w:ascii="Arial" w:hAnsi="Arial"/>
          <w:b/>
          <w:color w:val="404040"/>
          <w:sz w:val="20"/>
        </w:rPr>
        <w:t xml:space="preserve">WCAG Reference: </w:t>
      </w:r>
      <w:r>
        <w:rPr>
          <w:rFonts w:ascii="Arial" w:hAnsi="Arial"/>
          <w:color w:val="404040"/>
          <w:sz w:val="20"/>
        </w:rPr>
        <w:t>W3C WCAG 2.1: Complete WCAG 2.1 guidelines (www.w3.org/WAI/WCAG21/quickref/)</w:t>
      </w:r>
    </w:p>
    <w:p>
      <w:pPr>
        <w:pStyle w:val="ListBullet"/>
        <w:spacing w:before="20" w:after="20"/>
        <w:ind w:left="360"/>
      </w:pPr>
      <w:r>
        <w:rPr>
          <w:rFonts w:ascii="Arial" w:hAnsi="Arial"/>
          <w:b/>
          <w:color w:val="404040"/>
          <w:sz w:val="20"/>
        </w:rPr>
        <w:t xml:space="preserve">Professional Development: </w:t>
      </w:r>
      <w:r>
        <w:rPr>
          <w:rFonts w:ascii="Arial" w:hAnsi="Arial"/>
          <w:color w:val="404040"/>
          <w:sz w:val="20"/>
        </w:rPr>
        <w:t>IAAP Certifications: Accessibility Professional and Specialist certifications</w:t>
      </w:r>
    </w:p>
    <w:p>
      <w:pPr>
        <w:pStyle w:val="ListBullet"/>
        <w:spacing w:before="20" w:after="20"/>
        <w:ind w:left="360"/>
      </w:pPr>
      <w:r>
        <w:rPr>
          <w:rFonts w:ascii="Arial" w:hAnsi="Arial"/>
          <w:b/>
          <w:color w:val="404040"/>
          <w:sz w:val="20"/>
        </w:rPr>
        <w:t xml:space="preserve">EC Guidance: </w:t>
      </w:r>
      <w:r>
        <w:rPr>
          <w:rFonts w:ascii="Arial" w:hAnsi="Arial"/>
          <w:color w:val="404040"/>
          <w:sz w:val="20"/>
        </w:rPr>
        <w:t>European Commission EAA Guidance: Implementation guidance and FAQs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01 — Standards 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