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/>
        <w:jc w:val="center"/>
        <w:shd w:val="clear" w:color="auto" w:fill="DEEAF1"/>
      </w:pPr>
      <w:r>
        <w:rPr>
          <w:rFonts w:ascii="Arial" w:hAnsi="Arial"/>
          <w:b/>
          <w:color w:val="1F4E79"/>
          <w:sz w:val="18"/>
        </w:rPr>
        <w:t xml:space="preserve">  01 — STANDARDS AND GUIDELINES  </w:t>
      </w:r>
    </w:p>
    <w:p>
      <w:pPr>
        <w:spacing w:before="240" w:after="120"/>
        <w:jc w:val="center"/>
      </w:pPr>
      <w:r>
        <w:rPr>
          <w:rFonts w:ascii="Arial" w:hAnsi="Arial"/>
          <w:b/>
          <w:color w:val="1F4E79"/>
          <w:sz w:val="52"/>
        </w:rPr>
        <w:t>EU Accessibility Act 2025</w:t>
      </w:r>
    </w:p>
    <w:p>
      <w:pPr>
        <w:spacing w:after="120"/>
        <w:jc w:val="center"/>
      </w:pPr>
      <w:r>
        <w:rPr>
          <w:rFonts w:ascii="Arial" w:hAnsi="Arial"/>
          <w:i/>
          <w:color w:val="2E75B6"/>
          <w:sz w:val="26"/>
        </w:rPr>
        <w:t>Compliance Guide &amp; Implementation Requirements</w:t>
      </w:r>
    </w:p>
    <w:p>
      <w:pPr>
        <w:spacing w:before="80" w:after="80"/>
        <w:pBdr>
          <w:bottom w:val="single" w:sz="18" w:space="4" w:color="2E75B6"/>
        </w:pBdr>
      </w:pPr>
    </w:p>
    <w:p>
      <w:pPr>
        <w:spacing w:after="480"/>
        <w:jc w:val="center"/>
      </w:pPr>
      <w:r>
        <w:rPr>
          <w:rFonts w:ascii="Arial" w:hAnsi="Arial"/>
          <w:color w:val="404040"/>
          <w:sz w:val="18"/>
        </w:rPr>
        <w:t>Accessibility Knowledge Library  |  Akhil Malani  |  2026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1. Executive Summary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The European Accessibility Act (Directive 2019/882) enforcement commenced on June 28, 2025. This directive represents a fundamental shift in accessibility requirements across Europe, establishing binding obligations for both product and service providers.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Key Dates &amp; Milestones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June 28, 2025: </w:t>
      </w:r>
      <w:r>
        <w:rPr>
          <w:rFonts w:ascii="Arial" w:hAnsi="Arial"/>
          <w:color w:val="404040"/>
          <w:sz w:val="20"/>
        </w:rPr>
        <w:t>Enforcement Start: June 28, 2025 — All new products and services must comply immediately.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Until June 28, 2030: </w:t>
      </w:r>
      <w:r>
        <w:rPr>
          <w:rFonts w:ascii="Arial" w:hAnsi="Arial"/>
          <w:color w:val="404040"/>
          <w:sz w:val="20"/>
        </w:rPr>
        <w:t>Transitional Period: Products placed on market before June 28, 2025 may continue in use until June 28, 2030.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Terminal Exception: </w:t>
      </w:r>
      <w:r>
        <w:rPr>
          <w:rFonts w:ascii="Arial" w:hAnsi="Arial"/>
          <w:color w:val="404040"/>
          <w:sz w:val="20"/>
        </w:rPr>
        <w:t>Self-Service Terminals: May continue until end of economically useful life (maximum 20 years from June 2025).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Regulatory Framework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Standard: </w:t>
      </w:r>
      <w:r>
        <w:rPr>
          <w:rFonts w:ascii="Arial" w:hAnsi="Arial"/>
          <w:color w:val="404040"/>
          <w:sz w:val="20"/>
        </w:rPr>
        <w:t>Technical Standard: EN 301 549 v3.2.1 (incorporates WCAG 2.1 Level AA)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POUR Principles: </w:t>
      </w:r>
      <w:r>
        <w:rPr>
          <w:rFonts w:ascii="Arial" w:hAnsi="Arial"/>
          <w:color w:val="404040"/>
          <w:sz w:val="20"/>
        </w:rPr>
        <w:t>Enforcement Principles: POUR (Perceivable, Operable, Understandable, Robust)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Scope: </w:t>
      </w:r>
      <w:r>
        <w:rPr>
          <w:rFonts w:ascii="Arial" w:hAnsi="Arial"/>
          <w:color w:val="404040"/>
          <w:sz w:val="20"/>
        </w:rPr>
        <w:t>Geographic Scope: EU-wide; applies to any seller offering products/services to EU consumers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Extra-Territorial: </w:t>
      </w:r>
      <w:r>
        <w:rPr>
          <w:rFonts w:ascii="Arial" w:hAnsi="Arial"/>
          <w:color w:val="404040"/>
          <w:sz w:val="20"/>
        </w:rPr>
        <w:t>Applicable even to non-EU companies selling to EU consumers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Penalty Structure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Financial Penalties: </w:t>
      </w:r>
      <w:r>
        <w:rPr>
          <w:rFonts w:ascii="Arial" w:hAnsi="Arial"/>
          <w:color w:val="404040"/>
          <w:sz w:val="20"/>
        </w:rPr>
        <w:t>Maximum Fine: €100,000 per violation OR 4% of global annual revenue (whichever is greater)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Escalation Rules: </w:t>
      </w:r>
      <w:r>
        <w:rPr>
          <w:rFonts w:ascii="Arial" w:hAnsi="Arial"/>
          <w:color w:val="404040"/>
          <w:sz w:val="20"/>
        </w:rPr>
        <w:t>Escalation: Penalties increase for repeated violations and systemic non-compliance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Authority: </w:t>
      </w:r>
      <w:r>
        <w:rPr>
          <w:rFonts w:ascii="Arial" w:hAnsi="Arial"/>
          <w:color w:val="404040"/>
          <w:sz w:val="20"/>
        </w:rPr>
        <w:t>Enforcement: National member state regulators; coordination through European Commission</w:t>
      </w:r>
    </w:p>
    <w:p>
      <w:pPr>
        <w:spacing w:before="120" w:after="120"/>
        <w:ind w:left="360" w:right="360"/>
        <w:shd w:val="clear" w:color="auto" w:fill="FFE0E0"/>
      </w:pPr>
      <w:r>
        <w:rPr>
          <w:rFonts w:ascii="Arial" w:hAnsi="Arial"/>
          <w:b/>
          <w:color w:val="8B0000"/>
          <w:sz w:val="18"/>
        </w:rPr>
        <w:t xml:space="preserve">🚫 COMMON MISTAKE  </w:t>
      </w:r>
      <w:r>
        <w:rPr>
          <w:rFonts w:ascii="Arial" w:hAnsi="Arial"/>
          <w:color w:val="404040"/>
          <w:sz w:val="18"/>
        </w:rPr>
        <w:t>The EAA enforcement date of June 28, 2025 is now active. Any product or service launched after this date must achieve full EN 301 549 compliance from day one. Non-compliance carries significant financial and reputational consequences.</w:t>
      </w:r>
    </w:p>
    <w:p>
      <w:r>
        <w:br w:type="page"/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2. What Products and Services Are Covered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The EAA applies to a broad range of products and services. Understanding scope is critical to determining compliance obligations.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Physical Products &amp; Hardware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Computing: </w:t>
      </w:r>
      <w:r>
        <w:rPr>
          <w:rFonts w:ascii="Arial" w:hAnsi="Arial"/>
          <w:color w:val="404040"/>
          <w:sz w:val="20"/>
        </w:rPr>
        <w:t>Desktop computers, laptops, and tablets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Mobile: </w:t>
      </w:r>
      <w:r>
        <w:rPr>
          <w:rFonts w:ascii="Arial" w:hAnsi="Arial"/>
          <w:color w:val="404040"/>
          <w:sz w:val="20"/>
        </w:rPr>
        <w:t>Smartphones and mobile devices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Financial Equipment: </w:t>
      </w:r>
      <w:r>
        <w:rPr>
          <w:rFonts w:ascii="Arial" w:hAnsi="Arial"/>
          <w:color w:val="404040"/>
          <w:sz w:val="20"/>
        </w:rPr>
        <w:t>Automated Teller Machines (ATMs) and payment terminals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Retail Equipment: </w:t>
      </w:r>
      <w:r>
        <w:rPr>
          <w:rFonts w:ascii="Arial" w:hAnsi="Arial"/>
          <w:color w:val="404040"/>
          <w:sz w:val="20"/>
        </w:rPr>
        <w:t>Electronic Point of Sale (EPOS) systems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Entertainment: </w:t>
      </w:r>
      <w:r>
        <w:rPr>
          <w:rFonts w:ascii="Arial" w:hAnsi="Arial"/>
          <w:color w:val="404040"/>
          <w:sz w:val="20"/>
        </w:rPr>
        <w:t>Television sets (Smart TVs and broadcasting equipment)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Healthcare: </w:t>
      </w:r>
      <w:r>
        <w:rPr>
          <w:rFonts w:ascii="Arial" w:hAnsi="Arial"/>
          <w:color w:val="404040"/>
          <w:sz w:val="20"/>
        </w:rPr>
        <w:t>Medical devices with digital interfaces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Public Services: </w:t>
      </w:r>
      <w:r>
        <w:rPr>
          <w:rFonts w:ascii="Arial" w:hAnsi="Arial"/>
          <w:color w:val="404040"/>
          <w:sz w:val="20"/>
        </w:rPr>
        <w:t>Self-service kiosks (ticketing, information, check-in)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Digital Services &amp; Platforms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E-Commerce: </w:t>
      </w:r>
      <w:r>
        <w:rPr>
          <w:rFonts w:ascii="Arial" w:hAnsi="Arial"/>
          <w:color w:val="404040"/>
          <w:sz w:val="20"/>
        </w:rPr>
        <w:t>E-commerce platforms (including third-party marketplaces — sellers ARE responsible)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Finance: </w:t>
      </w:r>
      <w:r>
        <w:rPr>
          <w:rFonts w:ascii="Arial" w:hAnsi="Arial"/>
          <w:color w:val="404040"/>
          <w:sz w:val="20"/>
        </w:rPr>
        <w:t>Banking and financial services platforms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Telecom: </w:t>
      </w:r>
      <w:r>
        <w:rPr>
          <w:rFonts w:ascii="Arial" w:hAnsi="Arial"/>
          <w:color w:val="404040"/>
          <w:sz w:val="20"/>
        </w:rPr>
        <w:t>Telecom services and operator websites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Transport: </w:t>
      </w:r>
      <w:r>
        <w:rPr>
          <w:rFonts w:ascii="Arial" w:hAnsi="Arial"/>
          <w:color w:val="404040"/>
          <w:sz w:val="20"/>
        </w:rPr>
        <w:t>Transport booking systems (airlines, railways, buses)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Media: </w:t>
      </w:r>
      <w:r>
        <w:rPr>
          <w:rFonts w:ascii="Arial" w:hAnsi="Arial"/>
          <w:color w:val="404040"/>
          <w:sz w:val="20"/>
        </w:rPr>
        <w:t>Media services (streaming, on-demand television)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Government: </w:t>
      </w:r>
      <w:r>
        <w:rPr>
          <w:rFonts w:ascii="Arial" w:hAnsi="Arial"/>
          <w:color w:val="404040"/>
          <w:sz w:val="20"/>
        </w:rPr>
        <w:t>Government service portals and public administration websites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Education: </w:t>
      </w:r>
      <w:r>
        <w:rPr>
          <w:rFonts w:ascii="Arial" w:hAnsi="Arial"/>
          <w:color w:val="404040"/>
          <w:sz w:val="20"/>
        </w:rPr>
        <w:t>Learning management systems and educational platforms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Web and Mobile Applications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Web: </w:t>
      </w:r>
      <w:r>
        <w:rPr>
          <w:rFonts w:ascii="Arial" w:hAnsi="Arial"/>
          <w:color w:val="404040"/>
          <w:sz w:val="20"/>
        </w:rPr>
        <w:t>Public websites (government, corporate, informational)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Mobile Apps: </w:t>
      </w:r>
      <w:r>
        <w:rPr>
          <w:rFonts w:ascii="Arial" w:hAnsi="Arial"/>
          <w:color w:val="404040"/>
          <w:sz w:val="20"/>
        </w:rPr>
        <w:t>Mobile applications (iOS, Android, and web-based apps)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PWA: </w:t>
      </w:r>
      <w:r>
        <w:rPr>
          <w:rFonts w:ascii="Arial" w:hAnsi="Arial"/>
          <w:color w:val="404040"/>
          <w:sz w:val="20"/>
        </w:rPr>
        <w:t>Responsive web design and progressive web applications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Embedded Content: </w:t>
      </w:r>
      <w:r>
        <w:rPr>
          <w:rFonts w:ascii="Arial" w:hAnsi="Arial"/>
          <w:color w:val="404040"/>
          <w:sz w:val="20"/>
        </w:rPr>
        <w:t>Third-party embeds (widgets, plugins, iframes) — responsibility shared with integrator</w:t>
      </w:r>
    </w:p>
    <w:p>
      <w:pPr>
        <w:spacing w:before="120" w:after="120"/>
        <w:ind w:left="360" w:right="360"/>
        <w:shd w:val="clear" w:color="auto" w:fill="FFF2CC"/>
      </w:pPr>
      <w:r>
        <w:rPr>
          <w:rFonts w:ascii="Arial" w:hAnsi="Arial"/>
          <w:b/>
          <w:color w:val="7B3F00"/>
          <w:sz w:val="18"/>
        </w:rPr>
        <w:t xml:space="preserve">⚠ WARNING  </w:t>
      </w:r>
      <w:r>
        <w:rPr>
          <w:rFonts w:ascii="Arial" w:hAnsi="Arial"/>
          <w:color w:val="404040"/>
          <w:sz w:val="18"/>
        </w:rPr>
        <w:t>Third-party sellers on e-commerce platforms are NOT exempt. They must ensure their product listings, images, descriptions, and checkout process comply with EN 301 549. Platform responsibility is shared between marketplace and seller.</w:t>
      </w:r>
    </w:p>
    <w:p>
      <w:r>
        <w:br w:type="page"/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3. Technical Requirements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The EAA does not specify technical requirements directly. Instead, it mandates conformance to EN 301 549 v3.2.1, the European harmonised standard for ICT accessibility.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EN 301 549 v3.2.1 Overview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WCAG Basis: </w:t>
      </w:r>
      <w:r>
        <w:rPr>
          <w:rFonts w:ascii="Arial" w:hAnsi="Arial"/>
          <w:color w:val="404040"/>
          <w:sz w:val="20"/>
        </w:rPr>
        <w:t>Incorporates WCAG 2.1 Level AA as minimum technical standard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Scope: </w:t>
      </w:r>
      <w:r>
        <w:rPr>
          <w:rFonts w:ascii="Arial" w:hAnsi="Arial"/>
          <w:color w:val="404040"/>
          <w:sz w:val="20"/>
        </w:rPr>
        <w:t>Applies to web, software, hardware, and documentation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Coverage: </w:t>
      </w:r>
      <w:r>
        <w:rPr>
          <w:rFonts w:ascii="Arial" w:hAnsi="Arial"/>
          <w:color w:val="404040"/>
          <w:sz w:val="20"/>
        </w:rPr>
        <w:t>WCAG 2.1 Level AA: 50 success criteria across four principle categories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Extensions: </w:t>
      </w:r>
      <w:r>
        <w:rPr>
          <w:rFonts w:ascii="Arial" w:hAnsi="Arial"/>
          <w:color w:val="404040"/>
          <w:sz w:val="20"/>
        </w:rPr>
        <w:t>EN 301 549 extends WCAG with additional chapters for hardware, documents, and services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POUR Principles</w:t>
      </w:r>
    </w:p>
    <w:p>
      <w:pPr>
        <w:spacing w:before="60" w:after="80"/>
      </w:pPr>
      <w:r>
        <w:rPr>
          <w:rFonts w:ascii="Arial" w:hAnsi="Arial"/>
          <w:b/>
          <w:i w:val="0"/>
          <w:color w:val="404040"/>
          <w:sz w:val="20"/>
        </w:rPr>
        <w:t>All EN 301 549 requirements align with the POUR framework: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P: </w:t>
      </w:r>
      <w:r>
        <w:rPr>
          <w:rFonts w:ascii="Arial" w:hAnsi="Arial"/>
          <w:color w:val="404040"/>
          <w:sz w:val="20"/>
        </w:rPr>
        <w:t>Perceivable: Users must be able to perceive content (images have alt text, videos have captions, text has sufficient contrast)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O: </w:t>
      </w:r>
      <w:r>
        <w:rPr>
          <w:rFonts w:ascii="Arial" w:hAnsi="Arial"/>
          <w:color w:val="404040"/>
          <w:sz w:val="20"/>
        </w:rPr>
        <w:t>Operable: Users must be able to navigate and operate (keyboard accessibility, focus visibility, sufficient click targets)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U: </w:t>
      </w:r>
      <w:r>
        <w:rPr>
          <w:rFonts w:ascii="Arial" w:hAnsi="Arial"/>
          <w:color w:val="404040"/>
          <w:sz w:val="20"/>
        </w:rPr>
        <w:t>Understandable: Content and interaction must be understandable (clear language, predictable navigation, error prevention)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R: </w:t>
      </w:r>
      <w:r>
        <w:rPr>
          <w:rFonts w:ascii="Arial" w:hAnsi="Arial"/>
          <w:color w:val="404040"/>
          <w:sz w:val="20"/>
        </w:rPr>
        <w:t>Robust: Content must work with assistive technologies (valid code, proper semantic markup, support for accessibility APIs)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Key Technical Areas (WCAG 2.1 AA)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Critical compliance areas in EN 301 549 Chapter 9 (web content):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Level A: </w:t>
      </w:r>
      <w:r>
        <w:rPr>
          <w:rFonts w:ascii="Arial" w:hAnsi="Arial"/>
          <w:color w:val="404040"/>
          <w:sz w:val="20"/>
        </w:rPr>
        <w:t>1.1.1 Non-text Content: All images, videos, and graphics require text alternatives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Level AA: </w:t>
      </w:r>
      <w:r>
        <w:rPr>
          <w:rFonts w:ascii="Arial" w:hAnsi="Arial"/>
          <w:color w:val="404040"/>
          <w:sz w:val="20"/>
        </w:rPr>
        <w:t>1.4.3 Contrast (Minimum): Text requires 4.5:1 ratio (normal) or 3:1 (large text)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Level A: </w:t>
      </w:r>
      <w:r>
        <w:rPr>
          <w:rFonts w:ascii="Arial" w:hAnsi="Arial"/>
          <w:color w:val="404040"/>
          <w:sz w:val="20"/>
        </w:rPr>
        <w:t>2.1.1 Keyboard: All functionality must be operable via keyboard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Level AA: </w:t>
      </w:r>
      <w:r>
        <w:rPr>
          <w:rFonts w:ascii="Arial" w:hAnsi="Arial"/>
          <w:color w:val="404040"/>
          <w:sz w:val="20"/>
        </w:rPr>
        <w:t>2.4.7 Focus Visible: Keyboard focus indicator must be visible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Level A: </w:t>
      </w:r>
      <w:r>
        <w:rPr>
          <w:rFonts w:ascii="Arial" w:hAnsi="Arial"/>
          <w:color w:val="404040"/>
          <w:sz w:val="20"/>
        </w:rPr>
        <w:t>3.1.1 Language of Page: Page language must be specified in code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Level A: </w:t>
      </w:r>
      <w:r>
        <w:rPr>
          <w:rFonts w:ascii="Arial" w:hAnsi="Arial"/>
          <w:color w:val="404040"/>
          <w:sz w:val="20"/>
        </w:rPr>
        <w:t>4.1.2 Name, Role, Value: All UI components must have proper semantic markup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Level A: </w:t>
      </w:r>
      <w:r>
        <w:rPr>
          <w:rFonts w:ascii="Arial" w:hAnsi="Arial"/>
          <w:color w:val="404040"/>
          <w:sz w:val="20"/>
        </w:rPr>
        <w:t>1.2.2 Captions (Prerecorded): Videos require accurate captions or subtitles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Level AA: </w:t>
      </w:r>
      <w:r>
        <w:rPr>
          <w:rFonts w:ascii="Arial" w:hAnsi="Arial"/>
          <w:color w:val="404040"/>
          <w:sz w:val="20"/>
        </w:rPr>
        <w:t>1.2.5 Audio Description (Prerecorded): Videos need audio description of visual information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EN 301 549 Beyond WCAG (Chapters 10–13)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Documents: </w:t>
      </w:r>
      <w:r>
        <w:rPr>
          <w:rFonts w:ascii="Arial" w:hAnsi="Arial"/>
          <w:color w:val="404040"/>
          <w:sz w:val="20"/>
        </w:rPr>
        <w:t>Chapter 10: Non-web documents (PDFs, Word, Excel) — WCAG-derived but adapted for document format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Software: </w:t>
      </w:r>
      <w:r>
        <w:rPr>
          <w:rFonts w:ascii="Arial" w:hAnsi="Arial"/>
          <w:color w:val="404040"/>
          <w:sz w:val="20"/>
        </w:rPr>
        <w:t>Chapter 11: Software applications (desktop and mobile) — WCAG adapted for desktop/mobile UX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Support: </w:t>
      </w:r>
      <w:r>
        <w:rPr>
          <w:rFonts w:ascii="Arial" w:hAnsi="Arial"/>
          <w:color w:val="404040"/>
          <w:sz w:val="20"/>
        </w:rPr>
        <w:t>Chapter 12: Documentation and Support Services — accessible user manuals, help systems, and customer support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Emergency Services: </w:t>
      </w:r>
      <w:r>
        <w:rPr>
          <w:rFonts w:ascii="Arial" w:hAnsi="Arial"/>
          <w:color w:val="404040"/>
          <w:sz w:val="20"/>
        </w:rPr>
        <w:t>Chapter 13: ICT with relay and emergency services — specialized requirements for emergency call systems</w:t>
      </w:r>
    </w:p>
    <w:p>
      <w:pPr>
        <w:spacing w:before="120" w:after="120"/>
        <w:ind w:left="360" w:right="360"/>
        <w:shd w:val="clear" w:color="auto" w:fill="EBF3FB"/>
      </w:pPr>
      <w:r>
        <w:rPr>
          <w:rFonts w:ascii="Arial" w:hAnsi="Arial"/>
          <w:b/>
          <w:color w:val="1F4E79"/>
          <w:sz w:val="18"/>
        </w:rPr>
        <w:t xml:space="preserve">📘 NOTE  </w:t>
      </w:r>
      <w:r>
        <w:rPr>
          <w:rFonts w:ascii="Arial" w:hAnsi="Arial"/>
          <w:color w:val="404040"/>
          <w:sz w:val="18"/>
        </w:rPr>
        <w:t>WCAG 2.1 Level AA compliance automatically satisfies EN 301 549 Chapters 9 (web). However, non-web products must address Chapters 10–13, which require additional work beyond web standards.</w:t>
      </w:r>
    </w:p>
    <w:p>
      <w:r>
        <w:br w:type="page"/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4. Compliance Timeline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Understanding the three distinct timelines is essential for planning remediation and rollout.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New Products and Services (Immediate Compliance)</w:t>
      </w:r>
    </w:p>
    <w:p>
      <w:pPr>
        <w:spacing w:before="60" w:after="80"/>
      </w:pPr>
      <w:r>
        <w:rPr>
          <w:rFonts w:ascii="Arial" w:hAnsi="Arial"/>
          <w:b/>
          <w:i w:val="0"/>
          <w:color w:val="404040"/>
          <w:sz w:val="20"/>
        </w:rPr>
        <w:t>All products and services placed on the market on or after June 28, 2025 must fully comply with EN 301 549 v3.2.1 from the date of first sale/deployment.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Requirement: </w:t>
      </w:r>
      <w:r>
        <w:rPr>
          <w:rFonts w:ascii="Arial" w:hAnsi="Arial"/>
          <w:color w:val="404040"/>
          <w:sz w:val="20"/>
        </w:rPr>
        <w:t>No transitional period — compliance required immediately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Software Updates: </w:t>
      </w:r>
      <w:r>
        <w:rPr>
          <w:rFonts w:ascii="Arial" w:hAnsi="Arial"/>
          <w:color w:val="404040"/>
          <w:sz w:val="20"/>
        </w:rPr>
        <w:t>Applies to software updates that constitute a new version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Major Revisions: </w:t>
      </w:r>
      <w:r>
        <w:rPr>
          <w:rFonts w:ascii="Arial" w:hAnsi="Arial"/>
          <w:color w:val="404040"/>
          <w:sz w:val="20"/>
        </w:rPr>
        <w:t>Applies to any product with substantial modifications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Existing Products (Transitional Period)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Products that were placed on the market before June 28, 2025 may continue in distribution and use until June 28, 2030 (5-year grace period).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Deadline: </w:t>
      </w:r>
      <w:r>
        <w:rPr>
          <w:rFonts w:ascii="Arial" w:hAnsi="Arial"/>
          <w:color w:val="404040"/>
          <w:sz w:val="20"/>
        </w:rPr>
        <w:t>Full compliance required by June 28, 2030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Update Exception: </w:t>
      </w:r>
      <w:r>
        <w:rPr>
          <w:rFonts w:ascii="Arial" w:hAnsi="Arial"/>
          <w:color w:val="404040"/>
          <w:sz w:val="20"/>
        </w:rPr>
        <w:t>Major updates during this period may trigger earlier compliance requirements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Best Practice: </w:t>
      </w:r>
      <w:r>
        <w:rPr>
          <w:rFonts w:ascii="Arial" w:hAnsi="Arial"/>
          <w:color w:val="404040"/>
          <w:sz w:val="20"/>
        </w:rPr>
        <w:t>Discontinuing old products in favor of compliant replacements is recommended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Example: </w:t>
      </w:r>
      <w:r>
        <w:rPr>
          <w:rFonts w:ascii="Arial" w:hAnsi="Arial"/>
          <w:color w:val="404040"/>
          <w:sz w:val="20"/>
        </w:rPr>
        <w:t>Example: A smartphone model released in 2024 may continue being sold until June 2030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Self-Service Terminals (Extended Exception)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Physical self-service terminals (ATMs, kiosks, ticketing machines) receive additional leniency: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Timeline: </w:t>
      </w:r>
      <w:r>
        <w:rPr>
          <w:rFonts w:ascii="Arial" w:hAnsi="Arial"/>
          <w:color w:val="404040"/>
          <w:sz w:val="20"/>
        </w:rPr>
        <w:t>May continue operating until end of economically useful life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Maximum Duration: </w:t>
      </w:r>
      <w:r>
        <w:rPr>
          <w:rFonts w:ascii="Arial" w:hAnsi="Arial"/>
          <w:color w:val="404040"/>
          <w:sz w:val="20"/>
        </w:rPr>
        <w:t>Economically useful life: typically 20 years maximum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Example: </w:t>
      </w:r>
      <w:r>
        <w:rPr>
          <w:rFonts w:ascii="Arial" w:hAnsi="Arial"/>
          <w:color w:val="404040"/>
          <w:sz w:val="20"/>
        </w:rPr>
        <w:t>Example: An ATM placed in service in June 2025 may operate until June 2045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New Units: </w:t>
      </w:r>
      <w:r>
        <w:rPr>
          <w:rFonts w:ascii="Arial" w:hAnsi="Arial"/>
          <w:color w:val="404040"/>
          <w:sz w:val="20"/>
        </w:rPr>
        <w:t>Replacements must comply from June 28, 2025 onwards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Recommended Implementation Schedule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Organizations should follow this timeline regardless of legal requirements: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Q1: </w:t>
      </w:r>
      <w:r>
        <w:rPr>
          <w:rFonts w:ascii="Arial" w:hAnsi="Arial"/>
          <w:color w:val="404040"/>
          <w:sz w:val="20"/>
        </w:rPr>
        <w:t>Months 1–3: Conduct gap analysis and audit of all products/services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Q1–Q2: </w:t>
      </w:r>
      <w:r>
        <w:rPr>
          <w:rFonts w:ascii="Arial" w:hAnsi="Arial"/>
          <w:color w:val="404040"/>
          <w:sz w:val="20"/>
        </w:rPr>
        <w:t>Months 3–6: Prioritize products by market size, risk, and remediation effort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Q2–Q4: </w:t>
      </w:r>
      <w:r>
        <w:rPr>
          <w:rFonts w:ascii="Arial" w:hAnsi="Arial"/>
          <w:color w:val="404040"/>
          <w:sz w:val="20"/>
        </w:rPr>
        <w:t>Months 6–18: Remediation and testing in parallel with new product development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Q4+: </w:t>
      </w:r>
      <w:r>
        <w:rPr>
          <w:rFonts w:ascii="Arial" w:hAnsi="Arial"/>
          <w:color w:val="404040"/>
          <w:sz w:val="20"/>
        </w:rPr>
        <w:t>Months 18+: Deployment and ongoing compliance monitoring</w:t>
      </w:r>
    </w:p>
    <w:p>
      <w:r>
        <w:br w:type="page"/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5. Penalties by Member State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Penalties vary by member state, but all are significant. The EAA empowers national regulators to enforce compliance.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Penalty Structure Overview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EU Maximum: </w:t>
      </w:r>
      <w:r>
        <w:rPr>
          <w:rFonts w:ascii="Arial" w:hAnsi="Arial"/>
          <w:color w:val="404040"/>
          <w:sz w:val="20"/>
        </w:rPr>
        <w:t>Financial penalties up to €100,000 per violation OR 4% of global annual revenue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Escalation: </w:t>
      </w:r>
      <w:r>
        <w:rPr>
          <w:rFonts w:ascii="Arial" w:hAnsi="Arial"/>
          <w:color w:val="404040"/>
          <w:sz w:val="20"/>
        </w:rPr>
        <w:t>Escalation for repeated violations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Reputational: </w:t>
      </w:r>
      <w:r>
        <w:rPr>
          <w:rFonts w:ascii="Arial" w:hAnsi="Arial"/>
          <w:color w:val="404040"/>
          <w:sz w:val="20"/>
        </w:rPr>
        <w:t>Public disclosure of non-compliance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Market Ban: </w:t>
      </w:r>
      <w:r>
        <w:rPr>
          <w:rFonts w:ascii="Arial" w:hAnsi="Arial"/>
          <w:color w:val="404040"/>
          <w:sz w:val="20"/>
        </w:rPr>
        <w:t>Potential product ban from EU market</w:t>
      </w:r>
    </w:p>
    <w:p>
      <w:pPr>
        <w:spacing w:before="0"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rHeight w:val="400" w:hRule="atLeast"/>
        </w:trPr>
        <w:tc>
          <w:tcPr>
            <w:tcW w:type="dxa" w:w="216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Country</w:t>
            </w:r>
          </w:p>
        </w:tc>
        <w:tc>
          <w:tcPr>
            <w:tcW w:type="dxa" w:w="28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Penalty Range</w:t>
            </w:r>
          </w:p>
        </w:tc>
        <w:tc>
          <w:tcPr>
            <w:tcW w:type="dxa" w:w="432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Germany</w:t>
            </w:r>
          </w:p>
        </w:tc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Up to €100,000 per violation</w:t>
            </w:r>
          </w:p>
        </w:tc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Strict enforcement; multiple violations can result in cumulative fines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France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€5,000–€250,000 per violation + annual penalties</w:t>
            </w:r>
          </w:p>
        </w:tc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Higher penalties for systematic non-compliance; repeat violators face €250K+ annually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Spain</w:t>
            </w:r>
          </w:p>
        </w:tc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Up to €90,000 per violation</w:t>
            </w:r>
          </w:p>
        </w:tc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Enforcement by Spanish authorities; increases for large organizations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Italy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€2,000–€50,000 per violation</w:t>
            </w:r>
          </w:p>
        </w:tc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Lower base penalties but cumulative across violations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Netherlands</w:t>
            </w:r>
          </w:p>
        </w:tc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€2,000–€100,000 per violation</w:t>
            </w:r>
          </w:p>
        </w:tc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Graduated based on severity and organizational size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Belgium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Up to €100,000 per violation</w:t>
            </w:r>
          </w:p>
        </w:tc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Aligned with maximum EU standard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Sweden</w:t>
            </w:r>
          </w:p>
        </w:tc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Fines up to €2,000–€50,000 per violation</w:t>
            </w:r>
          </w:p>
        </w:tc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Additional criminal penalties possible for gross violations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Poland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Up to €100,000 per violation</w:t>
            </w:r>
          </w:p>
        </w:tc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Enforcement aligned with EU maximum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Interpretation of 'Per Violation'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Penalties are assessed per violation, not per product: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Example 1: </w:t>
      </w:r>
      <w:r>
        <w:rPr>
          <w:rFonts w:ascii="Arial" w:hAnsi="Arial"/>
          <w:color w:val="404040"/>
          <w:sz w:val="20"/>
        </w:rPr>
        <w:t>Missing alt text on 100 images = 100 violations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Example 2: </w:t>
      </w:r>
      <w:r>
        <w:rPr>
          <w:rFonts w:ascii="Arial" w:hAnsi="Arial"/>
          <w:color w:val="404040"/>
          <w:sz w:val="20"/>
        </w:rPr>
        <w:t>Insufficient color contrast on multiple pages = multiple violations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Example 3: </w:t>
      </w:r>
      <w:r>
        <w:rPr>
          <w:rFonts w:ascii="Arial" w:hAnsi="Arial"/>
          <w:color w:val="404040"/>
          <w:sz w:val="20"/>
        </w:rPr>
        <w:t>Video without captions for 10 videos = 10 violations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Implication: </w:t>
      </w:r>
      <w:r>
        <w:rPr>
          <w:rFonts w:ascii="Arial" w:hAnsi="Arial"/>
          <w:color w:val="404040"/>
          <w:sz w:val="20"/>
        </w:rPr>
        <w:t>Organizations face significant cumulative exposure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Financial Impact Examples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Real-world scenarios: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Scenario 1: </w:t>
      </w:r>
      <w:r>
        <w:rPr>
          <w:rFonts w:ascii="Arial" w:hAnsi="Arial"/>
          <w:color w:val="404040"/>
          <w:sz w:val="20"/>
        </w:rPr>
        <w:t>Mid-size company (€50M revenue, web accessibility failures) = 4% of €50M = €2,000,000 exposure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Scenario 2: </w:t>
      </w:r>
      <w:r>
        <w:rPr>
          <w:rFonts w:ascii="Arial" w:hAnsi="Arial"/>
          <w:color w:val="404040"/>
          <w:sz w:val="20"/>
        </w:rPr>
        <w:t>Large company (€1B revenue, non-compliant products) = 4% of €1B = €40,000,000 exposure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Scenario 3: </w:t>
      </w:r>
      <w:r>
        <w:rPr>
          <w:rFonts w:ascii="Arial" w:hAnsi="Arial"/>
          <w:color w:val="404040"/>
          <w:sz w:val="20"/>
        </w:rPr>
        <w:t>Startup with 15 violations per product, 3 products = 45 violations × €100K = €4,500,000 exposure</w:t>
      </w:r>
    </w:p>
    <w:p>
      <w:pPr>
        <w:spacing w:before="120" w:after="120"/>
        <w:ind w:left="360" w:right="360"/>
        <w:shd w:val="clear" w:color="auto" w:fill="FFE0E0"/>
      </w:pPr>
      <w:r>
        <w:rPr>
          <w:rFonts w:ascii="Arial" w:hAnsi="Arial"/>
          <w:b/>
          <w:color w:val="8B0000"/>
          <w:sz w:val="18"/>
        </w:rPr>
        <w:t xml:space="preserve">🚫 COMMON MISTAKE  </w:t>
      </w:r>
      <w:r>
        <w:rPr>
          <w:rFonts w:ascii="Arial" w:hAnsi="Arial"/>
          <w:color w:val="404040"/>
          <w:sz w:val="18"/>
        </w:rPr>
        <w:t>The 4% revenue threshold means large organizations face significantly higher absolute penalties than the per-violation cap. Choose compliance over litigation.</w:t>
      </w:r>
    </w:p>
    <w:p>
      <w:r>
        <w:br w:type="page"/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6. Microenterprise Exemption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The EAA includes a narrow exemption for microenterprises, but conditions are strict.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Microenterprise Definition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Both of the following conditions must be met: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Criterion 1: </w:t>
      </w:r>
      <w:r>
        <w:rPr>
          <w:rFonts w:ascii="Arial" w:hAnsi="Arial"/>
          <w:color w:val="404040"/>
          <w:sz w:val="20"/>
        </w:rPr>
        <w:t>Fewer than 10 employees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Criterion 2: </w:t>
      </w:r>
      <w:r>
        <w:rPr>
          <w:rFonts w:ascii="Arial" w:hAnsi="Arial"/>
          <w:color w:val="404040"/>
          <w:sz w:val="20"/>
        </w:rPr>
        <w:t>Annual turnover less than €2 million OR annual balance sheet total less than €2 million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What the Exemption Does NOT Cover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Scope: </w:t>
      </w:r>
      <w:r>
        <w:rPr>
          <w:rFonts w:ascii="Arial" w:hAnsi="Arial"/>
          <w:color w:val="404040"/>
          <w:sz w:val="20"/>
        </w:rPr>
        <w:t>Exemption applies ONLY to physical products, not services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Digital Services: </w:t>
      </w:r>
      <w:r>
        <w:rPr>
          <w:rFonts w:ascii="Arial" w:hAnsi="Arial"/>
          <w:color w:val="404040"/>
          <w:sz w:val="20"/>
        </w:rPr>
        <w:t>Exemption does NOT apply to web or mobile applications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Refurbished: </w:t>
      </w:r>
      <w:r>
        <w:rPr>
          <w:rFonts w:ascii="Arial" w:hAnsi="Arial"/>
          <w:color w:val="404040"/>
          <w:sz w:val="20"/>
        </w:rPr>
        <w:t>Exemption does NOT apply to re-manufactured or refurbished products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Minimum Standard: </w:t>
      </w:r>
      <w:r>
        <w:rPr>
          <w:rFonts w:ascii="Arial" w:hAnsi="Arial"/>
          <w:color w:val="404040"/>
          <w:sz w:val="20"/>
        </w:rPr>
        <w:t>Exemption does NOT excuse disproportionate burden; some accessibility must still be provided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How to Document Exemption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Microenterprises must: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Record Keeping: </w:t>
      </w:r>
      <w:r>
        <w:rPr>
          <w:rFonts w:ascii="Arial" w:hAnsi="Arial"/>
          <w:color w:val="404040"/>
          <w:sz w:val="20"/>
        </w:rPr>
        <w:t>Maintain formal documentation showing employee count and financial thresholds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Assessment Required: </w:t>
      </w:r>
      <w:r>
        <w:rPr>
          <w:rFonts w:ascii="Arial" w:hAnsi="Arial"/>
          <w:color w:val="404040"/>
          <w:sz w:val="20"/>
        </w:rPr>
        <w:t>Perform accessibility assessment and document any limitations in accessibility statement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Ad-Hoc Accommodation: </w:t>
      </w:r>
      <w:r>
        <w:rPr>
          <w:rFonts w:ascii="Arial" w:hAnsi="Arial"/>
          <w:color w:val="404040"/>
          <w:sz w:val="20"/>
        </w:rPr>
        <w:t>Provide reasonable accommodations when requested by users with disabilities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Audit Ready: </w:t>
      </w:r>
      <w:r>
        <w:rPr>
          <w:rFonts w:ascii="Arial" w:hAnsi="Arial"/>
          <w:color w:val="404040"/>
          <w:sz w:val="20"/>
        </w:rPr>
        <w:t>Be prepared to prove exemption status if audited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When Exemption is Lost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Exemptions are forfeited when: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Employee Growth: </w:t>
      </w:r>
      <w:r>
        <w:rPr>
          <w:rFonts w:ascii="Arial" w:hAnsi="Arial"/>
          <w:color w:val="404040"/>
          <w:sz w:val="20"/>
        </w:rPr>
        <w:t>Company grows to 10+ employees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Revenue Growth: </w:t>
      </w:r>
      <w:r>
        <w:rPr>
          <w:rFonts w:ascii="Arial" w:hAnsi="Arial"/>
          <w:color w:val="404040"/>
          <w:sz w:val="20"/>
        </w:rPr>
        <w:t>Annual revenue exceeds €2 million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Merger/Acquisition: </w:t>
      </w:r>
      <w:r>
        <w:rPr>
          <w:rFonts w:ascii="Arial" w:hAnsi="Arial"/>
          <w:color w:val="404040"/>
          <w:sz w:val="20"/>
        </w:rPr>
        <w:t>Company merges with or becomes subsidiary of larger entity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Cure Period: </w:t>
      </w:r>
      <w:r>
        <w:rPr>
          <w:rFonts w:ascii="Arial" w:hAnsi="Arial"/>
          <w:color w:val="404040"/>
          <w:sz w:val="20"/>
        </w:rPr>
        <w:t>Retroactive compliance required within 12 months of threshold breach</w:t>
      </w:r>
    </w:p>
    <w:p>
      <w:pPr>
        <w:spacing w:before="120" w:after="120"/>
        <w:ind w:left="360" w:right="360"/>
        <w:shd w:val="clear" w:color="auto" w:fill="FFF2CC"/>
      </w:pPr>
      <w:r>
        <w:rPr>
          <w:rFonts w:ascii="Arial" w:hAnsi="Arial"/>
          <w:b/>
          <w:color w:val="7B3F00"/>
          <w:sz w:val="18"/>
        </w:rPr>
        <w:t xml:space="preserve">⚠ WARNING  </w:t>
      </w:r>
      <w:r>
        <w:rPr>
          <w:rFonts w:ascii="Arial" w:hAnsi="Arial"/>
          <w:color w:val="404040"/>
          <w:sz w:val="18"/>
        </w:rPr>
        <w:t>Do not assume exemption automatically. Document your organization's employee count and annual turnover. Exemptions are audited and must be formally justified.</w:t>
      </w:r>
    </w:p>
    <w:p>
      <w:r>
        <w:br w:type="page"/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7. What Organizations Must Do NOW (2025–2026)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Immediate action items for organizations of all sizes serving EU consumers.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Action Item 1: Conduct Comprehensive Gap Analysis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Scope: </w:t>
      </w:r>
      <w:r>
        <w:rPr>
          <w:rFonts w:ascii="Arial" w:hAnsi="Arial"/>
          <w:color w:val="404040"/>
          <w:sz w:val="20"/>
        </w:rPr>
        <w:t>Audit all products and services against EN 301 549 v3.2.1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Status: </w:t>
      </w:r>
      <w:r>
        <w:rPr>
          <w:rFonts w:ascii="Arial" w:hAnsi="Arial"/>
          <w:color w:val="404040"/>
          <w:sz w:val="20"/>
        </w:rPr>
        <w:t>Document current state: compliant, partially compliant, or non-compliant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Tools: </w:t>
      </w:r>
      <w:r>
        <w:rPr>
          <w:rFonts w:ascii="Arial" w:hAnsi="Arial"/>
          <w:color w:val="404040"/>
          <w:sz w:val="20"/>
        </w:rPr>
        <w:t>For web/digital: Use automated tools (WAVE, axe-core, Lighthouse) as baseline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Expertise: </w:t>
      </w:r>
      <w:r>
        <w:rPr>
          <w:rFonts w:ascii="Arial" w:hAnsi="Arial"/>
          <w:color w:val="404040"/>
          <w:sz w:val="20"/>
        </w:rPr>
        <w:t>For hardware/products: Engage accessibility consultants with hardware testing expertise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Timeline: </w:t>
      </w:r>
      <w:r>
        <w:rPr>
          <w:rFonts w:ascii="Arial" w:hAnsi="Arial"/>
          <w:color w:val="404040"/>
          <w:sz w:val="20"/>
        </w:rPr>
        <w:t>Timeline: Complete within 3 months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Action Item 2: Prioritize Products by Risk &amp; Impact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Risk Assessment: </w:t>
      </w:r>
      <w:r>
        <w:rPr>
          <w:rFonts w:ascii="Arial" w:hAnsi="Arial"/>
          <w:color w:val="404040"/>
          <w:sz w:val="20"/>
        </w:rPr>
        <w:t>Risk factors: Market size, existing user complaints, vulnerability to litigation, regulatory visibility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Impact: </w:t>
      </w:r>
      <w:r>
        <w:rPr>
          <w:rFonts w:ascii="Arial" w:hAnsi="Arial"/>
          <w:color w:val="404040"/>
          <w:sz w:val="20"/>
        </w:rPr>
        <w:t>Impact factors: User reach (how many people affected by non-compliance), revenue contribution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Matrix: </w:t>
      </w:r>
      <w:r>
        <w:rPr>
          <w:rFonts w:ascii="Arial" w:hAnsi="Arial"/>
          <w:color w:val="404040"/>
          <w:sz w:val="20"/>
        </w:rPr>
        <w:t>Prioritize: High-revenue, high-visibility, high-risk products first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Timeline: </w:t>
      </w:r>
      <w:r>
        <w:rPr>
          <w:rFonts w:ascii="Arial" w:hAnsi="Arial"/>
          <w:color w:val="404040"/>
          <w:sz w:val="20"/>
        </w:rPr>
        <w:t>Timeline: 1 month after gap analysis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Action Item 3: WCAG 2.1 AA Implementation for Digital Products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Staffing: </w:t>
      </w:r>
      <w:r>
        <w:rPr>
          <w:rFonts w:ascii="Arial" w:hAnsi="Arial"/>
          <w:color w:val="404040"/>
          <w:sz w:val="20"/>
        </w:rPr>
        <w:t>Hire or train accessibility specialists on your team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Automation: </w:t>
      </w:r>
      <w:r>
        <w:rPr>
          <w:rFonts w:ascii="Arial" w:hAnsi="Arial"/>
          <w:color w:val="404040"/>
          <w:sz w:val="20"/>
        </w:rPr>
        <w:t>Implement web accessibility testing in CI/CD pipeline (axe-core automation)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Manual Testing: </w:t>
      </w:r>
      <w:r>
        <w:rPr>
          <w:rFonts w:ascii="Arial" w:hAnsi="Arial"/>
          <w:color w:val="404040"/>
          <w:sz w:val="20"/>
        </w:rPr>
        <w:t>Conduct manual accessibility testing with screen readers (NVDA, JAWS) and keyboard-only navigation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Mobile: </w:t>
      </w:r>
      <w:r>
        <w:rPr>
          <w:rFonts w:ascii="Arial" w:hAnsi="Arial"/>
          <w:color w:val="404040"/>
          <w:sz w:val="20"/>
        </w:rPr>
        <w:t>Mobile app accessibility: Test with VoiceOver (iOS) and TalkBack (Android)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Documents: </w:t>
      </w:r>
      <w:r>
        <w:rPr>
          <w:rFonts w:ascii="Arial" w:hAnsi="Arial"/>
          <w:color w:val="404040"/>
          <w:sz w:val="20"/>
        </w:rPr>
        <w:t>PDF/document remediation: Convert to tagged PDFs or provide accessible alternatives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Timeline: </w:t>
      </w:r>
      <w:r>
        <w:rPr>
          <w:rFonts w:ascii="Arial" w:hAnsi="Arial"/>
          <w:color w:val="404040"/>
          <w:sz w:val="20"/>
        </w:rPr>
        <w:t>Timeline: 6–12 months depending on product complexity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Action Item 4: Team Training &amp; Capability Building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Dev Training: </w:t>
      </w:r>
      <w:r>
        <w:rPr>
          <w:rFonts w:ascii="Arial" w:hAnsi="Arial"/>
          <w:color w:val="404040"/>
          <w:sz w:val="20"/>
        </w:rPr>
        <w:t>Developers: WCAG 2.1 coding standards, semantic HTML, ARIA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Design Training: </w:t>
      </w:r>
      <w:r>
        <w:rPr>
          <w:rFonts w:ascii="Arial" w:hAnsi="Arial"/>
          <w:color w:val="404040"/>
          <w:sz w:val="20"/>
        </w:rPr>
        <w:t>Designers: Accessible color contrast, readable fonts, logical tab order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PM Training: </w:t>
      </w:r>
      <w:r>
        <w:rPr>
          <w:rFonts w:ascii="Arial" w:hAnsi="Arial"/>
          <w:color w:val="404040"/>
          <w:sz w:val="20"/>
        </w:rPr>
        <w:t>Product Managers: Accessibility requirements in user stories and acceptance criteria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Content Training: </w:t>
      </w:r>
      <w:r>
        <w:rPr>
          <w:rFonts w:ascii="Arial" w:hAnsi="Arial"/>
          <w:color w:val="404040"/>
          <w:sz w:val="20"/>
        </w:rPr>
        <w:t>Content creators: Alt text writing, caption accuracy, plain language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QA Training: </w:t>
      </w:r>
      <w:r>
        <w:rPr>
          <w:rFonts w:ascii="Arial" w:hAnsi="Arial"/>
          <w:color w:val="404040"/>
          <w:sz w:val="20"/>
        </w:rPr>
        <w:t>QA/Testing: Accessibility test cases, screen reader testing, assistive technology evaluation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Certification: </w:t>
      </w:r>
      <w:r>
        <w:rPr>
          <w:rFonts w:ascii="Arial" w:hAnsi="Arial"/>
          <w:color w:val="404040"/>
          <w:sz w:val="20"/>
        </w:rPr>
        <w:t>Consider IAAP (International Association of Accessibility Professionals) certification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Action Item 5: Documentation &amp; Accessibility Statement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Create an accessibility statement for each product/service: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Claim: </w:t>
      </w:r>
      <w:r>
        <w:rPr>
          <w:rFonts w:ascii="Arial" w:hAnsi="Arial"/>
          <w:color w:val="404040"/>
          <w:sz w:val="20"/>
        </w:rPr>
        <w:t>Conformance level: 'Fully conforms to EN 301 549 v3.2.1' or 'Partially conforms'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Transparency: </w:t>
      </w:r>
      <w:r>
        <w:rPr>
          <w:rFonts w:ascii="Arial" w:hAnsi="Arial"/>
          <w:color w:val="404040"/>
          <w:sz w:val="20"/>
        </w:rPr>
        <w:t>Known limitations: Be specific about what accessibility gaps remain and why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Support: </w:t>
      </w:r>
      <w:r>
        <w:rPr>
          <w:rFonts w:ascii="Arial" w:hAnsi="Arial"/>
          <w:color w:val="404040"/>
          <w:sz w:val="20"/>
        </w:rPr>
        <w:t>Contact for assistance: Dedicated email/phone for accessibility support requests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Authority: </w:t>
      </w:r>
      <w:r>
        <w:rPr>
          <w:rFonts w:ascii="Arial" w:hAnsi="Arial"/>
          <w:color w:val="404040"/>
          <w:sz w:val="20"/>
        </w:rPr>
        <w:t>Enforcement body: Link to national accessibility enforcement authority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Audit Date: </w:t>
      </w:r>
      <w:r>
        <w:rPr>
          <w:rFonts w:ascii="Arial" w:hAnsi="Arial"/>
          <w:color w:val="404040"/>
          <w:sz w:val="20"/>
        </w:rPr>
        <w:t>Date last reviewed: When was the accessibility statement last updated?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Location: </w:t>
      </w:r>
      <w:r>
        <w:rPr>
          <w:rFonts w:ascii="Arial" w:hAnsi="Arial"/>
          <w:color w:val="404040"/>
          <w:sz w:val="20"/>
        </w:rPr>
        <w:t>Publication location: Accessibility statement must be discoverable on homepage or product page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Action Item 6: Establish Monitoring &amp; Continuous Improvement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Audit Frequency: </w:t>
      </w:r>
      <w:r>
        <w:rPr>
          <w:rFonts w:ascii="Arial" w:hAnsi="Arial"/>
          <w:color w:val="404040"/>
          <w:sz w:val="20"/>
        </w:rPr>
        <w:t>Monthly accessibility audits of critical products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Feedback Loop: </w:t>
      </w:r>
      <w:r>
        <w:rPr>
          <w:rFonts w:ascii="Arial" w:hAnsi="Arial"/>
          <w:color w:val="404040"/>
          <w:sz w:val="20"/>
        </w:rPr>
        <w:t>User feedback mechanism: Mechanism for users to report accessibility issues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Logging: </w:t>
      </w:r>
      <w:r>
        <w:rPr>
          <w:rFonts w:ascii="Arial" w:hAnsi="Arial"/>
          <w:color w:val="404040"/>
          <w:sz w:val="20"/>
        </w:rPr>
        <w:t>Incident tracking: Log all accessibility issues and remediation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External Audit: </w:t>
      </w:r>
      <w:r>
        <w:rPr>
          <w:rFonts w:ascii="Arial" w:hAnsi="Arial"/>
          <w:color w:val="404040"/>
          <w:sz w:val="20"/>
        </w:rPr>
        <w:t>Annual compliance review: Third-party audit at least annually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Testing: </w:t>
      </w:r>
      <w:r>
        <w:rPr>
          <w:rFonts w:ascii="Arial" w:hAnsi="Arial"/>
          <w:color w:val="404040"/>
          <w:sz w:val="20"/>
        </w:rPr>
        <w:t>Regression testing: Ensure updates don't introduce new accessibility failures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Action Item 7: Legal &amp; Compliance Review by Member State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Legal Counsel: </w:t>
      </w:r>
      <w:r>
        <w:rPr>
          <w:rFonts w:ascii="Arial" w:hAnsi="Arial"/>
          <w:color w:val="404040"/>
          <w:sz w:val="20"/>
        </w:rPr>
        <w:t>Consult with legal team experienced in EAA compliance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State Variation: </w:t>
      </w:r>
      <w:r>
        <w:rPr>
          <w:rFonts w:ascii="Arial" w:hAnsi="Arial"/>
          <w:color w:val="404040"/>
          <w:sz w:val="20"/>
        </w:rPr>
        <w:t>Understand member-state specific enforcement procedures and authorities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Industry Groups: </w:t>
      </w:r>
      <w:r>
        <w:rPr>
          <w:rFonts w:ascii="Arial" w:hAnsi="Arial"/>
          <w:color w:val="404040"/>
          <w:sz w:val="20"/>
        </w:rPr>
        <w:t>Review membership in industry associations with accessibility standards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Insurance: </w:t>
      </w:r>
      <w:r>
        <w:rPr>
          <w:rFonts w:ascii="Arial" w:hAnsi="Arial"/>
          <w:color w:val="404040"/>
          <w:sz w:val="20"/>
        </w:rPr>
        <w:t>Assess insurance coverage for accessibility-related litigation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Evidence Trail: </w:t>
      </w:r>
      <w:r>
        <w:rPr>
          <w:rFonts w:ascii="Arial" w:hAnsi="Arial"/>
          <w:color w:val="404040"/>
          <w:sz w:val="20"/>
        </w:rPr>
        <w:t>Document compliance efforts to demonstrate good-faith efforts in any dispute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Action Item 8: Third-Party &amp; Vendor Compliance Requirements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Vendor Audit: </w:t>
      </w:r>
      <w:r>
        <w:rPr>
          <w:rFonts w:ascii="Arial" w:hAnsi="Arial"/>
          <w:color w:val="404040"/>
          <w:sz w:val="20"/>
        </w:rPr>
        <w:t>Audit all vendors, integrators, and component suppliers for EN 301 549 conformance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Contracts: </w:t>
      </w:r>
      <w:r>
        <w:rPr>
          <w:rFonts w:ascii="Arial" w:hAnsi="Arial"/>
          <w:color w:val="404040"/>
          <w:sz w:val="20"/>
        </w:rPr>
        <w:t>Contractual requirement: Vendors must warrant EN 301 549 compliance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Marketplace: </w:t>
      </w:r>
      <w:r>
        <w:rPr>
          <w:rFonts w:ascii="Arial" w:hAnsi="Arial"/>
          <w:color w:val="404040"/>
          <w:sz w:val="20"/>
        </w:rPr>
        <w:t>For e-commerce: Require sellers to confirm product description accessibility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Cloud Services: </w:t>
      </w:r>
      <w:r>
        <w:rPr>
          <w:rFonts w:ascii="Arial" w:hAnsi="Arial"/>
          <w:color w:val="404040"/>
          <w:sz w:val="20"/>
        </w:rPr>
        <w:t>For cloud services: Verify provider accessibility compliance (SaaS, PaaS)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Audit Schedule: </w:t>
      </w:r>
      <w:r>
        <w:rPr>
          <w:rFonts w:ascii="Arial" w:hAnsi="Arial"/>
          <w:color w:val="404040"/>
          <w:sz w:val="20"/>
        </w:rPr>
        <w:t>Regular vendor audits: At least annual review of vendor compliance</w:t>
      </w:r>
    </w:p>
    <w:p>
      <w:r>
        <w:br w:type="page"/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8. Relationship to Other Standards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Understanding how EAA/EN 301 549 relates to other accessibility standards globally.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EN 301 549 vs WCAG 2.1 vs Section 508: Comparison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00" w:hRule="atLeast"/>
        </w:trPr>
        <w:tc>
          <w:tcPr>
            <w:tcW w:type="dxa" w:w="216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259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EN 301 549 v3.2.1</w:t>
            </w:r>
          </w:p>
        </w:tc>
        <w:tc>
          <w:tcPr>
            <w:tcW w:type="dxa" w:w="259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WCAG 2.1 Level AA</w:t>
            </w:r>
          </w:p>
        </w:tc>
        <w:tc>
          <w:tcPr>
            <w:tcW w:type="dxa" w:w="201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Section 508 (US)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Scope</w:t>
            </w:r>
          </w:p>
        </w:tc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All ICT: web, software, hardware, docs, services</w:t>
            </w:r>
          </w:p>
        </w:tc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Web and web apps primarily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Federal ICT, federal contracts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Base Standard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Incorporates WCAG 2.1 AA + extensions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W3C web accessibility standard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Uses WCAG 2.0 AA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Chapters</w:t>
            </w:r>
          </w:p>
        </w:tc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13 chapters covering all ICT types</w:t>
            </w:r>
          </w:p>
        </w:tc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4 POUR principles across 3 levels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36 technical standards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Hardware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Yes (Chapter 8)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No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Limited (mostly software)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Documents</w:t>
            </w:r>
          </w:p>
        </w:tc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Yes (Chapter 10)</w:t>
            </w:r>
          </w:p>
        </w:tc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No (adaptation guidance only)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Limited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Software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Yes (Chapter 11)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Adaptation guidance; WCAG applies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Yes (similar to EN 301 549)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Enforcement</w:t>
            </w:r>
          </w:p>
        </w:tc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EU member states</w:t>
            </w:r>
          </w:p>
        </w:tc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W3C recommendation (voluntary)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Federal agencies; lawsuit risk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Penalties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€100K per violation or 4% revenue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None (voluntary standard)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Contract suspension, fines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Jurisdiction</w:t>
            </w:r>
          </w:p>
        </w:tc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EU and EEA</w:t>
            </w:r>
          </w:p>
        </w:tc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Global best practice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USA Federal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Key Differences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Legal Status: </w:t>
      </w:r>
      <w:r>
        <w:rPr>
          <w:rFonts w:ascii="Arial" w:hAnsi="Arial"/>
          <w:color w:val="404040"/>
          <w:sz w:val="20"/>
        </w:rPr>
        <w:t>EN 301 549 is legally binding in EU; WCAG 2.1 is voluntary best practice globally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Scope: </w:t>
      </w:r>
      <w:r>
        <w:rPr>
          <w:rFonts w:ascii="Arial" w:hAnsi="Arial"/>
          <w:color w:val="404040"/>
          <w:sz w:val="20"/>
        </w:rPr>
        <w:t>EN 301 549 covers hardware/devices; WCAG 2.1 is web-only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Recency: </w:t>
      </w:r>
      <w:r>
        <w:rPr>
          <w:rFonts w:ascii="Arial" w:hAnsi="Arial"/>
          <w:color w:val="404040"/>
          <w:sz w:val="20"/>
        </w:rPr>
        <w:t>Section 508 is dated (WCAG 2.0 AA); EN 301 549 is current (WCAG 2.1 AA)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Reach: </w:t>
      </w:r>
      <w:r>
        <w:rPr>
          <w:rFonts w:ascii="Arial" w:hAnsi="Arial"/>
          <w:color w:val="404040"/>
          <w:sz w:val="20"/>
        </w:rPr>
        <w:t>Non-EU organizations serving EU consumers must comply with EN 301 549, not just WCAG</w:t>
      </w:r>
    </w:p>
    <w:p>
      <w:pPr>
        <w:spacing w:before="120" w:after="120"/>
        <w:ind w:left="360" w:right="360"/>
        <w:shd w:val="clear" w:color="auto" w:fill="E2EFDA"/>
      </w:pPr>
      <w:r>
        <w:rPr>
          <w:rFonts w:ascii="Arial" w:hAnsi="Arial"/>
          <w:b/>
          <w:color w:val="1E5C2F"/>
          <w:sz w:val="18"/>
        </w:rPr>
        <w:t xml:space="preserve">✅ BEST PRACTICE  </w:t>
      </w:r>
      <w:r>
        <w:rPr>
          <w:rFonts w:ascii="Arial" w:hAnsi="Arial"/>
          <w:color w:val="404040"/>
          <w:sz w:val="18"/>
        </w:rPr>
        <w:t>Best practice for global organizations: Implement EN 301 549 (WCAG 2.1 AA). This standard satisfies all three frameworks simultaneously and future-proofs against evolving regulations.</w:t>
      </w:r>
    </w:p>
    <w:p>
      <w:r>
        <w:br w:type="page"/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9. Creating an Accessibility Statement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Every product and service must have a clear, public accessibility statement. Here's what to include.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Required Components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1. Product Name: </w:t>
      </w:r>
      <w:r>
        <w:rPr>
          <w:rFonts w:ascii="Arial" w:hAnsi="Arial"/>
          <w:color w:val="404040"/>
          <w:sz w:val="20"/>
        </w:rPr>
        <w:t>Name of Product/Service: Official product name as marketed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2. Organization: </w:t>
      </w:r>
      <w:r>
        <w:rPr>
          <w:rFonts w:ascii="Arial" w:hAnsi="Arial"/>
          <w:color w:val="404040"/>
          <w:sz w:val="20"/>
        </w:rPr>
        <w:t>Organization Name: Legal entity name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3. Date: </w:t>
      </w:r>
      <w:r>
        <w:rPr>
          <w:rFonts w:ascii="Arial" w:hAnsi="Arial"/>
          <w:color w:val="404040"/>
          <w:sz w:val="20"/>
        </w:rPr>
        <w:t>Date of Accessibility Statement: When was it created/last updated? (must be recent)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4. Conformance: </w:t>
      </w:r>
      <w:r>
        <w:rPr>
          <w:rFonts w:ascii="Arial" w:hAnsi="Arial"/>
          <w:color w:val="404040"/>
          <w:sz w:val="20"/>
        </w:rPr>
        <w:t>Conformance Claim: 'Fully conforms to EN 301 549 v3.2.1 and WCAG 2.1 Level AA' OR 'Partially conforms' with specifics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5. Limitations: </w:t>
      </w:r>
      <w:r>
        <w:rPr>
          <w:rFonts w:ascii="Arial" w:hAnsi="Arial"/>
          <w:color w:val="404040"/>
          <w:sz w:val="20"/>
        </w:rPr>
        <w:t>Known Limitations: What accessibility features are not yet implemented?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6. Compatibility: </w:t>
      </w:r>
      <w:r>
        <w:rPr>
          <w:rFonts w:ascii="Arial" w:hAnsi="Arial"/>
          <w:color w:val="404040"/>
          <w:sz w:val="20"/>
        </w:rPr>
        <w:t>Compatibility: Which assistive technologies have been tested?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7. Alternatives: </w:t>
      </w:r>
      <w:r>
        <w:rPr>
          <w:rFonts w:ascii="Arial" w:hAnsi="Arial"/>
          <w:color w:val="404040"/>
          <w:sz w:val="20"/>
        </w:rPr>
        <w:t>Alternative Access: How can users access content if certain features aren't accessible?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8. Contact: </w:t>
      </w:r>
      <w:r>
        <w:rPr>
          <w:rFonts w:ascii="Arial" w:hAnsi="Arial"/>
          <w:color w:val="404040"/>
          <w:sz w:val="20"/>
        </w:rPr>
        <w:t>Contact for Assistance: Dedicated accessibility support email and phone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9. Authority: </w:t>
      </w:r>
      <w:r>
        <w:rPr>
          <w:rFonts w:ascii="Arial" w:hAnsi="Arial"/>
          <w:color w:val="404040"/>
          <w:sz w:val="20"/>
        </w:rPr>
        <w:t>Enforcement Body Link: Which national authority enforces in their jurisdiction?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10. Feedback: </w:t>
      </w:r>
      <w:r>
        <w:rPr>
          <w:rFonts w:ascii="Arial" w:hAnsi="Arial"/>
          <w:color w:val="404040"/>
          <w:sz w:val="20"/>
        </w:rPr>
        <w:t>How to Report Issues: Process for users to report accessibility problems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Sample Accessibility Statement Structure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Use this template: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br/>
        <w:t>ACCESSIBILITY STATEMENT</w:t>
        <w:br/>
        <w:br/>
        <w:t>Product Name: [Product]</w:t>
        <w:br/>
        <w:t>Organization: [Company]</w:t>
        <w:br/>
        <w:t>Last Updated: [Date]</w:t>
        <w:br/>
        <w:br/>
        <w:t>CONFORMANCE STATUS</w:t>
        <w:br/>
        <w:t>We are committed to ensuring [Product] is accessible to all users. This product</w:t>
        <w:br/>
        <w:t>[fully conforms to / partially conforms to] the European Accessibility Act</w:t>
        <w:br/>
        <w:t>(Directive 2019/882) technical standard EN 301 549 v3.2.1 and WCAG 2.1 Level AA.</w:t>
        <w:br/>
        <w:br/>
        <w:t>KNOWN LIMITATIONS</w:t>
        <w:br/>
        <w:t>[Specific accessibility gaps, e.g., "PDFs created prior to 2025 may not be fully tagged"]</w:t>
        <w:br/>
        <w:br/>
        <w:t>ASSISTIVE TECHNOLOGY COMPATIBILITY</w:t>
        <w:br/>
        <w:t>We have tested [Product] with:</w:t>
        <w:br/>
        <w:t>- NVDA (free screen reader)</w:t>
        <w:br/>
        <w:t>- JAWS (commercial screen reader)</w:t>
        <w:br/>
        <w:t>- VoiceOver (iOS)</w:t>
        <w:br/>
        <w:t>- TalkBack (Android)</w:t>
        <w:br/>
        <w:br/>
        <w:t>SUPPORT &amp; FEEDBACK</w:t>
        <w:br/>
        <w:t>If you encounter accessibility barriers, please contact:</w:t>
        <w:br/>
        <w:t>Email: accessibility@company.com</w:t>
        <w:br/>
        <w:t>Phone: +[Country] [Number]</w:t>
        <w:br/>
        <w:br/>
        <w:t>We will respond within 5 business days and work toward resolution.</w:t>
        <w:br/>
        <w:br/>
        <w:t>ENFORCEMENT</w:t>
        <w:br/>
        <w:t>Questions about this statement? Contact [National Authority]:</w:t>
        <w:br/>
        <w:t>[Country] Competent Body: [Link]</w:t>
        <w:br/>
      </w:r>
    </w:p>
    <w:p>
      <w:pPr>
        <w:spacing w:before="120" w:after="120"/>
        <w:ind w:left="360" w:right="360"/>
        <w:shd w:val="clear" w:color="auto" w:fill="FFE0E0"/>
      </w:pPr>
      <w:r>
        <w:rPr>
          <w:rFonts w:ascii="Arial" w:hAnsi="Arial"/>
          <w:b/>
          <w:color w:val="8B0000"/>
          <w:sz w:val="18"/>
        </w:rPr>
        <w:t xml:space="preserve">🚫 COMMON MISTAKE  </w:t>
      </w:r>
      <w:r>
        <w:rPr>
          <w:rFonts w:ascii="Arial" w:hAnsi="Arial"/>
          <w:color w:val="404040"/>
          <w:sz w:val="18"/>
        </w:rPr>
        <w:t>Accessibility statements must be truthful and verifiable. False claims expose organizations to legal liability. Update statements quarterly or whenever substantive changes are made.</w:t>
      </w:r>
    </w:p>
    <w:p>
      <w:r>
        <w:br w:type="page"/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Conclusion</w:t>
      </w:r>
    </w:p>
    <w:p>
      <w:pPr>
        <w:spacing w:before="60" w:after="80"/>
      </w:pPr>
      <w:r>
        <w:rPr>
          <w:rFonts w:ascii="Arial" w:hAnsi="Arial"/>
          <w:b/>
          <w:i w:val="0"/>
          <w:color w:val="404040"/>
          <w:sz w:val="20"/>
        </w:rPr>
        <w:t>The European Accessibility Act represents a binding commitment to digital and physical inclusion across the EU. Compliance is not optional, and penalties are substantial.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Organizations must begin implementation immediately for new products and services. Existing products have until June 28, 2030, but best practices dictate proactive remediation well before the deadline.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Accessibility should be integrated into product development, procurement, and quality assurance processes from the start. It is more cost-effective to build accessibility into initial design than to retrofit after launch.</w:t>
      </w:r>
    </w:p>
    <w:p>
      <w:pPr>
        <w:spacing w:before="0" w:after="240"/>
      </w:pPr>
    </w:p>
    <w:p>
      <w:pPr>
        <w:spacing w:before="60" w:after="80"/>
      </w:pPr>
      <w:r>
        <w:rPr>
          <w:rFonts w:ascii="Arial" w:hAnsi="Arial"/>
          <w:b/>
          <w:i w:val="0"/>
          <w:color w:val="404040"/>
          <w:sz w:val="20"/>
        </w:rPr>
        <w:t>For more information, consult: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EAA Resources: </w:t>
      </w:r>
      <w:r>
        <w:rPr>
          <w:rFonts w:ascii="Arial" w:hAnsi="Arial"/>
          <w:color w:val="404040"/>
          <w:sz w:val="20"/>
        </w:rPr>
        <w:t>European Commission: Implementation guidance and FAQ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Technical Standard: </w:t>
      </w:r>
      <w:r>
        <w:rPr>
          <w:rFonts w:ascii="Arial" w:hAnsi="Arial"/>
          <w:color w:val="404040"/>
          <w:sz w:val="20"/>
        </w:rPr>
        <w:t>ETSI EN 301 549 v3.2.1: Full standard (available from ETSI shop)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Professional Development: </w:t>
      </w:r>
      <w:r>
        <w:rPr>
          <w:rFonts w:ascii="Arial" w:hAnsi="Arial"/>
          <w:color w:val="404040"/>
          <w:sz w:val="20"/>
        </w:rPr>
        <w:t>IAAP Certifications: Training for accessibility professionals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04040"/>
        <w:sz w:val="16"/>
      </w:rPr>
      <w:t xml:space="preserve">Akhil Malani  |  Lead Accessibility Test Architect  |  Page </w:t>
    </w:r>
    <w:r>
      <w:rPr>
        <w:rFonts w:ascii="Arial" w:hAnsi="Arial"/>
        <w:color w:val="404040"/>
        <w:sz w:val="16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pBdr>
        <w:bottom w:val="single" w:sz="12" w:space="4" w:color="BDD7EE"/>
      </w:pBdr>
      <w:jc w:val="right"/>
    </w:pPr>
    <w:r>
      <w:rPr>
        <w:rFonts w:ascii="Arial" w:hAnsi="Arial"/>
        <w:color w:val="2E75B6"/>
        <w:sz w:val="16"/>
      </w:rPr>
      <w:t>Accessibility Knowledge Library  |  01 — Standards and Guidelines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