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 Content Accessibility Guidelines (WCAG) 2.2 provide a comprehensive set of recommendations for making web content more accessible to a wide range of people with disabilities. India recognizes 21 types of disabilities under The Rights of Persons with Disabilities Act, 2016. Mapping WCAG 2.2 to these disabilities helps ensure digital inclusivity.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is a checklist mapping WCAG 2.2 success criteria to the types of disabilities recognized in India, presented in an accessible table format. This table highlights how different WCAG criteria benefit individuals with various impairments.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WCAG 2.2 Success Criterion | Relevant Disability Types (India's RPwD Act, 2016) | Explanation of Impact |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:------------------------- | :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-2002-04-18)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Focus of the Day: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Ensuring digital content is universally accessible to individuals with diverse abilities across India.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New Delhi: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a significant push for digital inclusion, Web Content Accessibility Guidelines (WCAG) 2.2 provide a robust framework to ensure web content is accessible to people with disabilities. This is particularly relevant in India, where the Rights of Persons with Disabilities Act, 2016, recognizes 21 distinct disability types. Mapping these international web standards to national disability classifications is crucial for developing inclusive digital platforms.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following checklist details how each WCAG 2.2 success criterion contributes to accessibility for various disability categories identified under Indian law.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WCAG 2.2 Accessibility Checklist for Indian Disability Types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WCAG 2.2 Principle &amp; Guideline | WCAG 2.2 Success Criterion | Level | Relevant Disability Types (as per RPwD Act, 2016) | Benefits for Users with these Disabilities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:------------------------------- | :----------------------------- | :---- | :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