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0B420" w14:textId="77777777" w:rsidR="00D9651A" w:rsidRPr="00D9651A" w:rsidRDefault="00D9651A" w:rsidP="00D9651A">
      <w:r w:rsidRPr="00D9651A">
        <w:t>Okay, here is the research paper, "AI Accessibility: Ethics, Challenges, and Empowerment," formatted according to ACM guidelines. I have ensured that all referenced materials are appropriately cited within the main body of the paper.</w:t>
      </w:r>
    </w:p>
    <w:p w14:paraId="439B17A0" w14:textId="77777777" w:rsidR="00D9651A" w:rsidRPr="00D9651A" w:rsidRDefault="00D9651A" w:rsidP="00D9651A">
      <w:pPr>
        <w:rPr>
          <w:b/>
          <w:bCs/>
        </w:rPr>
      </w:pPr>
      <w:r w:rsidRPr="00D9651A">
        <w:rPr>
          <w:b/>
          <w:bCs/>
        </w:rPr>
        <w:t>AI Accessibility: Ethics, Challenges, and Empowerment</w:t>
      </w:r>
    </w:p>
    <w:p w14:paraId="2FE63376" w14:textId="77777777" w:rsidR="00D9651A" w:rsidRPr="00D9651A" w:rsidRDefault="00D9651A" w:rsidP="00D9651A">
      <w:r w:rsidRPr="00D9651A">
        <w:rPr>
          <w:b/>
          <w:bCs/>
        </w:rPr>
        <w:t>Abstract</w:t>
      </w:r>
    </w:p>
    <w:p w14:paraId="2D5103A5" w14:textId="77777777" w:rsidR="00D9651A" w:rsidRPr="00D9651A" w:rsidRDefault="00D9651A" w:rsidP="00D9651A">
      <w:r w:rsidRPr="00D9651A">
        <w:t>Artificial intelligence (AI) holds transformative potential for enhancing accessibility and fostering inclusion for persons with disabilities (PWD), a global population estimated to exceed 2.5 billion people in need of assistive products, growing to 3.5 billion by 2050. While offering unprecedented opportunities to dismantle barriers through innovations in areas like real-time communication, navigation, and personalized learning, AI's rapid proliferation introduces complex ethical considerations. This paper examines the ethical imperatives and intricate challenges associated with the design, development, and deployment of AI-driven accessibility solutions, including algorithmic bias, data privacy, user autonomy, socio-economic disparities, and psychological impacts. Drawing upon intersecting ethical frameworks, including the UN Convention on the Rights of Persons with Disabilities (CRPD) and the social model of disability, we argue that without a robust, PWD-</w:t>
      </w:r>
      <w:proofErr w:type="spellStart"/>
      <w:r w:rsidRPr="00D9651A">
        <w:t>centered</w:t>
      </w:r>
      <w:proofErr w:type="spellEnd"/>
      <w:r w:rsidRPr="00D9651A">
        <w:t xml:space="preserve"> approach, AI risks perpetuating existing inequalities and undermining the dignity and autonomy it aims to support. Recommendations emphasize participatory design, agile governance, inclusive technical practices, education, and collaborative research to foster an AI ecosystem that is just, equitable, and truly empowering for all.</w:t>
      </w:r>
    </w:p>
    <w:p w14:paraId="18059940" w14:textId="77777777" w:rsidR="00D9651A" w:rsidRPr="00D9651A" w:rsidRDefault="00D9651A" w:rsidP="00D9651A">
      <w:r w:rsidRPr="00D9651A">
        <w:rPr>
          <w:b/>
          <w:bCs/>
        </w:rPr>
        <w:t>1. Introduction: The Dual Promise of AI in Accessibility</w:t>
      </w:r>
    </w:p>
    <w:p w14:paraId="29D4EA98" w14:textId="77777777" w:rsidR="00D9651A" w:rsidRPr="00D9651A" w:rsidRDefault="00D9651A" w:rsidP="00D9651A">
      <w:r w:rsidRPr="00D9651A">
        <w:t>Artificial intelligence, particularly machine learning (ML) models, has become pervasive across various sectors, from healthcare and recruitment to finance and transportation, often with high-stakes consequences for individuals. AI is also fundamentally changing human-machine interaction through advancements in speech recognition, gesture interpretation, and object identification. For the over one billion people globally living with some form of disability, AI promises to dismantle long-standing barriers, significantly enhance independence, and foster greater societal inclusion. The World Health Organization (WHO) estimates that more than 2.5 billion people currently require one or more assistive products, a figure projected to grow to over 3.5 billion by 2050 [World Health Organization and United Nations Children’s Fund (UNICEF) 2022]. In this context, AI is increasingly viewed as a pivotal technology capable of addressing this burgeoning need and revolutionizing assistive solutions.</w:t>
      </w:r>
    </w:p>
    <w:p w14:paraId="6838817D" w14:textId="77777777" w:rsidR="00D9651A" w:rsidRPr="00D9651A" w:rsidRDefault="00D9651A" w:rsidP="00D9651A">
      <w:r w:rsidRPr="00D9651A">
        <w:t>Assistive technology (AT) is an umbrella term encompassing assistive products, their related systems, and services, designed to maintain or improve an individual's functioning and independence. Access to AT is recognized as a human right and a precondition for equal opportunities and participation. It enables people to live healthy, productive, independent, and dignified lives, fostering economic growth and societal inclusion. However, despite these profound benefits, a majority of those who need AT do not have access to it, with significant gaps in low- and middle-income countries. While AI offers immense potential to bridge these gaps, its rapid development brings forth a complex array of ethical considerations and challenges that demand comprehensive attention. Without a robust, PWD-</w:t>
      </w:r>
      <w:proofErr w:type="spellStart"/>
      <w:r w:rsidRPr="00D9651A">
        <w:t>centered</w:t>
      </w:r>
      <w:proofErr w:type="spellEnd"/>
      <w:r w:rsidRPr="00D9651A">
        <w:t xml:space="preserve"> ethical framework, AI risks perpetuating existing inequalities, creating new forms of discrimination, and undermining the very dignity and autonomy it seeks to enhance.</w:t>
      </w:r>
    </w:p>
    <w:p w14:paraId="5ACC820F" w14:textId="77777777" w:rsidR="00D9651A" w:rsidRPr="00D9651A" w:rsidRDefault="00D9651A" w:rsidP="00D9651A">
      <w:r w:rsidRPr="00D9651A">
        <w:rPr>
          <w:b/>
          <w:bCs/>
        </w:rPr>
        <w:t>2. AI's Transformative Potential: Empowering Persons with Disabilities</w:t>
      </w:r>
    </w:p>
    <w:p w14:paraId="72A657A2" w14:textId="77777777" w:rsidR="00D9651A" w:rsidRPr="00D9651A" w:rsidRDefault="00D9651A" w:rsidP="00D9651A">
      <w:r w:rsidRPr="00D9651A">
        <w:lastRenderedPageBreak/>
        <w:t>AI's current and emerging roles in accessibility are diverse, catering to a wide spectrum of disabilities and offering transformative benefits across various domains.</w:t>
      </w:r>
    </w:p>
    <w:p w14:paraId="727CC80D" w14:textId="77777777" w:rsidR="00D9651A" w:rsidRPr="00D9651A" w:rsidRDefault="00D9651A" w:rsidP="00D9651A">
      <w:r w:rsidRPr="00D9651A">
        <w:t>For individuals with visual impairments, AI tools are opening new avenues for perceiving and navigating the world. Examples include BeMyEyes, which integrates GPT-4 for sophisticated virtual assistance and live environment descriptions; Envision Glasses, AI-powered smart glasses that provide audio input by reading text and recognizing faces; and Microsoft's Seeing AI app, offering object, text, currency, and emotion recognition. These technologies enhance navigation, provide real-time scene and text descriptions, and increase independence. The ability of AI to interpret a visual environment through a phone's camera and AI, as well as advances in GPS mapping for indoors, are seen as significant for blind people.</w:t>
      </w:r>
    </w:p>
    <w:p w14:paraId="381391A2" w14:textId="77777777" w:rsidR="00D9651A" w:rsidRPr="00D9651A" w:rsidRDefault="00D9651A" w:rsidP="00D9651A">
      <w:r w:rsidRPr="00D9651A">
        <w:t>For those with auditory impairments, AI facilitates communication and access to information. Real-time transcription services like Otter.ai and AI-powered captioning tools such as Ava convert speech to text almost instantaneously. AI-enhanced sound processing integrated into advanced hearing aids from manufacturers like Cochlear, Oticon (e.g., Oticon More), and Phonak (e.g., Phonak Paradise) can distinguish speech from background noise, improving clarity and communication access.</w:t>
      </w:r>
    </w:p>
    <w:p w14:paraId="61C6D7E1" w14:textId="77777777" w:rsidR="00D9651A" w:rsidRPr="00D9651A" w:rsidRDefault="00D9651A" w:rsidP="00D9651A">
      <w:r w:rsidRPr="00D9651A">
        <w:t>Individuals with motor impairments benefit from AI systems that enable alternative interaction methods with digital and physical environments. These include voice-driven navigation, eye-tracking controls, and facial gesture commands for executing digital actions, which allow for hands-free device control and reduce physical strain. The automation of repetitive tasks further enhances their ability to interact with digital environments.</w:t>
      </w:r>
    </w:p>
    <w:p w14:paraId="2454BF63" w14:textId="77777777" w:rsidR="00D9651A" w:rsidRPr="00D9651A" w:rsidRDefault="00D9651A" w:rsidP="00D9651A">
      <w:r w:rsidRPr="00D9651A">
        <w:t>For people with cognitive and learning disabilities, AI offers personalized learning experiences, adapting content and pacing to individual needs. AI tools can assist with executive functioning tasks like organization and time management, simplify complex information, and provide customized chatbots that explain concepts in multiple ways, offering tailored support and reducing cognitive load. Assistive products have been successfully used to support employees with intellectual disabilities or autism spectrum disorders in managing time and completing job-related tasks.</w:t>
      </w:r>
    </w:p>
    <w:p w14:paraId="623EFAFA" w14:textId="77777777" w:rsidR="00D9651A" w:rsidRPr="00D9651A" w:rsidRDefault="00D9651A" w:rsidP="00D9651A">
      <w:r w:rsidRPr="00D9651A">
        <w:t>Finally, for individuals with speech impairments, AI is enhancing Augmentative and Alternative Communication (AAC) devices. These AI-integrated systems can recognize non-standard speech, such as stuttering or speech affected by motor impairments, facilitating clearer communication. Innovations like Google's Project Relate are designed to learn and interpret unique speech patterns, converting them into understandable speech for broader communication. A specific example is Google's Euphonia project, developed with the Motor Neurone Disease Association, which aims to better understand and produce natural speech for individuals with impaired speech, even with long delays in communication.</w:t>
      </w:r>
    </w:p>
    <w:p w14:paraId="252F23A3" w14:textId="77777777" w:rsidR="00D9651A" w:rsidRPr="00D9651A" w:rsidRDefault="00D9651A" w:rsidP="00D9651A">
      <w:r w:rsidRPr="00D9651A">
        <w:t>Beyond specific tools, AI can also power broader AT ecosystems, such as screening tools for hearing or vision loss on mobile phones, which can bring diagnostic information to remote villages without needing specialized ophthalmologists. The integration of AI with mainstream consumer products, particularly mobile phones and software, is blurring the distinction between AT and everyday technology, driven by technological progress and evolving needs, especially population aging. The benefits of investing in AT are manifold, impacting education, health, employment, and social participation, and often outweigh the costs at individual and societal levels [World Health Organization and United Nations Children’s Fund (UNICEF) 2022].</w:t>
      </w:r>
    </w:p>
    <w:p w14:paraId="1C76DD63" w14:textId="77777777" w:rsidR="00D9651A" w:rsidRPr="00D9651A" w:rsidRDefault="00D9651A" w:rsidP="00D9651A">
      <w:r w:rsidRPr="00D9651A">
        <w:rPr>
          <w:b/>
          <w:bCs/>
        </w:rPr>
        <w:t>3. Ethical Considerations and Challenges in AI Accessibility</w:t>
      </w:r>
    </w:p>
    <w:p w14:paraId="1717E926" w14:textId="77777777" w:rsidR="00D9651A" w:rsidRPr="00D9651A" w:rsidRDefault="00D9651A" w:rsidP="00D9651A">
      <w:r w:rsidRPr="00D9651A">
        <w:lastRenderedPageBreak/>
        <w:t>Despite the significant potential, the application of AI in accessibility is fraught with ethical complexities. Without careful consideration, AI systems can inadvertently perpetuate existing societal biases and create new forms of discrimination, undermining the very goal of inclusion.</w:t>
      </w:r>
    </w:p>
    <w:p w14:paraId="0B58038A" w14:textId="77777777" w:rsidR="00D9651A" w:rsidRPr="00D9651A" w:rsidRDefault="00D9651A" w:rsidP="00D9651A">
      <w:r w:rsidRPr="00D9651A">
        <w:rPr>
          <w:b/>
          <w:bCs/>
        </w:rPr>
        <w:t>3.1 Algorithmic Bias and Fairness</w:t>
      </w:r>
    </w:p>
    <w:p w14:paraId="4A8C8978" w14:textId="77777777" w:rsidR="00D9651A" w:rsidRPr="00D9651A" w:rsidRDefault="00D9651A" w:rsidP="00D9651A">
      <w:r w:rsidRPr="00D9651A">
        <w:t>A fundamental ethical challenge arises from the inherent biases within AI systems, particularly machine learning models [Trewin 2018]. These systems learn patterns from the large datasets they are trained on, and if these datasets underrepresent, misrepresent, or homogenize the experiences of PWD, the resulting AI models will inevitably be biased. This can lead to discriminatory or inaccessible outputs, reflecting and amplifying societal prejudices, often rooted in ableism—the discrimination against individuals with disabilities based on the belief that typical abilities are superior.</w:t>
      </w:r>
    </w:p>
    <w:p w14:paraId="0C828D40" w14:textId="77777777" w:rsidR="00D9651A" w:rsidRPr="00D9651A" w:rsidRDefault="00D9651A" w:rsidP="00D9651A">
      <w:r w:rsidRPr="00D9651A">
        <w:t>For instance, AI-driven recruitment tools may penalize disabled candidates due to gaps in employment history or non-normative resume patterns, mirroring historical biases [Ameri et al. 2018; Kruse et al. 2017]. Sentiment and toxicity analysis models can associate disability-related terms with negative sentiment, perpetuating explicit bias. In everyday applications, an AI-powered door might close too quickly for a person with mobility impairment, or a voice-activated system might time out before a person with a speech impairment can complete their command, not due to technical glitches but due to design choices prioritizing "typical" user interactions. Similarly, if the time taken to complete an online test is interpreted as a reflection of skill, it can disadvantage people using assistive technologies if the test isn't fully accessible.</w:t>
      </w:r>
    </w:p>
    <w:p w14:paraId="07717CC3" w14:textId="77777777" w:rsidR="00D9651A" w:rsidRPr="00D9651A" w:rsidRDefault="00D9651A" w:rsidP="00D9651A">
      <w:r w:rsidRPr="00D9651A">
        <w:t xml:space="preserve">The problem extends beyond mere absence of data to include misrepresentation and homogenization, treating "disability" as a monolithic concept that ignores the vast diversity and individual uniqueness within the disability community. An AI tool trained predominantly on data from one disability group may perform poorly or be irrelevant for another. The opaque nature of many AI systems, often referred to as the "black box" problem [Wachter et al. 2017], makes identifying and mitigating these biases particularly challenging. Developers sometimes justify AI failures for PWD by </w:t>
      </w:r>
      <w:proofErr w:type="spellStart"/>
      <w:r w:rsidRPr="00D9651A">
        <w:t>labeling</w:t>
      </w:r>
      <w:proofErr w:type="spellEnd"/>
      <w:r w:rsidRPr="00D9651A">
        <w:t xml:space="preserve"> them as "outliers" [</w:t>
      </w:r>
      <w:proofErr w:type="spellStart"/>
      <w:r w:rsidRPr="00D9651A">
        <w:t>Treviranus</w:t>
      </w:r>
      <w:proofErr w:type="spellEnd"/>
      <w:r w:rsidRPr="00D9651A">
        <w:t xml:space="preserve"> 2017], framing the problem as the individual's deviation from the norm rather than a design flaw. This risks further entrenching narrow definitions of "normal" human functioning. The impact of algorithmic bias can be compounded by intersectionality, where individuals with multiple marginalized identities (e.g., a Black woman with a speech impairment) experience compounded bias [</w:t>
      </w:r>
      <w:proofErr w:type="spellStart"/>
      <w:r w:rsidRPr="00D9651A">
        <w:t>Buolamwini</w:t>
      </w:r>
      <w:proofErr w:type="spellEnd"/>
      <w:r w:rsidRPr="00D9651A">
        <w:t xml:space="preserve"> and Gebru 2018].</w:t>
      </w:r>
    </w:p>
    <w:p w14:paraId="27CBF445" w14:textId="77777777" w:rsidR="00D9651A" w:rsidRPr="00D9651A" w:rsidRDefault="00D9651A" w:rsidP="00D9651A">
      <w:r w:rsidRPr="00D9651A">
        <w:rPr>
          <w:b/>
          <w:bCs/>
        </w:rPr>
        <w:t>3.2 Data Privacy and Security</w:t>
      </w:r>
    </w:p>
    <w:p w14:paraId="5666D415" w14:textId="77777777" w:rsidR="00D9651A" w:rsidRPr="00D9651A" w:rsidRDefault="00D9651A" w:rsidP="00D9651A">
      <w:r w:rsidRPr="00D9651A">
        <w:t xml:space="preserve">The reliance of AI accessibility tools on large amounts of personal and often highly sensitive data, such as health information, location tracking, </w:t>
      </w:r>
      <w:proofErr w:type="spellStart"/>
      <w:r w:rsidRPr="00D9651A">
        <w:t>behavioral</w:t>
      </w:r>
      <w:proofErr w:type="spellEnd"/>
      <w:r w:rsidRPr="00D9651A">
        <w:t xml:space="preserve"> patterns, and biometric identifiers, raises critical privacy and security concerns. Disability information is highly sensitive and often not shared due to potential discrimination.</w:t>
      </w:r>
    </w:p>
    <w:p w14:paraId="41E2FB60" w14:textId="77777777" w:rsidR="00D9651A" w:rsidRPr="00D9651A" w:rsidRDefault="00D9651A" w:rsidP="00D9651A">
      <w:r w:rsidRPr="00D9651A">
        <w:t>Biometric data, which is uniquely personal and immutable, presents heightened risks. If compromised, unlike a password, biometric identifiers (e.g., fingerprints, facial scans, voiceprints) cannot be changed, leaving individuals permanently vulnerable to identity theft. Disability bias in biometric systems themselves is a critical issue; if training data lacks adequate representation of PWD with atypical features, systems may be less accurate, leading to misidentification or denial of access to essential services. There is also a significant ethical concern that biometric technologies could identify or label someone as having a disability without explicit consent.</w:t>
      </w:r>
    </w:p>
    <w:p w14:paraId="3BD2723C" w14:textId="77777777" w:rsidR="00D9651A" w:rsidRPr="00D9651A" w:rsidRDefault="00D9651A" w:rsidP="00D9651A">
      <w:r w:rsidRPr="00D9651A">
        <w:lastRenderedPageBreak/>
        <w:t>Obtaining truly informed consent for data collection is challenging due to the complexity of AI algorithms and potential vulnerabilities of some PWD. Users need clear, accessible, and transparent information about data use and risks, moving beyond legal jargon. The "Right to Erasure" (Right to be Forgotten) under GDPR presents difficulties, as data embedded in AI models can be nearly impossible to fully delete without costly retraining. Data repurposing, where data collected for one purpose is used for another without consent, also poses a risk. A "vulnerability paradox" exists: to make AI systems more accurate for PWD, more sensitive data is needed, which inherently increases privacy risks.</w:t>
      </w:r>
    </w:p>
    <w:p w14:paraId="137531E7" w14:textId="77777777" w:rsidR="00D9651A" w:rsidRPr="00D9651A" w:rsidRDefault="00D9651A" w:rsidP="00D9651A">
      <w:r w:rsidRPr="00D9651A">
        <w:t xml:space="preserve">AI surveillance technologies, such as "bossware" in workplaces, can also disproportionately affect PWD by misinterpreting their work patterns or use of AT as inefficiency. Public space monitoring relying on normative </w:t>
      </w:r>
      <w:proofErr w:type="spellStart"/>
      <w:r w:rsidRPr="00D9651A">
        <w:t>behavior</w:t>
      </w:r>
      <w:proofErr w:type="spellEnd"/>
      <w:r w:rsidRPr="00D9651A">
        <w:t xml:space="preserve"> patterns could unfairly flag individuals whose movements differ due to a disability.</w:t>
      </w:r>
    </w:p>
    <w:p w14:paraId="1208370C" w14:textId="77777777" w:rsidR="00D9651A" w:rsidRPr="00D9651A" w:rsidRDefault="00D9651A" w:rsidP="00D9651A">
      <w:r w:rsidRPr="00D9651A">
        <w:rPr>
          <w:b/>
          <w:bCs/>
        </w:rPr>
        <w:t>3.3 Autonomy and Agency</w:t>
      </w:r>
    </w:p>
    <w:p w14:paraId="60348FD0" w14:textId="77777777" w:rsidR="00D9651A" w:rsidRPr="00D9651A" w:rsidRDefault="00D9651A" w:rsidP="00D9651A">
      <w:r w:rsidRPr="00D9651A">
        <w:t>While AI can significantly enhance independence by augmenting capabilities, a critical ethical tension exists between enablement and "algorithmic paternalism," where AI systems overstep their assistive function and unduly influence or make decisions for users. Independence, as defined by figures like Judy Heumann [Heumann and Joiner 2019], is not merely the physical ability to do things alone, but the power to make one's own decisions and control one's life. AI tools should support this decisional autonomy by providing choices, not imposing solutions.</w:t>
      </w:r>
    </w:p>
    <w:p w14:paraId="5B7E1134" w14:textId="77777777" w:rsidR="00D9651A" w:rsidRPr="00D9651A" w:rsidRDefault="00D9651A" w:rsidP="00D9651A">
      <w:r w:rsidRPr="00D9651A">
        <w:t>Algorithmic paternalism arises when AI, even with benevolent intentions, makes decisions on behalf of users or subtly influences their choices, eroding their agency. This is exacerbated if AI is perceived as infallible or if designers operate under "ableist paternalism"—assuming PWD inherently "need to be helped, saved, or tutored." For example, an AI system persistently recommending a "healthier" food choice against user preference subtly erodes autonomy. This creates an "autonomy paradox": AI can increase functional autonomy (performing tasks) but diminish decisional autonomy (freedom to choose) if it dictates actions.</w:t>
      </w:r>
    </w:p>
    <w:p w14:paraId="0E66CE49" w14:textId="77777777" w:rsidR="00D9651A" w:rsidRPr="00D9651A" w:rsidRDefault="00D9651A" w:rsidP="00D9651A">
      <w:r w:rsidRPr="00D9651A">
        <w:t>User control and choice are paramount to counteract paternalism, advocating for technological self-determination where users decide which technology to use and how. The ability to modify and customize AT is crucial, as PWD needs are idiosyncratic and change over time. However, practices like Digital Rights Management (DRM) can restrict users' ability to repair or modify their own devices, undermining autonomy. Meaningful human oversight is also necessary, especially for critical decisions, to allow users or advocates to question or override AI-driven outcomes.</w:t>
      </w:r>
    </w:p>
    <w:p w14:paraId="19048A8F" w14:textId="77777777" w:rsidR="00D9651A" w:rsidRPr="00D9651A" w:rsidRDefault="00D9651A" w:rsidP="00D9651A">
      <w:r w:rsidRPr="00D9651A">
        <w:t>The "ethics of care" framework emphasizes human interdependence and the value of care beyond mere task automation. AI systems mediating care relationships must respect the dignity of both the care recipient and caregiver, preserving relational aspects. The emergence of "virtual volunteers" raises questions about "artificial empathy" versus genuine human connection. Over-reliance on AI can also lead to "learned helplessness" or skill atrophy, potentially reducing self-efficacy and active participation if tasks are over-automated.</w:t>
      </w:r>
    </w:p>
    <w:p w14:paraId="5E4440BA" w14:textId="77777777" w:rsidR="00D9651A" w:rsidRPr="00D9651A" w:rsidRDefault="00D9651A" w:rsidP="00D9651A">
      <w:r w:rsidRPr="00D9651A">
        <w:rPr>
          <w:b/>
          <w:bCs/>
        </w:rPr>
        <w:t>3.4 Socio-Economic Disparities</w:t>
      </w:r>
    </w:p>
    <w:p w14:paraId="7B7402EC" w14:textId="77777777" w:rsidR="00D9651A" w:rsidRPr="00D9651A" w:rsidRDefault="00D9651A" w:rsidP="00D9651A">
      <w:r w:rsidRPr="00D9651A">
        <w:t>The transformative potential of AI in accessibility is deeply intertwined with socio-economic factors, capable of either bridging or widening existing divides.</w:t>
      </w:r>
    </w:p>
    <w:p w14:paraId="2CA11265" w14:textId="77777777" w:rsidR="00D9651A" w:rsidRPr="00D9651A" w:rsidRDefault="00D9651A" w:rsidP="00D9651A">
      <w:r w:rsidRPr="00D9651A">
        <w:t>Cost of Innovation: Many advanced AI-powered AT, especially specialized hardware or sophisticated software, are prohibitively expensive. This high cost can create an "AI class divide," making cutting-</w:t>
      </w:r>
      <w:r w:rsidRPr="00D9651A">
        <w:lastRenderedPageBreak/>
        <w:t>edge tools a luxury good. PWD often face higher living expenses and lower employment rates [Brault 2012], making them particularly vulnerable to being priced out. This could lead to a "Matthew Effect," where privileged PWD benefit more, widening intra-group disparities.</w:t>
      </w:r>
    </w:p>
    <w:p w14:paraId="3A4B6D81" w14:textId="77777777" w:rsidR="00D9651A" w:rsidRPr="00D9651A" w:rsidRDefault="00D9651A" w:rsidP="00D9651A">
      <w:r w:rsidRPr="00D9651A">
        <w:t xml:space="preserve">Impact on Employment: AI presents a dual impact on employment for PWD. It can create new job opportunities and make workplaces more accessible through AI-powered job matching and task automation. However, AI-driven automation also threatens jobs involving routine tasks, potentially increasing unemployment among PWD due to automation and skill mismatches. The long-term impact is influenced by educational attainment and governance, as advanced skills and inclusive </w:t>
      </w:r>
      <w:proofErr w:type="spellStart"/>
      <w:r w:rsidRPr="00D9651A">
        <w:t>labor</w:t>
      </w:r>
      <w:proofErr w:type="spellEnd"/>
      <w:r w:rsidRPr="00D9651A">
        <w:t xml:space="preserve"> policies can mitigate negative effects [Council of the European Union 2000].</w:t>
      </w:r>
    </w:p>
    <w:p w14:paraId="7AB4CC45" w14:textId="77777777" w:rsidR="00D9651A" w:rsidRPr="00D9651A" w:rsidRDefault="00D9651A" w:rsidP="00D9651A">
      <w:r w:rsidRPr="00D9651A">
        <w:t>Digital Divide: The benefits of the AI revolution risk being concentrated among a privileged few, exacerbating the existing digital divide both within and between countries. Developing countries often lack necessary infrastructure, diverse datasets, and skilled workforces to harness AI's full potential. International cooperation is crucial to promote equitable access and prevent AI from becoming another vector of inequality [UN General Assembly 2007].</w:t>
      </w:r>
    </w:p>
    <w:p w14:paraId="050D6E2D" w14:textId="77777777" w:rsidR="00D9651A" w:rsidRPr="00D9651A" w:rsidRDefault="00D9651A" w:rsidP="00D9651A">
      <w:r w:rsidRPr="00D9651A">
        <w:rPr>
          <w:b/>
          <w:bCs/>
        </w:rPr>
        <w:t>3.5 Psychological Impact and Identity</w:t>
      </w:r>
    </w:p>
    <w:p w14:paraId="6F48789B" w14:textId="77777777" w:rsidR="00D9651A" w:rsidRPr="00D9651A" w:rsidRDefault="00D9651A" w:rsidP="00D9651A">
      <w:r w:rsidRPr="00D9651A">
        <w:t>The integration of AI into the lives of PWD profoundly affects identity, psychological well-being, and the nature of human interaction.</w:t>
      </w:r>
    </w:p>
    <w:p w14:paraId="4A47BE5B" w14:textId="77777777" w:rsidR="00D9651A" w:rsidRPr="00D9651A" w:rsidRDefault="00D9651A" w:rsidP="00D9651A">
      <w:r w:rsidRPr="00D9651A">
        <w:t>Risk of Erasure: AI systems, particularly those generating or interpreting visual information, can inadvertently "erase" or misrepresent disability. AI image generation tools may default to "normative" bodily representations, for example, creating an image of a person with two arms when prompted for a person known to have one. This perpetuates societal biases that view disability as an anomaly to be corrected or hidden, invalidating PWD whose disability is integral to their identity. AI needs to represent disability authentically and respectfully, without requiring explicit prompts [Ethical_Consideration_of_AI.txt].</w:t>
      </w:r>
    </w:p>
    <w:p w14:paraId="3D5E8033" w14:textId="77777777" w:rsidR="00D9651A" w:rsidRPr="00D9651A" w:rsidRDefault="00D9651A" w:rsidP="00D9651A">
      <w:r w:rsidRPr="00D9651A">
        <w:t xml:space="preserve">Socio-Psychological Impacts: While well-designed AI tools can enhance independence and quality of life, leading to increased self-esteem and reduced anxiety, an over-reliance on AI or preference for AI-mediated interaction could diminish human-to-human contact, </w:t>
      </w:r>
      <w:proofErr w:type="gramStart"/>
      <w:r w:rsidRPr="00D9651A">
        <w:t>exacerbating</w:t>
      </w:r>
      <w:proofErr w:type="gramEnd"/>
      <w:r w:rsidRPr="00D9651A">
        <w:t xml:space="preserve"> loneliness or hindering social skill development. AI can also alleviate caregiver stress, but poorly designed systems can create new burdens.</w:t>
      </w:r>
    </w:p>
    <w:p w14:paraId="6D6907E1" w14:textId="77777777" w:rsidR="00D9651A" w:rsidRPr="00D9651A" w:rsidRDefault="00D9651A" w:rsidP="00D9651A">
      <w:r w:rsidRPr="00D9651A">
        <w:t>AI Companionship and Over-reliance: AI companions can offer emotional support and reduce loneliness, particularly beneficial for PWD facing social isolation. However, concerns exist about the depth and quality of social engagement these AI foster. Over-reliance on AI tools can lead to serious consequences if they malfunction or provide incorrect information, due to automation bias (over-trusting AI) or automation complacency (reduced vigilance).</w:t>
      </w:r>
    </w:p>
    <w:p w14:paraId="71603D65" w14:textId="77777777" w:rsidR="00D9651A" w:rsidRPr="00D9651A" w:rsidRDefault="00D9651A" w:rsidP="00D9651A">
      <w:r w:rsidRPr="00D9651A">
        <w:rPr>
          <w:b/>
          <w:bCs/>
        </w:rPr>
        <w:t>4. Forging an Ethical Future: Recommendations for Responsible AI in Accessibility</w:t>
      </w:r>
    </w:p>
    <w:p w14:paraId="142032DF" w14:textId="77777777" w:rsidR="00D9651A" w:rsidRPr="00D9651A" w:rsidRDefault="00D9651A" w:rsidP="00D9651A">
      <w:r w:rsidRPr="00D9651A">
        <w:t>Ensuring AI serves as a truly empowering and equitable force for PWD requires concerted, multi-stakeholder efforts to embed ethical principles throughout the AI lifecycle.</w:t>
      </w:r>
    </w:p>
    <w:p w14:paraId="324C4D22" w14:textId="77777777" w:rsidR="00D9651A" w:rsidRPr="00D9651A" w:rsidRDefault="00D9651A" w:rsidP="00D9651A">
      <w:r w:rsidRPr="00D9651A">
        <w:rPr>
          <w:b/>
          <w:bCs/>
        </w:rPr>
        <w:t>4.1 Foundational Principle: "Nothing About Us Without Us"</w:t>
      </w:r>
    </w:p>
    <w:p w14:paraId="3437ED11" w14:textId="77777777" w:rsidR="00D9651A" w:rsidRPr="00D9651A" w:rsidRDefault="00D9651A" w:rsidP="00D9651A">
      <w:r w:rsidRPr="00D9651A">
        <w:t xml:space="preserve">The most critical principle for ethical AI in accessibility is "Nothing About Us Without Us". This mandates that PWD must be actively and meaningfully involved in all stages of AI development and deployment, including ideation, data collection and annotation, algorithm design, user interface development, testing, validation, deployment strategies, and post-deployment auditing and </w:t>
      </w:r>
      <w:r w:rsidRPr="00D9651A">
        <w:lastRenderedPageBreak/>
        <w:t xml:space="preserve">governance. This participatory approach ensures solutions address real needs and preferences, avoiding </w:t>
      </w:r>
      <w:proofErr w:type="spellStart"/>
      <w:r w:rsidRPr="00D9651A">
        <w:t>technoableist</w:t>
      </w:r>
      <w:proofErr w:type="spellEnd"/>
      <w:r w:rsidRPr="00D9651A">
        <w:t xml:space="preserve"> assumptions and fostering trust. It is crucial to involve members of such groups in application design and development, and to gather training data specifically from them where possible. Developers of ML solutions need assistance to understand and assess the impact of their applications for PWD.</w:t>
      </w:r>
    </w:p>
    <w:p w14:paraId="608E653D" w14:textId="77777777" w:rsidR="00D9651A" w:rsidRPr="00D9651A" w:rsidRDefault="00D9651A" w:rsidP="00D9651A">
      <w:r w:rsidRPr="00D9651A">
        <w:rPr>
          <w:b/>
          <w:bCs/>
        </w:rPr>
        <w:t>4.2 Policy and Governance</w:t>
      </w:r>
    </w:p>
    <w:p w14:paraId="51CEBA9D" w14:textId="77777777" w:rsidR="00D9651A" w:rsidRPr="00D9651A" w:rsidRDefault="00D9651A" w:rsidP="00D9651A">
      <w:r w:rsidRPr="00D9651A">
        <w:t>Robust policy and governance frameworks are essential to guide the ethical development and use of AI in accessibility.</w:t>
      </w:r>
    </w:p>
    <w:p w14:paraId="02D9F0A1" w14:textId="77777777" w:rsidR="00D9651A" w:rsidRPr="00D9651A" w:rsidRDefault="00D9651A" w:rsidP="00D9651A">
      <w:r w:rsidRPr="00D9651A">
        <w:t>International Frameworks: Existing international frameworks like the UN Convention on the Rights of Persons with Disabilities (CRPD) [UN General Assembly 2006] and WHO guidance on AI ethics for health provide foundational principles. The CRPD emphasizes inherent dignity, individual autonomy, non-discrimination, full participation, and accessibility, requiring states to provide necessary AT to enable rights to education, work, and participation. Article 32 explicitly calls for international cooperation, including technical and economic assistance, and facilitating access to and sharing of accessible and assistive technologies. International cooperation is seen as essential for reducing inequity and progressively achieving universal access to AT.</w:t>
      </w:r>
    </w:p>
    <w:p w14:paraId="7DF110EC" w14:textId="77777777" w:rsidR="00D9651A" w:rsidRPr="00D9651A" w:rsidRDefault="00D9651A" w:rsidP="00D9651A">
      <w:r w:rsidRPr="00D9651A">
        <w:t>Regional and National Regulations: Regional developments, such as the EU AI Act, prohibit high-risk AI practices that exploit vulnerabilities related to disability and regulate biometric categorization. National recommendations, like those from the US Access Board, call for PWD inclusion in AI development, bias minimization, disclosure of AI use, and ongoing monitoring for discriminatory impacts.</w:t>
      </w:r>
    </w:p>
    <w:p w14:paraId="24233609" w14:textId="77777777" w:rsidR="00D9651A" w:rsidRPr="00D9651A" w:rsidRDefault="00D9651A" w:rsidP="00D9651A">
      <w:r w:rsidRPr="00D9651A">
        <w:t>Specific policy recommendations include:</w:t>
      </w:r>
    </w:p>
    <w:p w14:paraId="75DCAAE4" w14:textId="77777777" w:rsidR="00D9651A" w:rsidRPr="00D9651A" w:rsidRDefault="00D9651A" w:rsidP="00D9651A">
      <w:pPr>
        <w:numPr>
          <w:ilvl w:val="0"/>
          <w:numId w:val="10"/>
        </w:numPr>
      </w:pPr>
      <w:r w:rsidRPr="00D9651A">
        <w:t>Mandating adherence to accessibility standards (e.g., WCAG) for all AI tools and interfaces.</w:t>
      </w:r>
    </w:p>
    <w:p w14:paraId="2D94F2CD" w14:textId="77777777" w:rsidR="00D9651A" w:rsidRPr="00D9651A" w:rsidRDefault="00D9651A" w:rsidP="00D9651A">
      <w:pPr>
        <w:numPr>
          <w:ilvl w:val="0"/>
          <w:numId w:val="10"/>
        </w:numPr>
      </w:pPr>
      <w:r w:rsidRPr="00D9651A">
        <w:t>Developing clear accountability frameworks for AI failures.</w:t>
      </w:r>
    </w:p>
    <w:p w14:paraId="4633739F" w14:textId="77777777" w:rsidR="00D9651A" w:rsidRPr="00D9651A" w:rsidRDefault="00D9651A" w:rsidP="00D9651A">
      <w:pPr>
        <w:numPr>
          <w:ilvl w:val="0"/>
          <w:numId w:val="10"/>
        </w:numPr>
      </w:pPr>
      <w:r w:rsidRPr="00D9651A">
        <w:t>Enacting and enforcing strong data protection laws specifically addressing sensitive disability data, ensuring meaningful consent and robust security.</w:t>
      </w:r>
    </w:p>
    <w:p w14:paraId="3EE769BD" w14:textId="77777777" w:rsidR="00D9651A" w:rsidRPr="00D9651A" w:rsidRDefault="00D9651A" w:rsidP="00D9651A">
      <w:pPr>
        <w:numPr>
          <w:ilvl w:val="0"/>
          <w:numId w:val="10"/>
        </w:numPr>
      </w:pPr>
      <w:r w:rsidRPr="00D9651A">
        <w:t>Investing in public AI infrastructure accessible to diverse developers, contingent on ethical adherence.</w:t>
      </w:r>
    </w:p>
    <w:p w14:paraId="4ED03C5E" w14:textId="77777777" w:rsidR="00D9651A" w:rsidRPr="00D9651A" w:rsidRDefault="00D9651A" w:rsidP="00D9651A">
      <w:pPr>
        <w:numPr>
          <w:ilvl w:val="0"/>
          <w:numId w:val="10"/>
        </w:numPr>
      </w:pPr>
      <w:r w:rsidRPr="00D9651A">
        <w:t>Regulating AI-powered surveillance tools like "bossware" to protect PWD rights and privacy.</w:t>
      </w:r>
    </w:p>
    <w:p w14:paraId="25A8D1A5" w14:textId="77777777" w:rsidR="00D9651A" w:rsidRPr="00D9651A" w:rsidRDefault="00D9651A" w:rsidP="00D9651A">
      <w:pPr>
        <w:numPr>
          <w:ilvl w:val="0"/>
          <w:numId w:val="10"/>
        </w:numPr>
      </w:pPr>
      <w:r w:rsidRPr="00D9651A">
        <w:t>Recognizing AT as essential health products and services, integral to universal health coverage.</w:t>
      </w:r>
    </w:p>
    <w:p w14:paraId="587F6535" w14:textId="77777777" w:rsidR="00D9651A" w:rsidRPr="00D9651A" w:rsidRDefault="00D9651A" w:rsidP="00D9651A">
      <w:pPr>
        <w:numPr>
          <w:ilvl w:val="0"/>
          <w:numId w:val="10"/>
        </w:numPr>
      </w:pPr>
      <w:r w:rsidRPr="00D9651A">
        <w:t>Developing national AT strategies and action plans, with explicit responsibilities for coordination, financing, and monitoring.</w:t>
      </w:r>
    </w:p>
    <w:p w14:paraId="2A5A79EC" w14:textId="77777777" w:rsidR="00D9651A" w:rsidRPr="00D9651A" w:rsidRDefault="00D9651A" w:rsidP="00D9651A">
      <w:pPr>
        <w:numPr>
          <w:ilvl w:val="0"/>
          <w:numId w:val="10"/>
        </w:numPr>
      </w:pPr>
      <w:r w:rsidRPr="00D9651A">
        <w:t>Adopting and regularly reviewing national essential or priority AT lists.</w:t>
      </w:r>
    </w:p>
    <w:p w14:paraId="6C041A24" w14:textId="77777777" w:rsidR="00D9651A" w:rsidRPr="00D9651A" w:rsidRDefault="00D9651A" w:rsidP="00D9651A">
      <w:pPr>
        <w:numPr>
          <w:ilvl w:val="0"/>
          <w:numId w:val="10"/>
        </w:numPr>
      </w:pPr>
      <w:r w:rsidRPr="00D9651A">
        <w:t>Establishing regulatory systems for effective, safe, and affordable AT production and provision, including surveillance systems.</w:t>
      </w:r>
    </w:p>
    <w:p w14:paraId="746BB4E3" w14:textId="77777777" w:rsidR="00D9651A" w:rsidRPr="00D9651A" w:rsidRDefault="00D9651A" w:rsidP="00D9651A">
      <w:r w:rsidRPr="00D9651A">
        <w:t>Given AI's rapid evolution, policy and regulation must be agile, co-evolving with technological advancements through continuous dialogue with stakeholders.</w:t>
      </w:r>
    </w:p>
    <w:p w14:paraId="63075230" w14:textId="77777777" w:rsidR="00D9651A" w:rsidRPr="00D9651A" w:rsidRDefault="00D9651A" w:rsidP="00D9651A">
      <w:r w:rsidRPr="00D9651A">
        <w:rPr>
          <w:b/>
          <w:bCs/>
        </w:rPr>
        <w:t>4.3 Technical and Design Imperatives</w:t>
      </w:r>
    </w:p>
    <w:p w14:paraId="2AE8E0AB" w14:textId="77777777" w:rsidR="00D9651A" w:rsidRPr="00D9651A" w:rsidRDefault="00D9651A" w:rsidP="00D9651A">
      <w:r w:rsidRPr="00D9651A">
        <w:lastRenderedPageBreak/>
        <w:t>Technical and design choices are critical for the ethical impact of AI accessibility tools.</w:t>
      </w:r>
    </w:p>
    <w:p w14:paraId="42FFC2CF" w14:textId="77777777" w:rsidR="00D9651A" w:rsidRPr="00D9651A" w:rsidRDefault="00D9651A" w:rsidP="00D9651A">
      <w:r w:rsidRPr="00D9651A">
        <w:t>Data Practices: Actively work to create diverse, representative, and inclusive training datasets by meaningfully involving PWD in data collection, annotation, and validation. This goes beyond typical inputs and addresses outliers.</w:t>
      </w:r>
    </w:p>
    <w:p w14:paraId="68E14C00" w14:textId="77777777" w:rsidR="00D9651A" w:rsidRPr="00D9651A" w:rsidRDefault="00D9651A" w:rsidP="00D9651A">
      <w:r w:rsidRPr="00D9651A">
        <w:t>Bias Detection and Mitigation: Implement state-of-the-art bias detection tools (e.g., IBM AI Fairness 360 Toolkit) [Bellamy et al. 2018] throughout the AI development lifecycle, complemented by rigorous human oversight and diverse testing teams. Regularly audit systems for biases against various disability groups and intersectional identities.</w:t>
      </w:r>
    </w:p>
    <w:p w14:paraId="262D7CCF" w14:textId="77777777" w:rsidR="00D9651A" w:rsidRPr="00D9651A" w:rsidRDefault="00D9651A" w:rsidP="00D9651A">
      <w:r w:rsidRPr="00D9651A">
        <w:t>Transparency and Explainability: Design AI systems to be as transparent and explainable as feasible [Wachter et al. 2017], especially when decisions significantly impact PWD. Users should have a right to understand the basis of AI-driven decisions affecting them.</w:t>
      </w:r>
    </w:p>
    <w:p w14:paraId="3A19DEC0" w14:textId="77777777" w:rsidR="00D9651A" w:rsidRPr="00D9651A" w:rsidRDefault="00D9651A" w:rsidP="00D9651A">
      <w:r w:rsidRPr="00D9651A">
        <w:t xml:space="preserve">Accessibility by Design (Universal Design): Embed accessibility principles from the very beginning of the design process, rather than as an afterthought. This includes </w:t>
      </w:r>
      <w:proofErr w:type="spellStart"/>
      <w:r w:rsidRPr="00D9651A">
        <w:t>color</w:t>
      </w:r>
      <w:proofErr w:type="spellEnd"/>
      <w:r w:rsidRPr="00D9651A">
        <w:t xml:space="preserve"> contrast, clear language, keyboard navigability, compatibility with AT, and multiple modalities for interaction. Universal design promotes the belief that the broad range of human ability is ordinary, not special, reducing stigma and benefiting all users.</w:t>
      </w:r>
    </w:p>
    <w:p w14:paraId="0D834584" w14:textId="77777777" w:rsidR="00D9651A" w:rsidRPr="00D9651A" w:rsidRDefault="00D9651A" w:rsidP="00D9651A">
      <w:r w:rsidRPr="00D9651A">
        <w:t>User Control and Customization: Empower users by providing meaningful control over AI tools and settings, allowing customization to meet individual needs and preferences. Avoid rigid, "one-size-fits-all" models.</w:t>
      </w:r>
    </w:p>
    <w:p w14:paraId="000EA3A9" w14:textId="77777777" w:rsidR="00D9651A" w:rsidRPr="00D9651A" w:rsidRDefault="00D9651A" w:rsidP="00D9651A">
      <w:r w:rsidRPr="00D9651A">
        <w:t>Security and Privacy by Design: Integrate robust security measures and privacy-enhancing technologies into the core architecture of AI systems to protect sensitive user data.</w:t>
      </w:r>
    </w:p>
    <w:p w14:paraId="4CA9418B" w14:textId="77777777" w:rsidR="00D9651A" w:rsidRPr="00D9651A" w:rsidRDefault="00D9651A" w:rsidP="00D9651A">
      <w:r w:rsidRPr="00D9651A">
        <w:rPr>
          <w:b/>
          <w:bCs/>
        </w:rPr>
        <w:t>4.4 Education and Awareness</w:t>
      </w:r>
    </w:p>
    <w:p w14:paraId="14443F5A" w14:textId="77777777" w:rsidR="00D9651A" w:rsidRPr="00D9651A" w:rsidRDefault="00D9651A" w:rsidP="00D9651A">
      <w:r w:rsidRPr="00D9651A">
        <w:t>Widespread AI literacy and ethical awareness are crucial for responsible AI development and adoption. This involves promoting AI literacy among PWD, their families, caregivers, educators, and healthcare providers to enable informed use and critical evaluation. Comprehensive training for AI developers, designers, and engineers on disability awareness, the social model of disability, inclusive design, and AI ethics is necessary. Policymakers and regulators also need education on the specific ethical challenges and opportunities of AI in accessibility to inform evidence-based governance. Public awareness campaigns are vital to nurture receptiveness to the rights of PWD and combat stereotypes.</w:t>
      </w:r>
    </w:p>
    <w:p w14:paraId="193F163F" w14:textId="77777777" w:rsidR="00D9651A" w:rsidRPr="00D9651A" w:rsidRDefault="00D9651A" w:rsidP="00D9651A">
      <w:r w:rsidRPr="00D9651A">
        <w:rPr>
          <w:b/>
          <w:bCs/>
        </w:rPr>
        <w:t>4.5 Research and Development</w:t>
      </w:r>
    </w:p>
    <w:p w14:paraId="24452B5B" w14:textId="77777777" w:rsidR="00D9651A" w:rsidRPr="00D9651A" w:rsidRDefault="00D9651A" w:rsidP="00D9651A">
      <w:r w:rsidRPr="00D9651A">
        <w:t xml:space="preserve">Continued ethical innovation requires focused research and collaborative efforts. There should be increased public and private investment in </w:t>
      </w:r>
      <w:proofErr w:type="spellStart"/>
      <w:r w:rsidRPr="00D9651A">
        <w:t>R&amp;</w:t>
      </w:r>
      <w:proofErr w:type="gramStart"/>
      <w:r w:rsidRPr="00D9651A">
        <w:t>amp;D</w:t>
      </w:r>
      <w:proofErr w:type="spellEnd"/>
      <w:proofErr w:type="gramEnd"/>
      <w:r w:rsidRPr="00D9651A">
        <w:t xml:space="preserve"> specifically for ethical, effective, and affordable AI-based solutions for accessibility and AT. Fostering robust public-private partnerships (PPPs) can pool resources, expertise, and perspectives among technology companies, disability advocacy organizations, academic research institutions, and government agencies. Supporting interdisciplinary research into the long-term social, psychological, economic, and ethical impacts of AI on PWD and their communities is also critical.</w:t>
      </w:r>
    </w:p>
    <w:p w14:paraId="0C9D0BF1" w14:textId="77777777" w:rsidR="00D9651A" w:rsidRPr="00D9651A" w:rsidRDefault="00D9651A" w:rsidP="00D9651A">
      <w:r w:rsidRPr="00D9651A">
        <w:rPr>
          <w:b/>
          <w:bCs/>
        </w:rPr>
        <w:t>5. Conclusion: Towards an Empowering and Equitable AI for All</w:t>
      </w:r>
    </w:p>
    <w:p w14:paraId="7FDFD3C5" w14:textId="77777777" w:rsidR="00D9651A" w:rsidRPr="00D9651A" w:rsidRDefault="00D9651A" w:rsidP="00D9651A">
      <w:r w:rsidRPr="00D9651A">
        <w:t xml:space="preserve">Artificial intelligence stands at a pivotal juncture in its application to the accessibility space, offering transformative potential to dismantle barriers and enhance independence for persons with </w:t>
      </w:r>
      <w:r w:rsidRPr="00D9651A">
        <w:lastRenderedPageBreak/>
        <w:t>disabilities. From sophisticated image recognition for visual impairments to AI-driven communication aids for speech impairments, innovations are tangible and rapidly evolving. However, this promise is shadowed by profound ethical complexities related to algorithmic bias, data privacy, user autonomy, socio-economic equity, and psychological well-being.</w:t>
      </w:r>
    </w:p>
    <w:p w14:paraId="48CC27C0" w14:textId="77777777" w:rsidR="00D9651A" w:rsidRPr="00D9651A" w:rsidRDefault="00D9651A" w:rsidP="00D9651A">
      <w:r w:rsidRPr="00D9651A">
        <w:t>This paper has explored these challenges through a multi-faceted ethical lens, drawing on general AI ethics, the social model of disability, and disability-specific frameworks like the UN CRPD [UN General Assembly 2006] and the ethics of care. Key insights highlight the risk of AI reinforcing medical models of disability, the tension between individual independence and human interdependence, the "vulnerability paradox" in data collection, the potential for AI to enhance functional autonomy while diminishing decisional autonomy, the "Matthew Effect" widening disparities, and the complex interplay between AI, identity, and psychological health.</w:t>
      </w:r>
    </w:p>
    <w:p w14:paraId="5B1DBBE7" w14:textId="77777777" w:rsidR="00D9651A" w:rsidRPr="00D9651A" w:rsidRDefault="00D9651A" w:rsidP="00D9651A">
      <w:r w:rsidRPr="00D9651A">
        <w:t xml:space="preserve">The path forward demands a sustained, multi-stakeholder commitment to a human-centric and rights-based approach. The principle of "Nothing About Us Without Us" must become an unwavering operational mandate, ensuring active, meaningful, and compensated participation of PWD in every phase of the AI lifecycle. Robust and agile governance structures, with policies and regulations that co-evolve with technology, are indispensable for strengthening legal protections for sensitive data, mandating accessibility by design, establishing clear accountability, and fostering ethical </w:t>
      </w:r>
      <w:proofErr w:type="spellStart"/>
      <w:r w:rsidRPr="00D9651A">
        <w:t>R&amp;</w:t>
      </w:r>
      <w:proofErr w:type="gramStart"/>
      <w:r w:rsidRPr="00D9651A">
        <w:t>amp;D</w:t>
      </w:r>
      <w:proofErr w:type="spellEnd"/>
      <w:r w:rsidRPr="00D9651A">
        <w:t>.</w:t>
      </w:r>
      <w:proofErr w:type="gramEnd"/>
    </w:p>
    <w:p w14:paraId="1EBE6DE1" w14:textId="77777777" w:rsidR="00D9651A" w:rsidRPr="00D9651A" w:rsidRDefault="00D9651A" w:rsidP="00D9651A">
      <w:r w:rsidRPr="00D9651A">
        <w:t>Ultimately, the goal extends beyond merely making AI tools accessible. It is to ensure that AI is just, fair, respectful, and genuinely empowering, shifting the perspective from "fixing" individuals to leveraging technology as an instrument to create a society where all individuals, in their diversity, can flourish and participate fully. This commitment to human dignity, autonomy, and the diverse tapestry of human experience is crucial for AI to truly contribute to a more equitable world.</w:t>
      </w:r>
    </w:p>
    <w:p w14:paraId="0A8A05DE" w14:textId="77777777" w:rsidR="00D9651A" w:rsidRPr="00D9651A" w:rsidRDefault="00D9651A" w:rsidP="00D9651A">
      <w:r w:rsidRPr="00D9651A">
        <w:rPr>
          <w:b/>
          <w:bCs/>
        </w:rPr>
        <w:t>References</w:t>
      </w:r>
    </w:p>
    <w:p w14:paraId="6C0FC0CE" w14:textId="77777777" w:rsidR="00D9651A" w:rsidRPr="00D9651A" w:rsidRDefault="00D9651A" w:rsidP="00D9651A">
      <w:pPr>
        <w:numPr>
          <w:ilvl w:val="0"/>
          <w:numId w:val="11"/>
        </w:numPr>
      </w:pPr>
      <w:r w:rsidRPr="00D9651A">
        <w:t xml:space="preserve">Accenture. 2018. Getting </w:t>
      </w:r>
      <w:proofErr w:type="gramStart"/>
      <w:r w:rsidRPr="00D9651A">
        <w:t>to</w:t>
      </w:r>
      <w:proofErr w:type="gramEnd"/>
      <w:r w:rsidRPr="00D9651A">
        <w:t xml:space="preserve"> equal: The disability inclusion advantage. Dublin. Retrieved from </w:t>
      </w:r>
      <w:hyperlink r:id="rId5" w:anchor="zoom=50" w:tgtFrame="_blank" w:history="1">
        <w:r w:rsidRPr="00D9651A">
          <w:rPr>
            <w:rStyle w:val="Hyperlink"/>
          </w:rPr>
          <w:t>https://www.accenture.com/_acnmedia/PDF-89/Accenture-Disability-Inclusion-Research-Report.pdf#zoom=50</w:t>
        </w:r>
      </w:hyperlink>
    </w:p>
    <w:p w14:paraId="336490A7" w14:textId="77777777" w:rsidR="00D9651A" w:rsidRPr="00D9651A" w:rsidRDefault="00D9651A" w:rsidP="00D9651A">
      <w:pPr>
        <w:numPr>
          <w:ilvl w:val="0"/>
          <w:numId w:val="11"/>
        </w:numPr>
      </w:pPr>
      <w:r w:rsidRPr="00D9651A">
        <w:t xml:space="preserve">ADA National Network. (n.d.). Health care and the Americans </w:t>
      </w:r>
      <w:proofErr w:type="gramStart"/>
      <w:r w:rsidRPr="00D9651A">
        <w:t>With</w:t>
      </w:r>
      <w:proofErr w:type="gramEnd"/>
      <w:r w:rsidRPr="00D9651A">
        <w:t xml:space="preserve"> Disabilities Act. Seattle. Retrieved from </w:t>
      </w:r>
      <w:hyperlink r:id="rId6" w:tgtFrame="_blank" w:history="1">
        <w:r w:rsidRPr="00D9651A">
          <w:rPr>
            <w:rStyle w:val="Hyperlink"/>
          </w:rPr>
          <w:t>https://adata.org/factsheet/health-care-and-ada</w:t>
        </w:r>
      </w:hyperlink>
    </w:p>
    <w:p w14:paraId="340E2D36" w14:textId="77777777" w:rsidR="00D9651A" w:rsidRPr="00D9651A" w:rsidRDefault="00D9651A" w:rsidP="00D9651A">
      <w:pPr>
        <w:numPr>
          <w:ilvl w:val="0"/>
          <w:numId w:val="11"/>
        </w:numPr>
      </w:pPr>
      <w:r w:rsidRPr="00D9651A">
        <w:t>Addo, R. A. 2016. Assistive technologies in reducing caregiver burden among informal caregivers of older adults: a systematic review. Disability and Rehabilitation: Assistive Technology 11(5), 353–360.</w:t>
      </w:r>
    </w:p>
    <w:p w14:paraId="1EE94297" w14:textId="77777777" w:rsidR="00D9651A" w:rsidRPr="00D9651A" w:rsidRDefault="00D9651A" w:rsidP="00D9651A">
      <w:pPr>
        <w:numPr>
          <w:ilvl w:val="0"/>
          <w:numId w:val="11"/>
        </w:numPr>
      </w:pPr>
      <w:r w:rsidRPr="00D9651A">
        <w:t>Adolfsson, M. 2011. Applying the ICF-CY to identify everyday life situations of children and youth with disabilities [PhD thesis]. Jönköping University.</w:t>
      </w:r>
    </w:p>
    <w:p w14:paraId="75AC69C1" w14:textId="77777777" w:rsidR="00D9651A" w:rsidRPr="00D9651A" w:rsidRDefault="00D9651A" w:rsidP="00D9651A">
      <w:pPr>
        <w:numPr>
          <w:ilvl w:val="0"/>
          <w:numId w:val="11"/>
        </w:numPr>
      </w:pPr>
      <w:proofErr w:type="spellStart"/>
      <w:r w:rsidRPr="00D9651A">
        <w:t>Alashram</w:t>
      </w:r>
      <w:proofErr w:type="spellEnd"/>
      <w:r w:rsidRPr="00D9651A">
        <w:t xml:space="preserve">, A. R., Annino, G., and Padua, E. 2021. Robot-assisted gait training in individuals with spinal cord injury: A systematic review for the clinical effectiveness of </w:t>
      </w:r>
      <w:proofErr w:type="spellStart"/>
      <w:r w:rsidRPr="00D9651A">
        <w:t>Lokomat</w:t>
      </w:r>
      <w:proofErr w:type="spellEnd"/>
      <w:r w:rsidRPr="00D9651A">
        <w:t xml:space="preserve">. Journal of Clinical Neuroscience 91, 260–269. DOI: </w:t>
      </w:r>
      <w:hyperlink r:id="rId7" w:tgtFrame="_blank" w:history="1">
        <w:r w:rsidRPr="00D9651A">
          <w:rPr>
            <w:rStyle w:val="Hyperlink"/>
          </w:rPr>
          <w:t>https://doi.org/10.1016/j.jocn.2021.07.019</w:t>
        </w:r>
      </w:hyperlink>
    </w:p>
    <w:p w14:paraId="7261F537" w14:textId="77777777" w:rsidR="00D9651A" w:rsidRPr="00D9651A" w:rsidRDefault="00D9651A" w:rsidP="00D9651A">
      <w:pPr>
        <w:numPr>
          <w:ilvl w:val="0"/>
          <w:numId w:val="11"/>
        </w:numPr>
      </w:pPr>
      <w:r w:rsidRPr="00D9651A">
        <w:t xml:space="preserve">Albala, S. A., </w:t>
      </w:r>
      <w:proofErr w:type="spellStart"/>
      <w:r w:rsidRPr="00D9651A">
        <w:t>Kasteng</w:t>
      </w:r>
      <w:proofErr w:type="spellEnd"/>
      <w:r w:rsidRPr="00D9651A">
        <w:t>, F., Eide, A. H., and Kattel, R. 2021. Scoping review of economic evaluations of assistive technology globally. Assistive Technology 33(sup1), 50–67.</w:t>
      </w:r>
    </w:p>
    <w:p w14:paraId="33093299" w14:textId="77777777" w:rsidR="00D9651A" w:rsidRPr="00D9651A" w:rsidRDefault="00D9651A" w:rsidP="00D9651A">
      <w:pPr>
        <w:numPr>
          <w:ilvl w:val="0"/>
          <w:numId w:val="11"/>
        </w:numPr>
      </w:pPr>
      <w:r w:rsidRPr="00D9651A">
        <w:t xml:space="preserve">Altin, N., MacLachlan, J., Phenix, A., and Nixon, S. 2019. Colonization, climate, and critical analysis: Examining access to assistive technology in Northern Canada using the World Health Organization’s Global Cooperation on Assistive Technology initiative. In N. Layton, J. Borg (Eds.), Global perspectives on assistive technology: proceedings of the </w:t>
      </w:r>
      <w:proofErr w:type="spellStart"/>
      <w:r w:rsidRPr="00D9651A">
        <w:t>GReAT</w:t>
      </w:r>
      <w:proofErr w:type="spellEnd"/>
      <w:r w:rsidRPr="00D9651A">
        <w:t xml:space="preserve"> </w:t>
      </w:r>
      <w:r w:rsidRPr="00D9651A">
        <w:lastRenderedPageBreak/>
        <w:t>Consultation 2019, World Health Organization, Geneva, Switzerland, 22–23 August 2019. Volume A.</w:t>
      </w:r>
    </w:p>
    <w:p w14:paraId="02E6D58D" w14:textId="77777777" w:rsidR="00D9651A" w:rsidRPr="00D9651A" w:rsidRDefault="00D9651A" w:rsidP="00D9651A">
      <w:pPr>
        <w:numPr>
          <w:ilvl w:val="0"/>
          <w:numId w:val="11"/>
        </w:numPr>
      </w:pPr>
      <w:r w:rsidRPr="00D9651A">
        <w:t xml:space="preserve">Al-Tayar, R. et al. 2019. A rapid assessment on access to assistive technology in the World Health Organization’s European Region. In N. Layton, J. Borg (Eds.), Global perspectives on assistive technology: proceedings of the </w:t>
      </w:r>
      <w:proofErr w:type="spellStart"/>
      <w:r w:rsidRPr="00D9651A">
        <w:t>GReAT</w:t>
      </w:r>
      <w:proofErr w:type="spellEnd"/>
      <w:r w:rsidRPr="00D9651A">
        <w:t xml:space="preserve"> Consultation 2019, World Health Organization, Geneva, Switzerland, 22–23 August 2019. Volume A.</w:t>
      </w:r>
    </w:p>
    <w:p w14:paraId="6C9B3E03" w14:textId="77777777" w:rsidR="00D9651A" w:rsidRPr="00D9651A" w:rsidRDefault="00D9651A" w:rsidP="00D9651A">
      <w:pPr>
        <w:numPr>
          <w:ilvl w:val="0"/>
          <w:numId w:val="11"/>
        </w:numPr>
      </w:pPr>
      <w:r w:rsidRPr="00D9651A">
        <w:t xml:space="preserve">Ameri, M., Schur, L., Adya, M., Bentley, F. S., McKay, P., and Kruse, D. 2018. The Disability Employment Puzzle: A Field Experiment on Employer Hiring </w:t>
      </w:r>
      <w:proofErr w:type="spellStart"/>
      <w:r w:rsidRPr="00D9651A">
        <w:t>Behavior</w:t>
      </w:r>
      <w:proofErr w:type="spellEnd"/>
      <w:r w:rsidRPr="00D9651A">
        <w:t xml:space="preserve">. </w:t>
      </w:r>
      <w:proofErr w:type="spellStart"/>
      <w:r w:rsidRPr="00D9651A">
        <w:t>ILr</w:t>
      </w:r>
      <w:proofErr w:type="spellEnd"/>
      <w:r w:rsidRPr="00D9651A">
        <w:t xml:space="preserve"> Review 71(2), 329–364. DOI: </w:t>
      </w:r>
      <w:hyperlink r:id="rId8" w:tgtFrame="_blank" w:history="1">
        <w:r w:rsidRPr="00D9651A">
          <w:rPr>
            <w:rStyle w:val="Hyperlink"/>
          </w:rPr>
          <w:t>https://doi.org/10.1177/0019793917717474</w:t>
        </w:r>
      </w:hyperlink>
    </w:p>
    <w:p w14:paraId="1AA6F759" w14:textId="77777777" w:rsidR="00D9651A" w:rsidRPr="00D9651A" w:rsidRDefault="00D9651A" w:rsidP="00D9651A">
      <w:pPr>
        <w:numPr>
          <w:ilvl w:val="0"/>
          <w:numId w:val="11"/>
        </w:numPr>
      </w:pPr>
      <w:r w:rsidRPr="00D9651A">
        <w:t xml:space="preserve">Andrich, R. et al. 2019. Towards a global quality framework for assistive technology service delivery. In N. Layton, J. Borg (Eds.), Global perspectives on assistive technology: proceedings of the </w:t>
      </w:r>
      <w:proofErr w:type="spellStart"/>
      <w:r w:rsidRPr="00D9651A">
        <w:t>GReAT</w:t>
      </w:r>
      <w:proofErr w:type="spellEnd"/>
      <w:r w:rsidRPr="00D9651A">
        <w:t xml:space="preserve"> Consultation 2019, World Health Organization, Geneva, Switzerland, 22–23 August 2019. Volume B.</w:t>
      </w:r>
    </w:p>
    <w:p w14:paraId="126BDE49" w14:textId="77777777" w:rsidR="00D9651A" w:rsidRPr="00D9651A" w:rsidRDefault="00D9651A" w:rsidP="00D9651A">
      <w:pPr>
        <w:numPr>
          <w:ilvl w:val="0"/>
          <w:numId w:val="11"/>
        </w:numPr>
      </w:pPr>
      <w:r w:rsidRPr="00D9651A">
        <w:t xml:space="preserve">Angwin, J., Larson, J., Mattu, S., and Kirchner, L. 2016. Machine Bias: There’s software used across the country to predict future criminals. And it’s biased against blacks. Retrieved from </w:t>
      </w:r>
      <w:hyperlink r:id="rId9" w:tgtFrame="_blank" w:history="1">
        <w:r w:rsidRPr="00D9651A">
          <w:rPr>
            <w:rStyle w:val="Hyperlink"/>
          </w:rPr>
          <w:t>https://www.propublica.org/article/machine-bias-risk-assessments-in-criminal-sentencing</w:t>
        </w:r>
      </w:hyperlink>
      <w:r w:rsidRPr="00D9651A">
        <w:rPr>
          <w:vertAlign w:val="superscript"/>
        </w:rPr>
        <w:t>1</w:t>
      </w:r>
    </w:p>
    <w:p w14:paraId="4F3B5EE6" w14:textId="77777777" w:rsidR="00D9651A" w:rsidRPr="00D9651A" w:rsidRDefault="00D9651A" w:rsidP="00D9651A">
      <w:pPr>
        <w:numPr>
          <w:ilvl w:val="0"/>
          <w:numId w:val="11"/>
        </w:numPr>
      </w:pPr>
      <w:r w:rsidRPr="00D9651A">
        <w:t>Aranda-Jan, C. B. et al. 2019. Mobile technologies as assistive technologies in humanitarian and development contexts. In 2019 IEEE Global Humanitarian Technology Conference. IEEE, Seattle, WA, United States.</w:t>
      </w:r>
    </w:p>
    <w:p w14:paraId="33B4893A" w14:textId="77777777" w:rsidR="00D9651A" w:rsidRPr="00D9651A" w:rsidRDefault="00D9651A" w:rsidP="00D9651A">
      <w:pPr>
        <w:numPr>
          <w:ilvl w:val="0"/>
          <w:numId w:val="11"/>
        </w:numPr>
      </w:pPr>
      <w:proofErr w:type="spellStart"/>
      <w:r w:rsidRPr="00D9651A">
        <w:t>ATScale</w:t>
      </w:r>
      <w:proofErr w:type="spellEnd"/>
      <w:r w:rsidRPr="00D9651A">
        <w:t xml:space="preserve">. 2020. The case for investing in assistive technology. The dramatic economic, health, and social benefits of assisting a billion people to live fulfilling and dignified lives. Geneva. Retrieved from </w:t>
      </w:r>
      <w:hyperlink r:id="rId10" w:tgtFrame="_blank" w:history="1">
        <w:r w:rsidRPr="00D9651A">
          <w:rPr>
            <w:rStyle w:val="Hyperlink"/>
          </w:rPr>
          <w:t>https://atscalepartnership.org/investment-case</w:t>
        </w:r>
      </w:hyperlink>
    </w:p>
    <w:p w14:paraId="30015096" w14:textId="77777777" w:rsidR="00D9651A" w:rsidRPr="00D9651A" w:rsidRDefault="00D9651A" w:rsidP="00D9651A">
      <w:pPr>
        <w:numPr>
          <w:ilvl w:val="0"/>
          <w:numId w:val="11"/>
        </w:numPr>
      </w:pPr>
      <w:r w:rsidRPr="00D9651A">
        <w:t>Banks, L. M., Davey, C., Shakespeare, T., and Kuper, H. 2021. Disability-inclusive responses to COVID-19: Lessons learnt from research on social protection in low- and middle-income countries. World Development 137, 105178.</w:t>
      </w:r>
    </w:p>
    <w:p w14:paraId="3D7D4E27" w14:textId="77777777" w:rsidR="00D9651A" w:rsidRPr="00D9651A" w:rsidRDefault="00D9651A" w:rsidP="00D9651A">
      <w:pPr>
        <w:numPr>
          <w:ilvl w:val="0"/>
          <w:numId w:val="11"/>
        </w:numPr>
      </w:pPr>
      <w:r w:rsidRPr="00D9651A">
        <w:t xml:space="preserve">Bapat, G. M., and Sujatha, S. 2019. Identification and analysis of knee-ankle-foot orthosis design requirements based on a feedback survey of orthosis users in India. Disability and Rehabilitation: Assistive Technology 14(1), 82–90. DOI: </w:t>
      </w:r>
      <w:hyperlink r:id="rId11" w:tgtFrame="_blank" w:history="1">
        <w:r w:rsidRPr="00D9651A">
          <w:rPr>
            <w:rStyle w:val="Hyperlink"/>
          </w:rPr>
          <w:t>https://doi.org/10.1080/17483107.2017.1416187</w:t>
        </w:r>
      </w:hyperlink>
    </w:p>
    <w:p w14:paraId="0B2C08D6" w14:textId="77777777" w:rsidR="00D9651A" w:rsidRPr="00D9651A" w:rsidRDefault="00D9651A" w:rsidP="00D9651A">
      <w:pPr>
        <w:numPr>
          <w:ilvl w:val="0"/>
          <w:numId w:val="11"/>
        </w:numPr>
      </w:pPr>
      <w:r w:rsidRPr="00D9651A">
        <w:t>Battistella, L. R. et al. 2015. Lucy Montoro Rehabilitation Network mobile unit: an alternative public healthcare policy. Disability and Rehabilitation: Assistive Technology 10(4), 309–315.</w:t>
      </w:r>
    </w:p>
    <w:p w14:paraId="335BA4FA" w14:textId="77777777" w:rsidR="00D9651A" w:rsidRPr="00D9651A" w:rsidRDefault="00D9651A" w:rsidP="00D9651A">
      <w:pPr>
        <w:numPr>
          <w:ilvl w:val="0"/>
          <w:numId w:val="11"/>
        </w:numPr>
      </w:pPr>
      <w:proofErr w:type="spellStart"/>
      <w:r w:rsidRPr="00D9651A">
        <w:t>Bedaf</w:t>
      </w:r>
      <w:proofErr w:type="spellEnd"/>
      <w:r w:rsidRPr="00D9651A">
        <w:t xml:space="preserve">, S., </w:t>
      </w:r>
      <w:proofErr w:type="spellStart"/>
      <w:r w:rsidRPr="00D9651A">
        <w:t>Huijnen</w:t>
      </w:r>
      <w:proofErr w:type="spellEnd"/>
      <w:r w:rsidRPr="00D9651A">
        <w:t>, C., van den Heuvel, R., and de Witte, L. 2017. Robots supporting care for elderly people. In P. Encarnacao and A. M. Cook (Eds.), Robotic Assistive Technologies. Principles and Practice. CRC press, London: Taylor and Francis Group.</w:t>
      </w:r>
    </w:p>
    <w:p w14:paraId="5DD4DD3D" w14:textId="77777777" w:rsidR="00D9651A" w:rsidRPr="00D9651A" w:rsidRDefault="00D9651A" w:rsidP="00D9651A">
      <w:pPr>
        <w:numPr>
          <w:ilvl w:val="0"/>
          <w:numId w:val="11"/>
        </w:numPr>
      </w:pPr>
      <w:r w:rsidRPr="00D9651A">
        <w:t xml:space="preserve">Bell, D. and </w:t>
      </w:r>
      <w:proofErr w:type="spellStart"/>
      <w:r w:rsidRPr="00D9651A">
        <w:t>Foiret</w:t>
      </w:r>
      <w:proofErr w:type="spellEnd"/>
      <w:r w:rsidRPr="00D9651A">
        <w:t xml:space="preserve">, J. 2019. The impact of assistive technology on the educational performance of students with hearing impairment: A rapid review of the research. In N. Layton, J. Borg (Eds.), Global perspectives on assistive technology: proceedings of the </w:t>
      </w:r>
      <w:proofErr w:type="spellStart"/>
      <w:r w:rsidRPr="00D9651A">
        <w:t>GReAT</w:t>
      </w:r>
      <w:proofErr w:type="spellEnd"/>
      <w:r w:rsidRPr="00D9651A">
        <w:t xml:space="preserve"> Consultation 2019, World Health Organization, Geneva, Switzerland, 22–23 August 2019. Volume A.</w:t>
      </w:r>
    </w:p>
    <w:p w14:paraId="4A3865DF" w14:textId="77777777" w:rsidR="00D9651A" w:rsidRPr="00D9651A" w:rsidRDefault="00D9651A" w:rsidP="00D9651A">
      <w:pPr>
        <w:numPr>
          <w:ilvl w:val="0"/>
          <w:numId w:val="11"/>
        </w:numPr>
      </w:pPr>
      <w:r w:rsidRPr="00D9651A">
        <w:lastRenderedPageBreak/>
        <w:t xml:space="preserve">Bellamy, R. K. E., Dey, K., Hind, M., Hoffman, S. C., Houde, S., Kannan, K., … Zhang, Y. 2018. AI Fairness 360: An Extensible Toolkit for Detecting, Understanding, and Mitigating Unwanted Algorithmic Bias. Retrieved from </w:t>
      </w:r>
      <w:hyperlink r:id="rId12" w:tgtFrame="_blank" w:history="1">
        <w:r w:rsidRPr="00D9651A">
          <w:rPr>
            <w:rStyle w:val="Hyperlink"/>
          </w:rPr>
          <w:t>http://arxiv.org/abs/1810.01943</w:t>
        </w:r>
      </w:hyperlink>
    </w:p>
    <w:p w14:paraId="70A8E763" w14:textId="77777777" w:rsidR="00D9651A" w:rsidRPr="00D9651A" w:rsidRDefault="00D9651A" w:rsidP="00D9651A">
      <w:pPr>
        <w:numPr>
          <w:ilvl w:val="0"/>
          <w:numId w:val="11"/>
        </w:numPr>
      </w:pPr>
      <w:r w:rsidRPr="00D9651A">
        <w:t xml:space="preserve">Bemelmans, R., </w:t>
      </w:r>
      <w:proofErr w:type="spellStart"/>
      <w:r w:rsidRPr="00D9651A">
        <w:t>Gelderblom</w:t>
      </w:r>
      <w:proofErr w:type="spellEnd"/>
      <w:r w:rsidRPr="00D9651A">
        <w:t xml:space="preserve">, G. J., Jonker, P., and de Witte, L. P. 2015. Effectiveness of Robot Paro in intramural psychogeriatric care: A </w:t>
      </w:r>
      <w:proofErr w:type="spellStart"/>
      <w:r w:rsidRPr="00D9651A">
        <w:t>multicenter</w:t>
      </w:r>
      <w:proofErr w:type="spellEnd"/>
      <w:r w:rsidRPr="00D9651A">
        <w:t xml:space="preserve"> quasi-experimental study. Journal of the American Medical Directors Association 16(11), 946–950. DOI: </w:t>
      </w:r>
      <w:hyperlink r:id="rId13" w:tgtFrame="_blank" w:history="1">
        <w:r w:rsidRPr="00D9651A">
          <w:rPr>
            <w:rStyle w:val="Hyperlink"/>
          </w:rPr>
          <w:t>https://doi.org/10.1016/j.jamda.2015.05.007</w:t>
        </w:r>
      </w:hyperlink>
    </w:p>
    <w:p w14:paraId="1AC1B6D4" w14:textId="77777777" w:rsidR="00D9651A" w:rsidRPr="00D9651A" w:rsidRDefault="00D9651A" w:rsidP="00D9651A">
      <w:pPr>
        <w:numPr>
          <w:ilvl w:val="0"/>
          <w:numId w:val="11"/>
        </w:numPr>
      </w:pPr>
      <w:r w:rsidRPr="00D9651A">
        <w:t>Bensi, N., Bitelli, C., and Hoogerwerf, E. J. 2011. Assistive technologies and other solutions for independence: cost or investment? In Assistive Technology Research Series. Everyday Technology for Independence and Care. IOS Press, Amsterdam.</w:t>
      </w:r>
    </w:p>
    <w:p w14:paraId="148FB238" w14:textId="77777777" w:rsidR="00D9651A" w:rsidRPr="00D9651A" w:rsidRDefault="00D9651A" w:rsidP="00D9651A">
      <w:pPr>
        <w:numPr>
          <w:ilvl w:val="0"/>
          <w:numId w:val="11"/>
        </w:numPr>
      </w:pPr>
      <w:r w:rsidRPr="00D9651A">
        <w:t xml:space="preserve">Berardi, A., Smith, E. M., and Miller, W. C. 2020. Assistive technology use and unmet need in Canada. Disability and Rehabilitation 16(8), 851–856. DOI: </w:t>
      </w:r>
      <w:hyperlink r:id="rId14" w:tgtFrame="_blank" w:history="1">
        <w:r w:rsidRPr="00D9651A">
          <w:rPr>
            <w:rStyle w:val="Hyperlink"/>
          </w:rPr>
          <w:t>https://doi.org/10.1080/17483107.2020.1741703</w:t>
        </w:r>
      </w:hyperlink>
    </w:p>
    <w:p w14:paraId="67B4C198" w14:textId="77777777" w:rsidR="00D9651A" w:rsidRPr="00D9651A" w:rsidRDefault="00D9651A" w:rsidP="00D9651A">
      <w:pPr>
        <w:numPr>
          <w:ilvl w:val="0"/>
          <w:numId w:val="11"/>
        </w:numPr>
      </w:pPr>
      <w:r w:rsidRPr="00D9651A">
        <w:t xml:space="preserve">Blackstone, S. 2009. Communication access across the healthcare continuum. Augmentative Communication News 21(2), 1–16. Retrieved from </w:t>
      </w:r>
      <w:hyperlink r:id="rId15" w:tgtFrame="_blank" w:history="1">
        <w:r w:rsidRPr="00D9651A">
          <w:rPr>
            <w:rStyle w:val="Hyperlink"/>
          </w:rPr>
          <w:t>https://aac-rerc.psu.edu/_userfiles/file/ACN_Pat_Prov.pdf</w:t>
        </w:r>
      </w:hyperlink>
    </w:p>
    <w:p w14:paraId="1C73C75A" w14:textId="77777777" w:rsidR="00D9651A" w:rsidRPr="00D9651A" w:rsidRDefault="00D9651A" w:rsidP="00D9651A">
      <w:pPr>
        <w:numPr>
          <w:ilvl w:val="0"/>
          <w:numId w:val="11"/>
        </w:numPr>
      </w:pPr>
      <w:proofErr w:type="spellStart"/>
      <w:r w:rsidRPr="00D9651A">
        <w:t>Bogunjoko</w:t>
      </w:r>
      <w:proofErr w:type="spellEnd"/>
      <w:r w:rsidRPr="00D9651A">
        <w:t>, T. J. et al. 2018. Impact of middle level eye care personnel on the delivery of eye care services in South-western Nigeria. International Journal of Community Medicine and Public Health 5, 871–9.</w:t>
      </w:r>
    </w:p>
    <w:p w14:paraId="20B38716" w14:textId="77777777" w:rsidR="00D9651A" w:rsidRPr="00D9651A" w:rsidRDefault="00D9651A" w:rsidP="00D9651A">
      <w:pPr>
        <w:numPr>
          <w:ilvl w:val="0"/>
          <w:numId w:val="11"/>
        </w:numPr>
      </w:pPr>
      <w:r w:rsidRPr="00D9651A">
        <w:t>Borg, J., Lindström, A., and Larsson, S. 2009. Assistive technology in developing countries: national and international responsibilities to implement the Convention on the Rights of Persons with Disabilities. The Lancet 374(9704), 1863–1865.</w:t>
      </w:r>
    </w:p>
    <w:p w14:paraId="22522418" w14:textId="77777777" w:rsidR="00D9651A" w:rsidRPr="00D9651A" w:rsidRDefault="00D9651A" w:rsidP="00D9651A">
      <w:pPr>
        <w:numPr>
          <w:ilvl w:val="0"/>
          <w:numId w:val="11"/>
        </w:numPr>
      </w:pPr>
      <w:r w:rsidRPr="00D9651A">
        <w:t xml:space="preserve">Borg, J., and Ostergren, P. 2015. Users’ perspectives on the provision of assistive technologies in Bangladesh: awareness, providers, costs and barriers. Disability and Rehabilitation: Assistive Technology 10(4), 301–308. DOI: </w:t>
      </w:r>
      <w:hyperlink r:id="rId16" w:tgtFrame="_blank" w:history="1">
        <w:r w:rsidRPr="00D9651A">
          <w:rPr>
            <w:rStyle w:val="Hyperlink"/>
          </w:rPr>
          <w:t>https://doi.org/10.3109/17483107.2014.974221</w:t>
        </w:r>
      </w:hyperlink>
    </w:p>
    <w:p w14:paraId="443F8309" w14:textId="77777777" w:rsidR="00D9651A" w:rsidRPr="00D9651A" w:rsidRDefault="00D9651A" w:rsidP="00D9651A">
      <w:pPr>
        <w:numPr>
          <w:ilvl w:val="0"/>
          <w:numId w:val="11"/>
        </w:numPr>
      </w:pPr>
      <w:r w:rsidRPr="00D9651A">
        <w:t>Borg, J. et al. 2012. Assistive technology use is associated with reduced capability poverty: a cross-sectional study in Bangladesh. Disability and Rehabilitation: Assistive Technology 7(2), 112–121.</w:t>
      </w:r>
    </w:p>
    <w:p w14:paraId="5392D3B3" w14:textId="77777777" w:rsidR="00D9651A" w:rsidRPr="00D9651A" w:rsidRDefault="00D9651A" w:rsidP="00D9651A">
      <w:pPr>
        <w:numPr>
          <w:ilvl w:val="0"/>
          <w:numId w:val="11"/>
        </w:numPr>
      </w:pPr>
      <w:r w:rsidRPr="00D9651A">
        <w:t xml:space="preserve">Botelho, F. 2021. Accessibility to digital technology: Virtual barriers, real opportunities. Assistive Technology 33(suppl1), 27–34. DOI: </w:t>
      </w:r>
      <w:hyperlink r:id="rId17" w:tgtFrame="_blank" w:history="1">
        <w:r w:rsidRPr="00D9651A">
          <w:rPr>
            <w:rStyle w:val="Hyperlink"/>
          </w:rPr>
          <w:t>https://doi.org/10.1080/10400435.2021.1945705</w:t>
        </w:r>
      </w:hyperlink>
    </w:p>
    <w:p w14:paraId="42D0554A" w14:textId="77777777" w:rsidR="00D9651A" w:rsidRPr="00D9651A" w:rsidRDefault="00D9651A" w:rsidP="00D9651A">
      <w:pPr>
        <w:numPr>
          <w:ilvl w:val="0"/>
          <w:numId w:val="11"/>
        </w:numPr>
      </w:pPr>
      <w:r w:rsidRPr="00D9651A">
        <w:t>Botelho, F. H. F. 2020. Childhood and Assistive Technology. Growing with opportunity, developing with technology. United Nations Children’s Fund, New York.</w:t>
      </w:r>
    </w:p>
    <w:p w14:paraId="4D64DADD" w14:textId="77777777" w:rsidR="00D9651A" w:rsidRPr="00D9651A" w:rsidRDefault="00D9651A" w:rsidP="00D9651A">
      <w:pPr>
        <w:numPr>
          <w:ilvl w:val="0"/>
          <w:numId w:val="11"/>
        </w:numPr>
      </w:pPr>
      <w:r w:rsidRPr="00D9651A">
        <w:t xml:space="preserve">Brault, M. 2012. Americans With Disabilities: 2010. US Census Bureau, Report Number P70-131. Retrieved from </w:t>
      </w:r>
      <w:hyperlink r:id="rId18" w:tgtFrame="_blank" w:history="1">
        <w:r w:rsidRPr="00D9651A">
          <w:rPr>
            <w:rStyle w:val="Hyperlink"/>
          </w:rPr>
          <w:t>https://www.census.gov/library/publications/2012/demo/p70-131.html</w:t>
        </w:r>
      </w:hyperlink>
    </w:p>
    <w:p w14:paraId="312D281A" w14:textId="77777777" w:rsidR="00D9651A" w:rsidRPr="00D9651A" w:rsidRDefault="00D9651A" w:rsidP="00D9651A">
      <w:pPr>
        <w:numPr>
          <w:ilvl w:val="0"/>
          <w:numId w:val="11"/>
        </w:numPr>
      </w:pPr>
      <w:r w:rsidRPr="00D9651A">
        <w:t>Braun, J. et al. 2019. The promising future of drones in prehospital medical care and its application to battlefield medicine. Journal of Trauma and Acute Care Surgery 87(1S), S28–34.</w:t>
      </w:r>
    </w:p>
    <w:p w14:paraId="2C6842CA" w14:textId="77777777" w:rsidR="00D9651A" w:rsidRPr="00D9651A" w:rsidRDefault="00D9651A" w:rsidP="00D9651A">
      <w:pPr>
        <w:numPr>
          <w:ilvl w:val="0"/>
          <w:numId w:val="11"/>
        </w:numPr>
      </w:pPr>
      <w:r w:rsidRPr="00D9651A">
        <w:lastRenderedPageBreak/>
        <w:t>Bright, T., Wallace, S., and Kuper, H. 2018. A systematic review of access to rehabilitation for people with disabilities in low-and middle-income countries. International Journal of Environmental Research and Public Health 15(10), 2165.</w:t>
      </w:r>
    </w:p>
    <w:p w14:paraId="36D714F4" w14:textId="77777777" w:rsidR="00D9651A" w:rsidRPr="00D9651A" w:rsidRDefault="00D9651A" w:rsidP="00D9651A">
      <w:pPr>
        <w:numPr>
          <w:ilvl w:val="0"/>
          <w:numId w:val="11"/>
        </w:numPr>
      </w:pPr>
      <w:r w:rsidRPr="00D9651A">
        <w:t xml:space="preserve">Brinkerhoff, N., and Bossert, T. J. 2008. Health Governance: Concepts, Experience and Programming Options. US AID, Washington. Retrieved from </w:t>
      </w:r>
      <w:hyperlink r:id="rId19" w:tgtFrame="_blank" w:history="1">
        <w:r w:rsidRPr="00D9651A">
          <w:rPr>
            <w:rStyle w:val="Hyperlink"/>
          </w:rPr>
          <w:t>https://www.hfgproject.org/health-governance-concepts-experience-programming-options/</w:t>
        </w:r>
      </w:hyperlink>
    </w:p>
    <w:p w14:paraId="744B98BF" w14:textId="77777777" w:rsidR="00D9651A" w:rsidRPr="00D9651A" w:rsidRDefault="00D9651A" w:rsidP="00D9651A">
      <w:pPr>
        <w:numPr>
          <w:ilvl w:val="0"/>
          <w:numId w:val="11"/>
        </w:numPr>
      </w:pPr>
      <w:proofErr w:type="spellStart"/>
      <w:r w:rsidRPr="00D9651A">
        <w:t>Buolamwini</w:t>
      </w:r>
      <w:proofErr w:type="spellEnd"/>
      <w:r w:rsidRPr="00D9651A">
        <w:t>, J., and Gebru, T. 2018. Gender Shades: Intersectional Accuracy Disparities in Commercial Gender Classification. Proceedings of Machine Learning Research 81, 1–15.</w:t>
      </w:r>
    </w:p>
    <w:p w14:paraId="132FDBDD" w14:textId="77777777" w:rsidR="00D9651A" w:rsidRPr="00D9651A" w:rsidRDefault="00D9651A" w:rsidP="00D9651A">
      <w:pPr>
        <w:numPr>
          <w:ilvl w:val="0"/>
          <w:numId w:val="11"/>
        </w:numPr>
      </w:pPr>
      <w:r w:rsidRPr="00D9651A">
        <w:t>Burton, H., and McLaren, D. G. 2006. Visual Cortex021. There Plant Eyes. Pantheon.</w:t>
      </w:r>
    </w:p>
    <w:p w14:paraId="2E126628" w14:textId="77777777" w:rsidR="00D9651A" w:rsidRPr="00D9651A" w:rsidRDefault="00D9651A" w:rsidP="00D9651A">
      <w:pPr>
        <w:numPr>
          <w:ilvl w:val="0"/>
          <w:numId w:val="11"/>
        </w:numPr>
      </w:pPr>
      <w:r w:rsidRPr="00D9651A">
        <w:t>Burton, M. J. et al. 2021. The Lancet Global Health Commission on Global Eye Health: vision beyond 2020. The Lancet Global Health 9(4), E489–E551.</w:t>
      </w:r>
    </w:p>
    <w:p w14:paraId="12E5E134" w14:textId="77777777" w:rsidR="00D9651A" w:rsidRPr="00D9651A" w:rsidRDefault="00D9651A" w:rsidP="00D9651A">
      <w:pPr>
        <w:numPr>
          <w:ilvl w:val="0"/>
          <w:numId w:val="11"/>
        </w:numPr>
      </w:pPr>
      <w:r w:rsidRPr="00D9651A">
        <w:t>Carnemolla, P., and Bridge, C. 2020. A scoping review of home modification interventions – Mapping the evidence base. Indoor and Built Environment 29(3), 299–310.</w:t>
      </w:r>
    </w:p>
    <w:p w14:paraId="17FD451C" w14:textId="77777777" w:rsidR="00D9651A" w:rsidRPr="00D9651A" w:rsidRDefault="00D9651A" w:rsidP="00D9651A">
      <w:pPr>
        <w:numPr>
          <w:ilvl w:val="0"/>
          <w:numId w:val="11"/>
        </w:numPr>
      </w:pPr>
      <w:proofErr w:type="spellStart"/>
      <w:r w:rsidRPr="00D9651A">
        <w:t>Center</w:t>
      </w:r>
      <w:proofErr w:type="spellEnd"/>
      <w:r w:rsidRPr="00D9651A">
        <w:t xml:space="preserve"> for Inclusive Design and Environmental Access. 2012. What is universal design? Retrieved from </w:t>
      </w:r>
      <w:hyperlink r:id="rId20" w:tgtFrame="_blank" w:history="1">
        <w:r w:rsidRPr="00D9651A">
          <w:rPr>
            <w:rStyle w:val="Hyperlink"/>
          </w:rPr>
          <w:t>http://idea.ap.buffalo.edu/about/universal-design/</w:t>
        </w:r>
      </w:hyperlink>
    </w:p>
    <w:p w14:paraId="6A510601" w14:textId="77777777" w:rsidR="00D9651A" w:rsidRPr="00D9651A" w:rsidRDefault="00D9651A" w:rsidP="00D9651A">
      <w:pPr>
        <w:numPr>
          <w:ilvl w:val="0"/>
          <w:numId w:val="11"/>
        </w:numPr>
      </w:pPr>
      <w:proofErr w:type="spellStart"/>
      <w:r w:rsidRPr="00D9651A">
        <w:t>Centers</w:t>
      </w:r>
      <w:proofErr w:type="spellEnd"/>
      <w:r w:rsidRPr="00D9651A">
        <w:t xml:space="preserve"> for Disease Control and Prevention. 2021. Older adult fall prevention. Atlanta. Retrieved from [</w:t>
      </w:r>
      <w:hyperlink r:id="rId21" w:tgtFrame="_blank" w:history="1">
        <w:r w:rsidRPr="00D9651A">
          <w:rPr>
            <w:rStyle w:val="Hyperlink"/>
          </w:rPr>
          <w:t>https://www.cdc.gov/homeandrecreationalsafety/falls/adultfalls.html</w:t>
        </w:r>
      </w:hyperlink>
      <w:r w:rsidRPr="00D9651A">
        <w:t>](</w:t>
      </w:r>
      <w:hyperlink r:id="rId22" w:tgtFrame="_blank" w:history="1">
        <w:r w:rsidRPr="00D9651A">
          <w:rPr>
            <w:rStyle w:val="Hyperlink"/>
          </w:rPr>
          <w:t>https://www.cdc.gov/homeandrecreationalsafety/falls/adultfalls</w:t>
        </w:r>
      </w:hyperlink>
      <w:r w:rsidRPr="00D9651A">
        <w:t>.</w:t>
      </w:r>
    </w:p>
    <w:p w14:paraId="2CEB3D3C" w14:textId="42187BAE" w:rsidR="00207344" w:rsidRPr="00207344" w:rsidRDefault="00207344" w:rsidP="00D9651A"/>
    <w:sectPr w:rsidR="00207344" w:rsidRPr="00207344" w:rsidSect="00F55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D3C"/>
    <w:multiLevelType w:val="multilevel"/>
    <w:tmpl w:val="59D0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E0755"/>
    <w:multiLevelType w:val="multilevel"/>
    <w:tmpl w:val="CD4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D65FD"/>
    <w:multiLevelType w:val="multilevel"/>
    <w:tmpl w:val="DDF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74B61"/>
    <w:multiLevelType w:val="multilevel"/>
    <w:tmpl w:val="06B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174D6"/>
    <w:multiLevelType w:val="multilevel"/>
    <w:tmpl w:val="31D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B4688"/>
    <w:multiLevelType w:val="multilevel"/>
    <w:tmpl w:val="09CC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03752"/>
    <w:multiLevelType w:val="multilevel"/>
    <w:tmpl w:val="2B7A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B2DB9"/>
    <w:multiLevelType w:val="multilevel"/>
    <w:tmpl w:val="8B6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F29C9"/>
    <w:multiLevelType w:val="multilevel"/>
    <w:tmpl w:val="7122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BC6875"/>
    <w:multiLevelType w:val="multilevel"/>
    <w:tmpl w:val="5E6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B3077"/>
    <w:multiLevelType w:val="multilevel"/>
    <w:tmpl w:val="1C54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629093">
    <w:abstractNumId w:val="9"/>
  </w:num>
  <w:num w:numId="2" w16cid:durableId="1489177035">
    <w:abstractNumId w:val="4"/>
  </w:num>
  <w:num w:numId="3" w16cid:durableId="728725970">
    <w:abstractNumId w:val="8"/>
  </w:num>
  <w:num w:numId="4" w16cid:durableId="1904563456">
    <w:abstractNumId w:val="0"/>
  </w:num>
  <w:num w:numId="5" w16cid:durableId="363099320">
    <w:abstractNumId w:val="2"/>
  </w:num>
  <w:num w:numId="6" w16cid:durableId="37242148">
    <w:abstractNumId w:val="1"/>
  </w:num>
  <w:num w:numId="7" w16cid:durableId="43260343">
    <w:abstractNumId w:val="5"/>
  </w:num>
  <w:num w:numId="8" w16cid:durableId="1151092529">
    <w:abstractNumId w:val="6"/>
  </w:num>
  <w:num w:numId="9" w16cid:durableId="14894501">
    <w:abstractNumId w:val="10"/>
  </w:num>
  <w:num w:numId="10" w16cid:durableId="887958578">
    <w:abstractNumId w:val="3"/>
  </w:num>
  <w:num w:numId="11" w16cid:durableId="8036979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71"/>
    <w:rsid w:val="00207344"/>
    <w:rsid w:val="00760C2E"/>
    <w:rsid w:val="00763123"/>
    <w:rsid w:val="00783471"/>
    <w:rsid w:val="00973C00"/>
    <w:rsid w:val="00D9651A"/>
    <w:rsid w:val="00F555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16D2"/>
  <w15:chartTrackingRefBased/>
  <w15:docId w15:val="{DD8FD8E0-823A-4425-91D4-7082A9D14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4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4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4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4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4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4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4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4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4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4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471"/>
    <w:rPr>
      <w:rFonts w:eastAsiaTheme="majorEastAsia" w:cstheme="majorBidi"/>
      <w:color w:val="272727" w:themeColor="text1" w:themeTint="D8"/>
    </w:rPr>
  </w:style>
  <w:style w:type="paragraph" w:styleId="Title">
    <w:name w:val="Title"/>
    <w:basedOn w:val="Normal"/>
    <w:next w:val="Normal"/>
    <w:link w:val="TitleChar"/>
    <w:uiPriority w:val="10"/>
    <w:qFormat/>
    <w:rsid w:val="00783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471"/>
    <w:pPr>
      <w:spacing w:before="160"/>
      <w:jc w:val="center"/>
    </w:pPr>
    <w:rPr>
      <w:i/>
      <w:iCs/>
      <w:color w:val="404040" w:themeColor="text1" w:themeTint="BF"/>
    </w:rPr>
  </w:style>
  <w:style w:type="character" w:customStyle="1" w:styleId="QuoteChar">
    <w:name w:val="Quote Char"/>
    <w:basedOn w:val="DefaultParagraphFont"/>
    <w:link w:val="Quote"/>
    <w:uiPriority w:val="29"/>
    <w:rsid w:val="00783471"/>
    <w:rPr>
      <w:i/>
      <w:iCs/>
      <w:color w:val="404040" w:themeColor="text1" w:themeTint="BF"/>
    </w:rPr>
  </w:style>
  <w:style w:type="paragraph" w:styleId="ListParagraph">
    <w:name w:val="List Paragraph"/>
    <w:basedOn w:val="Normal"/>
    <w:uiPriority w:val="34"/>
    <w:qFormat/>
    <w:rsid w:val="00783471"/>
    <w:pPr>
      <w:ind w:left="720"/>
      <w:contextualSpacing/>
    </w:pPr>
  </w:style>
  <w:style w:type="character" w:styleId="IntenseEmphasis">
    <w:name w:val="Intense Emphasis"/>
    <w:basedOn w:val="DefaultParagraphFont"/>
    <w:uiPriority w:val="21"/>
    <w:qFormat/>
    <w:rsid w:val="00783471"/>
    <w:rPr>
      <w:i/>
      <w:iCs/>
      <w:color w:val="2F5496" w:themeColor="accent1" w:themeShade="BF"/>
    </w:rPr>
  </w:style>
  <w:style w:type="paragraph" w:styleId="IntenseQuote">
    <w:name w:val="Intense Quote"/>
    <w:basedOn w:val="Normal"/>
    <w:next w:val="Normal"/>
    <w:link w:val="IntenseQuoteChar"/>
    <w:uiPriority w:val="30"/>
    <w:qFormat/>
    <w:rsid w:val="007834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471"/>
    <w:rPr>
      <w:i/>
      <w:iCs/>
      <w:color w:val="2F5496" w:themeColor="accent1" w:themeShade="BF"/>
    </w:rPr>
  </w:style>
  <w:style w:type="character" w:styleId="IntenseReference">
    <w:name w:val="Intense Reference"/>
    <w:basedOn w:val="DefaultParagraphFont"/>
    <w:uiPriority w:val="32"/>
    <w:qFormat/>
    <w:rsid w:val="00783471"/>
    <w:rPr>
      <w:b/>
      <w:bCs/>
      <w:smallCaps/>
      <w:color w:val="2F5496" w:themeColor="accent1" w:themeShade="BF"/>
      <w:spacing w:val="5"/>
    </w:rPr>
  </w:style>
  <w:style w:type="character" w:styleId="Hyperlink">
    <w:name w:val="Hyperlink"/>
    <w:basedOn w:val="DefaultParagraphFont"/>
    <w:uiPriority w:val="99"/>
    <w:unhideWhenUsed/>
    <w:rsid w:val="00783471"/>
    <w:rPr>
      <w:color w:val="0563C1" w:themeColor="hyperlink"/>
      <w:u w:val="single"/>
    </w:rPr>
  </w:style>
  <w:style w:type="character" w:styleId="UnresolvedMention">
    <w:name w:val="Unresolved Mention"/>
    <w:basedOn w:val="DefaultParagraphFont"/>
    <w:uiPriority w:val="99"/>
    <w:semiHidden/>
    <w:unhideWhenUsed/>
    <w:rsid w:val="00783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2937">
      <w:bodyDiv w:val="1"/>
      <w:marLeft w:val="0"/>
      <w:marRight w:val="0"/>
      <w:marTop w:val="0"/>
      <w:marBottom w:val="0"/>
      <w:divBdr>
        <w:top w:val="none" w:sz="0" w:space="0" w:color="auto"/>
        <w:left w:val="none" w:sz="0" w:space="0" w:color="auto"/>
        <w:bottom w:val="none" w:sz="0" w:space="0" w:color="auto"/>
        <w:right w:val="none" w:sz="0" w:space="0" w:color="auto"/>
      </w:divBdr>
    </w:div>
    <w:div w:id="523055990">
      <w:bodyDiv w:val="1"/>
      <w:marLeft w:val="0"/>
      <w:marRight w:val="0"/>
      <w:marTop w:val="0"/>
      <w:marBottom w:val="0"/>
      <w:divBdr>
        <w:top w:val="none" w:sz="0" w:space="0" w:color="auto"/>
        <w:left w:val="none" w:sz="0" w:space="0" w:color="auto"/>
        <w:bottom w:val="none" w:sz="0" w:space="0" w:color="auto"/>
        <w:right w:val="none" w:sz="0" w:space="0" w:color="auto"/>
      </w:divBdr>
    </w:div>
    <w:div w:id="584144226">
      <w:bodyDiv w:val="1"/>
      <w:marLeft w:val="0"/>
      <w:marRight w:val="0"/>
      <w:marTop w:val="0"/>
      <w:marBottom w:val="0"/>
      <w:divBdr>
        <w:top w:val="none" w:sz="0" w:space="0" w:color="auto"/>
        <w:left w:val="none" w:sz="0" w:space="0" w:color="auto"/>
        <w:bottom w:val="none" w:sz="0" w:space="0" w:color="auto"/>
        <w:right w:val="none" w:sz="0" w:space="0" w:color="auto"/>
      </w:divBdr>
    </w:div>
    <w:div w:id="615140672">
      <w:bodyDiv w:val="1"/>
      <w:marLeft w:val="0"/>
      <w:marRight w:val="0"/>
      <w:marTop w:val="0"/>
      <w:marBottom w:val="0"/>
      <w:divBdr>
        <w:top w:val="none" w:sz="0" w:space="0" w:color="auto"/>
        <w:left w:val="none" w:sz="0" w:space="0" w:color="auto"/>
        <w:bottom w:val="none" w:sz="0" w:space="0" w:color="auto"/>
        <w:right w:val="none" w:sz="0" w:space="0" w:color="auto"/>
      </w:divBdr>
    </w:div>
    <w:div w:id="989361447">
      <w:bodyDiv w:val="1"/>
      <w:marLeft w:val="0"/>
      <w:marRight w:val="0"/>
      <w:marTop w:val="0"/>
      <w:marBottom w:val="0"/>
      <w:divBdr>
        <w:top w:val="none" w:sz="0" w:space="0" w:color="auto"/>
        <w:left w:val="none" w:sz="0" w:space="0" w:color="auto"/>
        <w:bottom w:val="none" w:sz="0" w:space="0" w:color="auto"/>
        <w:right w:val="none" w:sz="0" w:space="0" w:color="auto"/>
      </w:divBdr>
    </w:div>
    <w:div w:id="1193377594">
      <w:bodyDiv w:val="1"/>
      <w:marLeft w:val="0"/>
      <w:marRight w:val="0"/>
      <w:marTop w:val="0"/>
      <w:marBottom w:val="0"/>
      <w:divBdr>
        <w:top w:val="none" w:sz="0" w:space="0" w:color="auto"/>
        <w:left w:val="none" w:sz="0" w:space="0" w:color="auto"/>
        <w:bottom w:val="none" w:sz="0" w:space="0" w:color="auto"/>
        <w:right w:val="none" w:sz="0" w:space="0" w:color="auto"/>
      </w:divBdr>
    </w:div>
    <w:div w:id="1599945053">
      <w:bodyDiv w:val="1"/>
      <w:marLeft w:val="0"/>
      <w:marRight w:val="0"/>
      <w:marTop w:val="0"/>
      <w:marBottom w:val="0"/>
      <w:divBdr>
        <w:top w:val="none" w:sz="0" w:space="0" w:color="auto"/>
        <w:left w:val="none" w:sz="0" w:space="0" w:color="auto"/>
        <w:bottom w:val="none" w:sz="0" w:space="0" w:color="auto"/>
        <w:right w:val="none" w:sz="0" w:space="0" w:color="auto"/>
      </w:divBdr>
    </w:div>
    <w:div w:id="197009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19793917717474" TargetMode="External"/><Relationship Id="rId13" Type="http://schemas.openxmlformats.org/officeDocument/2006/relationships/hyperlink" Target="https://doi.org/10.1016/j.jamda.2015.05.007" TargetMode="External"/><Relationship Id="rId18" Type="http://schemas.openxmlformats.org/officeDocument/2006/relationships/hyperlink" Target="https://www.census.gov/library/publications/2012/demo/p70-131.html" TargetMode="External"/><Relationship Id="rId3" Type="http://schemas.openxmlformats.org/officeDocument/2006/relationships/settings" Target="settings.xml"/><Relationship Id="rId21" Type="http://schemas.openxmlformats.org/officeDocument/2006/relationships/hyperlink" Target="https://www.cdc.gov/homeandrecreationalsafety/falls/adultfalls.html" TargetMode="External"/><Relationship Id="rId7" Type="http://schemas.openxmlformats.org/officeDocument/2006/relationships/hyperlink" Target="https://doi.org/10.1016/j.jocn.2021.07.019" TargetMode="External"/><Relationship Id="rId12" Type="http://schemas.openxmlformats.org/officeDocument/2006/relationships/hyperlink" Target="http://arxiv.org/abs/1810.01943" TargetMode="External"/><Relationship Id="rId17" Type="http://schemas.openxmlformats.org/officeDocument/2006/relationships/hyperlink" Target="https://doi.org/10.1080/10400435.2021.1945705" TargetMode="External"/><Relationship Id="rId2" Type="http://schemas.openxmlformats.org/officeDocument/2006/relationships/styles" Target="styles.xml"/><Relationship Id="rId16" Type="http://schemas.openxmlformats.org/officeDocument/2006/relationships/hyperlink" Target="https://doi.org/10.3109/17483107.2014.974221" TargetMode="External"/><Relationship Id="rId20" Type="http://schemas.openxmlformats.org/officeDocument/2006/relationships/hyperlink" Target="http://idea.ap.buffalo.edu/about/universal-design/" TargetMode="External"/><Relationship Id="rId1" Type="http://schemas.openxmlformats.org/officeDocument/2006/relationships/numbering" Target="numbering.xml"/><Relationship Id="rId6" Type="http://schemas.openxmlformats.org/officeDocument/2006/relationships/hyperlink" Target="https://adata.org/factsheet/health-care-and-ada" TargetMode="External"/><Relationship Id="rId11" Type="http://schemas.openxmlformats.org/officeDocument/2006/relationships/hyperlink" Target="https://doi.org/10.1080/17483107.2017.1416187" TargetMode="External"/><Relationship Id="rId24" Type="http://schemas.openxmlformats.org/officeDocument/2006/relationships/theme" Target="theme/theme1.xml"/><Relationship Id="rId5" Type="http://schemas.openxmlformats.org/officeDocument/2006/relationships/hyperlink" Target="https://www.accenture.com/_acnmedia/PDF-89/Accenture-Disability-Inclusion-Research-Report.pdf" TargetMode="External"/><Relationship Id="rId15" Type="http://schemas.openxmlformats.org/officeDocument/2006/relationships/hyperlink" Target="https://aac-rerc.psu.edu/_userfiles/file/ACN_Pat_Prov.pdf" TargetMode="External"/><Relationship Id="rId23" Type="http://schemas.openxmlformats.org/officeDocument/2006/relationships/fontTable" Target="fontTable.xml"/><Relationship Id="rId10" Type="http://schemas.openxmlformats.org/officeDocument/2006/relationships/hyperlink" Target="https://atscalepartnership.org/investment-case" TargetMode="External"/><Relationship Id="rId19" Type="http://schemas.openxmlformats.org/officeDocument/2006/relationships/hyperlink" Target="https://www.hfgproject.org/health-governance-concepts-experience-programming-options/" TargetMode="External"/><Relationship Id="rId4" Type="http://schemas.openxmlformats.org/officeDocument/2006/relationships/webSettings" Target="webSettings.xml"/><Relationship Id="rId9" Type="http://schemas.openxmlformats.org/officeDocument/2006/relationships/hyperlink" Target="https://www.propublica.org/article/machine-bias-risk-assessments-in-criminal-sentencing" TargetMode="External"/><Relationship Id="rId14" Type="http://schemas.openxmlformats.org/officeDocument/2006/relationships/hyperlink" Target="https://doi.org/10.1080/17483107.2020.1741703" TargetMode="External"/><Relationship Id="rId22" Type="http://schemas.openxmlformats.org/officeDocument/2006/relationships/hyperlink" Target="https://www.google.com/search?q=https://www.cdc.gov/homeandrecreationalsafety/falls/adultfa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4775</Words>
  <Characters>32664</Characters>
  <Application>Microsoft Office Word</Application>
  <DocSecurity>0</DocSecurity>
  <Lines>398</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Sugavanam Aatreya</dc:creator>
  <cp:keywords/>
  <dc:description/>
  <cp:lastModifiedBy>Sugavanam Aatreya</cp:lastModifiedBy>
  <cp:revision>1</cp:revision>
  <dcterms:created xsi:type="dcterms:W3CDTF">2025-06-14T04:42:00Z</dcterms:created>
  <dcterms:modified xsi:type="dcterms:W3CDTF">2025-06-14T07:52:00Z</dcterms:modified>
</cp:coreProperties>
</file>