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center"/>
        <w:tblLayout w:type="fixed"/>
        <w:tblLook w:val="0400"/>
      </w:tblPr>
      <w:tblGrid>
        <w:gridCol w:w="2055"/>
        <w:gridCol w:w="992"/>
        <w:gridCol w:w="2623"/>
        <w:gridCol w:w="1063"/>
        <w:gridCol w:w="2904"/>
        <w:tblGridChange w:id="0">
          <w:tblGrid>
            <w:gridCol w:w="2055"/>
            <w:gridCol w:w="992"/>
            <w:gridCol w:w="2623"/>
            <w:gridCol w:w="1063"/>
            <w:gridCol w:w="2904"/>
          </w:tblGrid>
        </w:tblGridChange>
      </w:tblGrid>
      <w:tr>
        <w:trPr>
          <w:trHeight w:val="6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b w:val="1"/>
                <w:sz w:val="20"/>
                <w:szCs w:val="20"/>
                <w:rtl w:val="0"/>
              </w:rPr>
              <w:t xml:space="preserve">Condición externa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b w:val="1"/>
                <w:sz w:val="20"/>
                <w:szCs w:val="20"/>
                <w:rtl w:val="0"/>
              </w:rPr>
              <w:t xml:space="preserve">Clases de equivalencia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b w:val="1"/>
                <w:sz w:val="20"/>
                <w:szCs w:val="20"/>
                <w:rtl w:val="0"/>
              </w:rPr>
              <w:t xml:space="preserve">Clases de equivalencia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b w:val="1"/>
                <w:sz w:val="20"/>
                <w:szCs w:val="20"/>
                <w:rtl w:val="0"/>
              </w:rPr>
              <w:t xml:space="preserve">Clases de equivalencia de entrada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Precio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Precio &gt; 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Precio &lt;= 0</w:t>
            </w:r>
          </w:p>
        </w:tc>
      </w:tr>
      <w:tr>
        <w:trPr>
          <w:trHeight w:val="6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Cantidad de decimales = 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XXX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Precio &gt;= Precio de un sector más alejado del escenario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Precio &lt; Precio de un sector más alejado del escenario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Precio &lt;= Precio de un sector más cercano al escenario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Precio &gt; Precio de un sector más cercano al escenario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Cantidad de decimales !=2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No ingresa valor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Sector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Letra mayúscula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Valor numérico o simbólico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No ingresa sector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Tipo de entrada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XXXXX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Valor numérico o simbólico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No ingresa tipo de entrada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Fecha de Noche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dd/mm/aaaa correspondiente a un valor entre fin de año y el día de hoy 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dd/mm/aaaa en el pasado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Fecha corresponde a una noche de un festival vigente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Fecha ingresada no corresponde a festival vigente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Día con formato no válido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No ingresa Fecha Noche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aaaa en el futuro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center"/>
        <w:tblLayout w:type="fixed"/>
        <w:tblLook w:val="0400"/>
      </w:tblPr>
      <w:tblGrid>
        <w:gridCol w:w="2055"/>
        <w:gridCol w:w="992"/>
        <w:gridCol w:w="2623"/>
        <w:gridCol w:w="1063"/>
        <w:gridCol w:w="2904"/>
        <w:tblGridChange w:id="0">
          <w:tblGrid>
            <w:gridCol w:w="2055"/>
            <w:gridCol w:w="992"/>
            <w:gridCol w:w="2623"/>
            <w:gridCol w:w="1063"/>
            <w:gridCol w:w="2904"/>
          </w:tblGrid>
        </w:tblGridChange>
      </w:tblGrid>
      <w:tr>
        <w:trPr>
          <w:trHeight w:val="6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b w:val="1"/>
                <w:sz w:val="20"/>
                <w:szCs w:val="20"/>
                <w:rtl w:val="0"/>
              </w:rPr>
              <w:t xml:space="preserve">Condición externa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b w:val="1"/>
                <w:sz w:val="20"/>
                <w:szCs w:val="20"/>
                <w:rtl w:val="0"/>
              </w:rPr>
              <w:t xml:space="preserve">Clases de equivalencia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b w:val="1"/>
                <w:sz w:val="20"/>
                <w:szCs w:val="20"/>
                <w:rtl w:val="0"/>
              </w:rPr>
              <w:t xml:space="preserve">Clases de equivalencia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b w:val="1"/>
                <w:sz w:val="20"/>
                <w:szCs w:val="20"/>
                <w:rtl w:val="0"/>
              </w:rPr>
              <w:t xml:space="preserve">Clases de equivalencia de salida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Mensajes de registro de precio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Mensaje indicando un registro de precio exitoso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Error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Mensaje indicando fecha de noche inválida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Mensaje indicando tipo de entrada inválido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Mensaje indicando sector inválido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Ebrima" w:cs="Ebrima" w:eastAsia="Ebrima" w:hAnsi="Ebrima"/>
                <w:i w:val="1"/>
                <w:sz w:val="20"/>
                <w:szCs w:val="20"/>
                <w:rtl w:val="0"/>
              </w:rPr>
              <w:t xml:space="preserve">Mensaje indicando precio inválido</w:t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Ebrima" w:cs="Ebrima" w:eastAsia="Ebrima" w:hAnsi="Ebri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  <w:rPr>
          <w:rFonts w:ascii="Ebrima" w:cs="Ebrima" w:eastAsia="Ebrima" w:hAnsi="Ebrima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Ebrima" w:cs="Ebrima" w:eastAsia="Ebrima" w:hAnsi="Ebrima"/>
          <w:b w:val="1"/>
          <w:sz w:val="20"/>
          <w:szCs w:val="20"/>
        </w:rPr>
      </w:pPr>
      <w:r w:rsidDel="00000000" w:rsidR="00000000" w:rsidRPr="00000000">
        <w:rPr>
          <w:rFonts w:ascii="Ebrima" w:cs="Ebrima" w:eastAsia="Ebrima" w:hAnsi="Ebrima"/>
          <w:b w:val="1"/>
          <w:sz w:val="20"/>
          <w:szCs w:val="20"/>
          <w:rtl w:val="0"/>
        </w:rPr>
        <w:t xml:space="preserve">Planilla de casos de prueba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A0"/>
      </w:tblPr>
      <w:tblGrid>
        <w:gridCol w:w="720"/>
        <w:gridCol w:w="840"/>
        <w:gridCol w:w="1305"/>
        <w:gridCol w:w="1695"/>
        <w:gridCol w:w="2940"/>
        <w:gridCol w:w="2730"/>
        <w:tblGridChange w:id="0">
          <w:tblGrid>
            <w:gridCol w:w="720"/>
            <w:gridCol w:w="840"/>
            <w:gridCol w:w="1305"/>
            <w:gridCol w:w="1695"/>
            <w:gridCol w:w="2940"/>
            <w:gridCol w:w="2730"/>
          </w:tblGrid>
        </w:tblGridChange>
      </w:tblGrid>
      <w:tr>
        <w:tc>
          <w:tcPr>
            <w:shd w:fill="2da2b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Id del Caso de Prueba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Prioridad (Alta, Media, Baja)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Nombre del Caso de Prueba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Precondiciones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Pasos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Resultado esperado</w:t>
            </w:r>
          </w:p>
        </w:tc>
      </w:tr>
      <w:tr>
        <w:trPr>
          <w:trHeight w:val="1920" w:hRule="atLeast"/>
        </w:trPr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precios para una noche, sector y tipo de entrada / Festival vigente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ind w:right="65.99999999999966"/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- Usuario logueado como responsable de festival</w:t>
            </w:r>
          </w:p>
          <w:p w:rsidR="00000000" w:rsidDel="00000000" w:rsidP="00000000" w:rsidRDefault="00000000" w:rsidRPr="00000000">
            <w:pPr>
              <w:ind w:right="65.99999999999966"/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- </w:t>
            </w: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Noche = “23/12/2017”, sector = “A”, Tipo de Entrada = “Menor”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1- El Responsable de Festival selecciona la opción “Definir Precios para una noche, sector y tipo de entrada.”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2- El RF ingresa en Noche = “23/12/2017”.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3- El RF ingresa sector = “A”.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4- El RF ingresa Tipo de Entrada = “Menor”.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5- El RF ingresa precio = $350,00.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6- El RF selecciona la opción Fijar Precio.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1- El sistema muestra la pantalla para registrar precio de un festival.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6- El sistema muestra un mensaje indicando “El precio del festival ha sido registrado con éxito.”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precios para una noche, sector y tipo de entrada que ya los tiene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ind w:right="65.99999999999966"/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- Usuario logueado como responsable de festival</w:t>
            </w:r>
          </w:p>
          <w:p w:rsidR="00000000" w:rsidDel="00000000" w:rsidP="00000000" w:rsidRDefault="00000000" w:rsidRPr="00000000">
            <w:pPr>
              <w:ind w:right="65.99999999999966"/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- Precio fijado a “$30” en la noche “23/12/2017”, con sector “A”, tipo de entrada “menor”</w:t>
            </w:r>
          </w:p>
          <w:p w:rsidR="00000000" w:rsidDel="00000000" w:rsidP="00000000" w:rsidRDefault="00000000" w:rsidRPr="00000000">
            <w:pPr>
              <w:ind w:right="65.99999999999966"/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- </w:t>
            </w: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Noche = “23/12/2017”, sector = “A”, Tipo de Entrada = “Menor”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1- 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Responsable de Festival selecciona la opción </w:t>
            </w: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“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Definir Precios para una noche, sector y tipo de entrada.</w:t>
            </w: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2- 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RF ingresa en Noche = “23/12/2017”.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3- 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RF ingresa sector = “A”.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4- 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RF ingresa Tipo de Entrada = “Menor”.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5- 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RF ingresa precio = $350,00.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6- 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RF selecciona la opción Fijar Precio.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1- 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muestra la pantalla para registrar precio de un festival.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4- 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muestra un mensaje indicando “</w:t>
            </w: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Ya existe un precio fijado para la noche, sector y tipo de entrada del festival ingresado</w:t>
            </w: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precios para un festival no vigente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ind w:right="65.99999999999966"/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- Usuario logueado como responsable de festival,</w:t>
            </w:r>
          </w:p>
          <w:p w:rsidR="00000000" w:rsidDel="00000000" w:rsidP="00000000" w:rsidRDefault="00000000" w:rsidRPr="00000000">
            <w:pPr>
              <w:ind w:right="65.99999999999966"/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- </w:t>
            </w: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sector = “A”, Tipo de Entrada = “Menor”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1- El Responsable de Festival selecciona la opción “Definir Precios para una noche, sector y tipo de entrada.”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2- El RF ingresa en Noche = “23/12/2016”.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3- El RF ingresa sector = “A”.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4- El RF ingresa Tipo de Entrada = “Menor”.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5- El RF ingresa precio = $350,00.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6- El RF selecciona la opción Fijar Precio.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1- El sistema muestra la pantalla para registrar precio de un festival.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2- El sistema muestra un mensaje indicando “La noche ingresada no corresponde a ningún festival vigente.”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precios para una noche, sector y tipo de entrada sin ingresar el precio de la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ind w:right="65.99999999999966"/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- Usuario logueado como responsable de festival</w:t>
            </w:r>
          </w:p>
          <w:p w:rsidR="00000000" w:rsidDel="00000000" w:rsidP="00000000" w:rsidRDefault="00000000" w:rsidRPr="00000000">
            <w:pPr>
              <w:ind w:right="65.99999999999966"/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Fonts w:ascii="Ebrima" w:cs="Ebrima" w:eastAsia="Ebrima" w:hAnsi="Ebrima"/>
                <w:rtl w:val="0"/>
              </w:rPr>
              <w:t xml:space="preserve">- </w:t>
            </w: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Noche = “23/12/2017”, sector = “A”, Tipo de Entrada = “Menor” registrados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1- El Responsable de Festival selecciona la opción “Definir Precios para una noche, sector y tipo de entrada.”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2- El RF ingresa en Noche = “23/12/2017”.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3- El RF ingresa sector = “A”.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4- El RF ingresa Tipo de Entrada = “Menor”.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5- El RF selecciona la opción Fijar Precio.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1- El sistema muestra la pantalla para registrar precio de un festival.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  <w:sz w:val="21"/>
                <w:szCs w:val="2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Ebrima" w:cs="Ebrima" w:eastAsia="Ebrima" w:hAnsi="Ebrima"/>
                <w:sz w:val="21"/>
                <w:szCs w:val="21"/>
                <w:rtl w:val="0"/>
              </w:rPr>
              <w:t xml:space="preserve">5- El sistema muestra un mensaje indicando “No se ha ingresado el precio de la entrada”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Ebrima" w:cs="Ebrima" w:eastAsia="Ebrima" w:hAnsi="Ebri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Ebri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6e6f4" w:val="clear"/>
    </w:tcPr>
    <w:tblStylePr w:type="band1Horz">
      <w:tcPr>
        <w:shd w:fill="adcdea" w:val="clear"/>
      </w:tcPr>
    </w:tblStylePr>
    <w:tblStylePr w:type="band1Vert">
      <w:tcPr>
        <w:shd w:fill="adcdea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4b4df" w:space="0" w:sz="1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