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09" w:rsidRPr="00DE065D" w:rsidRDefault="00210D09" w:rsidP="0088295A">
      <w:pPr>
        <w:rPr>
          <w:rFonts w:ascii="Times New Roman" w:eastAsia="Adobe Gothic Std B" w:hAnsi="Times New Roman" w:cs="Times New Roman"/>
          <w:b/>
          <w:color w:val="000000" w:themeColor="text1"/>
          <w:sz w:val="72"/>
          <w:szCs w:val="72"/>
        </w:rPr>
      </w:pPr>
    </w:p>
    <w:p w:rsidR="0063079A" w:rsidRPr="00DE065D" w:rsidRDefault="00210D09" w:rsidP="00210D09">
      <w:pPr>
        <w:jc w:val="center"/>
        <w:rPr>
          <w:rFonts w:ascii="Times New Roman" w:hAnsi="Times New Roman" w:cs="Times New Roman"/>
          <w:b/>
          <w:color w:val="000000" w:themeColor="text1"/>
          <w:sz w:val="56"/>
          <w:szCs w:val="56"/>
        </w:rPr>
      </w:pPr>
      <w:r w:rsidRPr="00DE065D">
        <w:rPr>
          <w:rFonts w:ascii="Times New Roman" w:eastAsia="Adobe Gothic Std B" w:hAnsi="Times New Roman" w:cs="Times New Roman"/>
          <w:b/>
          <w:color w:val="000000" w:themeColor="text1"/>
          <w:sz w:val="72"/>
          <w:szCs w:val="72"/>
        </w:rPr>
        <w:t>Accord</w:t>
      </w:r>
      <w:r w:rsidRPr="00DE065D">
        <w:rPr>
          <w:rFonts w:ascii="Times New Roman" w:hAnsi="Times New Roman" w:cs="Times New Roman"/>
          <w:b/>
          <w:color w:val="000000" w:themeColor="text1"/>
          <w:sz w:val="56"/>
          <w:szCs w:val="56"/>
        </w:rPr>
        <w:br/>
      </w:r>
      <w:r w:rsidR="00743BE4" w:rsidRPr="00DE065D">
        <w:rPr>
          <w:rFonts w:ascii="Times New Roman" w:hAnsi="Times New Roman" w:cs="Times New Roman"/>
          <w:b/>
          <w:color w:val="000000" w:themeColor="text1"/>
          <w:sz w:val="56"/>
          <w:szCs w:val="56"/>
        </w:rPr>
        <w:t>minimizing</w:t>
      </w:r>
      <w:r w:rsidR="00EA46F6" w:rsidRPr="00DE065D">
        <w:rPr>
          <w:rFonts w:ascii="Times New Roman" w:hAnsi="Times New Roman" w:cs="Times New Roman"/>
          <w:b/>
          <w:color w:val="000000" w:themeColor="text1"/>
          <w:sz w:val="56"/>
          <w:szCs w:val="56"/>
        </w:rPr>
        <w:t xml:space="preserve"> the</w:t>
      </w:r>
      <w:r w:rsidR="005C152D" w:rsidRPr="00DE065D">
        <w:rPr>
          <w:rFonts w:ascii="Times New Roman" w:hAnsi="Times New Roman" w:cs="Times New Roman"/>
          <w:b/>
          <w:color w:val="000000" w:themeColor="text1"/>
          <w:sz w:val="56"/>
          <w:szCs w:val="56"/>
        </w:rPr>
        <w:t xml:space="preserve"> risk in digital currencies</w:t>
      </w:r>
    </w:p>
    <w:p w:rsidR="00210D09" w:rsidRPr="00DE065D" w:rsidRDefault="00210D09" w:rsidP="00210D09">
      <w:pPr>
        <w:jc w:val="center"/>
        <w:rPr>
          <w:rFonts w:ascii="Times New Roman" w:hAnsi="Times New Roman" w:cs="Times New Roman"/>
          <w:b/>
          <w:color w:val="000000" w:themeColor="text1"/>
          <w:sz w:val="24"/>
          <w:szCs w:val="24"/>
        </w:rPr>
      </w:pPr>
      <w:r w:rsidRPr="00DE065D">
        <w:rPr>
          <w:rFonts w:ascii="Times New Roman" w:hAnsi="Times New Roman" w:cs="Times New Roman"/>
          <w:b/>
          <w:color w:val="000000" w:themeColor="text1"/>
          <w:sz w:val="24"/>
          <w:szCs w:val="24"/>
        </w:rPr>
        <w:t>V 1.0</w:t>
      </w:r>
      <w:r w:rsidR="006B6ACF" w:rsidRPr="00DE065D">
        <w:rPr>
          <w:rFonts w:ascii="Times New Roman" w:hAnsi="Times New Roman" w:cs="Times New Roman"/>
          <w:b/>
          <w:color w:val="000000" w:themeColor="text1"/>
          <w:sz w:val="24"/>
          <w:szCs w:val="24"/>
        </w:rPr>
        <w:t>.</w:t>
      </w:r>
      <w:r w:rsidR="00EE7528" w:rsidRPr="00DE065D">
        <w:rPr>
          <w:rFonts w:ascii="Times New Roman" w:hAnsi="Times New Roman" w:cs="Times New Roman"/>
          <w:b/>
          <w:color w:val="000000" w:themeColor="text1"/>
          <w:sz w:val="24"/>
          <w:szCs w:val="24"/>
        </w:rPr>
        <w:t>0</w:t>
      </w:r>
      <w:r w:rsidRPr="00DE065D">
        <w:rPr>
          <w:rFonts w:ascii="Times New Roman" w:hAnsi="Times New Roman" w:cs="Times New Roman"/>
          <w:b/>
          <w:color w:val="000000" w:themeColor="text1"/>
          <w:sz w:val="24"/>
          <w:szCs w:val="24"/>
        </w:rPr>
        <w:br/>
      </w:r>
    </w:p>
    <w:p w:rsidR="00210D09" w:rsidRPr="00DE065D" w:rsidRDefault="003C17B1" w:rsidP="00210D09">
      <w:pPr>
        <w:jc w:val="center"/>
        <w:rPr>
          <w:rFonts w:ascii="Times New Roman" w:hAnsi="Times New Roman" w:cs="Times New Roman"/>
          <w:b/>
          <w:color w:val="000000" w:themeColor="text1"/>
          <w:sz w:val="24"/>
          <w:szCs w:val="24"/>
        </w:rPr>
      </w:pPr>
      <w:hyperlink r:id="rId6" w:history="1">
        <w:r w:rsidR="00210D09" w:rsidRPr="00DE065D">
          <w:rPr>
            <w:rStyle w:val="Hyperlink"/>
            <w:rFonts w:ascii="Times New Roman" w:hAnsi="Times New Roman" w:cs="Times New Roman"/>
            <w:b/>
            <w:color w:val="000000" w:themeColor="text1"/>
            <w:sz w:val="24"/>
            <w:szCs w:val="24"/>
          </w:rPr>
          <w:t>https://Accordtoken.com</w:t>
        </w:r>
      </w:hyperlink>
    </w:p>
    <w:p w:rsidR="00210D09" w:rsidRPr="00DE065D" w:rsidRDefault="00210D09" w:rsidP="00210D09">
      <w:pPr>
        <w:jc w:val="center"/>
        <w:rPr>
          <w:rFonts w:ascii="Times New Roman" w:hAnsi="Times New Roman" w:cs="Times New Roman"/>
          <w:b/>
          <w:color w:val="000000" w:themeColor="text1"/>
          <w:sz w:val="24"/>
          <w:szCs w:val="24"/>
        </w:rPr>
      </w:pPr>
    </w:p>
    <w:p w:rsidR="00210D09" w:rsidRPr="00DE065D" w:rsidRDefault="00210D09" w:rsidP="00210D09">
      <w:pPr>
        <w:jc w:val="cente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1 Oct, 2017</w:t>
      </w:r>
      <w:r w:rsidRPr="00DE065D">
        <w:rPr>
          <w:rFonts w:ascii="Times New Roman" w:hAnsi="Times New Roman" w:cs="Times New Roman"/>
          <w:color w:val="000000" w:themeColor="text1"/>
          <w:sz w:val="24"/>
          <w:szCs w:val="24"/>
        </w:rPr>
        <w:br/>
      </w:r>
    </w:p>
    <w:p w:rsidR="00210D09" w:rsidRPr="00DE065D" w:rsidRDefault="00210D09" w:rsidP="00210D09">
      <w:pPr>
        <w:jc w:val="center"/>
        <w:rPr>
          <w:rFonts w:ascii="Times New Roman" w:hAnsi="Times New Roman" w:cs="Times New Roman"/>
          <w:color w:val="000000" w:themeColor="text1"/>
        </w:rPr>
      </w:pPr>
      <w:r w:rsidRPr="00DE065D">
        <w:rPr>
          <w:rFonts w:ascii="Times New Roman" w:hAnsi="Times New Roman" w:cs="Times New Roman"/>
          <w:color w:val="000000" w:themeColor="text1"/>
        </w:rPr>
        <w:t xml:space="preserve">This document is to present the idea and to disseminate the public information about the project; it does not solicit to sell or buy any digital tokens or currencies without consent. Information provided in the document is subject to change without prior notification </w:t>
      </w:r>
      <w:r w:rsidR="00D372B5" w:rsidRPr="00DE065D">
        <w:rPr>
          <w:rFonts w:ascii="Times New Roman" w:hAnsi="Times New Roman" w:cs="Times New Roman"/>
          <w:color w:val="000000" w:themeColor="text1"/>
        </w:rPr>
        <w:t>from the organization thereof this document should not be copied</w:t>
      </w:r>
      <w:r w:rsidRPr="00DE065D">
        <w:rPr>
          <w:rFonts w:ascii="Times New Roman" w:hAnsi="Times New Roman" w:cs="Times New Roman"/>
          <w:color w:val="000000" w:themeColor="text1"/>
        </w:rPr>
        <w:t xml:space="preserve"> </w:t>
      </w:r>
      <w:r w:rsidR="00D372B5" w:rsidRPr="00DE065D">
        <w:rPr>
          <w:rFonts w:ascii="Times New Roman" w:hAnsi="Times New Roman" w:cs="Times New Roman"/>
          <w:color w:val="000000" w:themeColor="text1"/>
        </w:rPr>
        <w:t xml:space="preserve">or reused without written permission. </w:t>
      </w:r>
    </w:p>
    <w:p w:rsidR="005C152D" w:rsidRPr="00DE065D" w:rsidRDefault="005C152D" w:rsidP="00210D09">
      <w:pPr>
        <w:jc w:val="center"/>
        <w:rPr>
          <w:rFonts w:ascii="Times New Roman" w:hAnsi="Times New Roman" w:cs="Times New Roman"/>
          <w:color w:val="000000" w:themeColor="text1"/>
          <w:sz w:val="20"/>
          <w:szCs w:val="20"/>
        </w:rPr>
      </w:pPr>
    </w:p>
    <w:p w:rsidR="005C152D" w:rsidRPr="00DE065D" w:rsidRDefault="005C152D" w:rsidP="00210D09">
      <w:pPr>
        <w:jc w:val="center"/>
        <w:rPr>
          <w:rFonts w:ascii="Times New Roman" w:hAnsi="Times New Roman" w:cs="Times New Roman"/>
          <w:b/>
          <w:color w:val="000000" w:themeColor="text1"/>
          <w:sz w:val="20"/>
          <w:szCs w:val="20"/>
        </w:rPr>
      </w:pPr>
      <w:r w:rsidRPr="00DE065D">
        <w:rPr>
          <w:rFonts w:ascii="Times New Roman" w:hAnsi="Times New Roman" w:cs="Times New Roman"/>
          <w:b/>
          <w:color w:val="000000" w:themeColor="text1"/>
          <w:sz w:val="20"/>
          <w:szCs w:val="20"/>
        </w:rPr>
        <w:t>Abstract</w:t>
      </w:r>
    </w:p>
    <w:p w:rsidR="003F4D53" w:rsidRPr="00DE065D" w:rsidRDefault="00D0328F" w:rsidP="0088295A">
      <w:pPr>
        <w:jc w:val="center"/>
        <w:rPr>
          <w:rFonts w:ascii="Times New Roman" w:hAnsi="Times New Roman" w:cs="Times New Roman"/>
          <w:color w:val="000000" w:themeColor="text1"/>
        </w:rPr>
      </w:pPr>
      <w:r w:rsidRPr="00DE065D">
        <w:rPr>
          <w:rFonts w:ascii="Times New Roman" w:hAnsi="Times New Roman" w:cs="Times New Roman"/>
          <w:color w:val="000000" w:themeColor="text1"/>
        </w:rPr>
        <w:t xml:space="preserve">Accord is a new digital currency on Ethereum blockchain, regulated by the </w:t>
      </w:r>
      <w:r w:rsidR="0088295A" w:rsidRPr="00DE065D">
        <w:rPr>
          <w:rFonts w:ascii="Times New Roman" w:hAnsi="Times New Roman" w:cs="Times New Roman"/>
          <w:color w:val="000000" w:themeColor="text1"/>
        </w:rPr>
        <w:t xml:space="preserve">ERC20 </w:t>
      </w:r>
      <w:r w:rsidRPr="00DE065D">
        <w:rPr>
          <w:rFonts w:ascii="Times New Roman" w:hAnsi="Times New Roman" w:cs="Times New Roman"/>
          <w:color w:val="000000" w:themeColor="text1"/>
        </w:rPr>
        <w:t xml:space="preserve">smart contract, intended to use as primary currency on Accord </w:t>
      </w:r>
      <w:r w:rsidR="00152EB1" w:rsidRPr="00DE065D">
        <w:rPr>
          <w:rFonts w:ascii="Times New Roman" w:hAnsi="Times New Roman" w:cs="Times New Roman"/>
          <w:color w:val="000000" w:themeColor="text1"/>
        </w:rPr>
        <w:t xml:space="preserve">hedging </w:t>
      </w:r>
      <w:r w:rsidRPr="00DE065D">
        <w:rPr>
          <w:rFonts w:ascii="Times New Roman" w:hAnsi="Times New Roman" w:cs="Times New Roman"/>
          <w:color w:val="000000" w:themeColor="text1"/>
        </w:rPr>
        <w:t>platform</w:t>
      </w:r>
      <w:r w:rsidR="00152EB1" w:rsidRPr="00DE065D">
        <w:rPr>
          <w:rFonts w:ascii="Times New Roman" w:hAnsi="Times New Roman" w:cs="Times New Roman"/>
          <w:color w:val="000000" w:themeColor="text1"/>
        </w:rPr>
        <w:t xml:space="preserve"> (AHP)</w:t>
      </w:r>
      <w:r w:rsidR="007E72BC" w:rsidRPr="00DE065D">
        <w:rPr>
          <w:rFonts w:ascii="Times New Roman" w:hAnsi="Times New Roman" w:cs="Times New Roman"/>
          <w:color w:val="000000" w:themeColor="text1"/>
        </w:rPr>
        <w:t>. AHP is aimed to</w:t>
      </w:r>
      <w:r w:rsidRPr="00DE065D">
        <w:rPr>
          <w:rFonts w:ascii="Times New Roman" w:hAnsi="Times New Roman" w:cs="Times New Roman"/>
          <w:color w:val="000000" w:themeColor="text1"/>
        </w:rPr>
        <w:t xml:space="preserve"> </w:t>
      </w:r>
      <w:r w:rsidR="0088295A" w:rsidRPr="00DE065D">
        <w:rPr>
          <w:rFonts w:ascii="Times New Roman" w:hAnsi="Times New Roman" w:cs="Times New Roman"/>
          <w:color w:val="000000" w:themeColor="text1"/>
        </w:rPr>
        <w:t>mitigate</w:t>
      </w:r>
      <w:r w:rsidR="00152EB1" w:rsidRPr="00DE065D">
        <w:rPr>
          <w:rFonts w:ascii="Times New Roman" w:hAnsi="Times New Roman" w:cs="Times New Roman"/>
          <w:color w:val="000000" w:themeColor="text1"/>
        </w:rPr>
        <w:t xml:space="preserve"> the r</w:t>
      </w:r>
      <w:r w:rsidRPr="00DE065D">
        <w:rPr>
          <w:rFonts w:ascii="Times New Roman" w:hAnsi="Times New Roman" w:cs="Times New Roman"/>
          <w:color w:val="000000" w:themeColor="text1"/>
        </w:rPr>
        <w:t>isk available on digital currencies</w:t>
      </w:r>
      <w:r w:rsidR="007E72BC" w:rsidRPr="00DE065D">
        <w:rPr>
          <w:rFonts w:ascii="Times New Roman" w:hAnsi="Times New Roman" w:cs="Times New Roman"/>
          <w:color w:val="000000" w:themeColor="text1"/>
        </w:rPr>
        <w:t>,</w:t>
      </w:r>
      <w:r w:rsidR="00DE065D" w:rsidRPr="00DE065D">
        <w:rPr>
          <w:rFonts w:ascii="Times New Roman" w:hAnsi="Times New Roman" w:cs="Times New Roman"/>
          <w:color w:val="000000" w:themeColor="text1"/>
        </w:rPr>
        <w:t xml:space="preserve"> by applying existing tools of financial market and</w:t>
      </w:r>
      <w:r w:rsidRPr="00DE065D">
        <w:rPr>
          <w:rFonts w:ascii="Times New Roman" w:hAnsi="Times New Roman" w:cs="Times New Roman"/>
          <w:color w:val="000000" w:themeColor="text1"/>
        </w:rPr>
        <w:t xml:space="preserve"> to</w:t>
      </w:r>
      <w:r w:rsidR="0088295A" w:rsidRPr="00DE065D">
        <w:rPr>
          <w:rFonts w:ascii="Times New Roman" w:hAnsi="Times New Roman" w:cs="Times New Roman"/>
          <w:color w:val="000000" w:themeColor="text1"/>
        </w:rPr>
        <w:t xml:space="preserve"> provide the maximum trade profits on digital currency with controlled risk by providing traders with Hedging Options. </w:t>
      </w:r>
    </w:p>
    <w:p w:rsidR="003F4D53" w:rsidRPr="00DE065D" w:rsidRDefault="003F4D53" w:rsidP="0088295A">
      <w:pPr>
        <w:jc w:val="center"/>
        <w:rPr>
          <w:rFonts w:ascii="Times New Roman" w:hAnsi="Times New Roman" w:cs="Times New Roman"/>
          <w:color w:val="000000" w:themeColor="text1"/>
        </w:rPr>
      </w:pPr>
    </w:p>
    <w:p w:rsidR="00EE7528" w:rsidRPr="00DE065D" w:rsidRDefault="00EE7528" w:rsidP="00DE065D">
      <w:pPr>
        <w:rPr>
          <w:rFonts w:ascii="Times New Roman" w:hAnsi="Times New Roman" w:cs="Times New Roman"/>
          <w:color w:val="000000" w:themeColor="text1"/>
        </w:rPr>
      </w:pPr>
    </w:p>
    <w:p w:rsidR="00DE065D" w:rsidRPr="00DE065D" w:rsidRDefault="00DE065D" w:rsidP="00DE065D">
      <w:pPr>
        <w:rPr>
          <w:rFonts w:ascii="Times New Roman" w:hAnsi="Times New Roman" w:cs="Times New Roman"/>
          <w:color w:val="000000" w:themeColor="text1"/>
        </w:rPr>
      </w:pPr>
    </w:p>
    <w:p w:rsidR="003F4D53" w:rsidRPr="00DE065D" w:rsidRDefault="003F4D53" w:rsidP="0088295A">
      <w:pPr>
        <w:jc w:val="center"/>
        <w:rPr>
          <w:rFonts w:ascii="Times New Roman" w:hAnsi="Times New Roman" w:cs="Times New Roman"/>
          <w:color w:val="000000" w:themeColor="text1"/>
        </w:rPr>
      </w:pPr>
    </w:p>
    <w:sdt>
      <w:sdtPr>
        <w:rPr>
          <w:rFonts w:ascii="Times New Roman" w:eastAsiaTheme="minorHAnsi" w:hAnsi="Times New Roman" w:cs="Times New Roman"/>
          <w:b w:val="0"/>
          <w:bCs w:val="0"/>
          <w:color w:val="auto"/>
          <w:sz w:val="22"/>
          <w:szCs w:val="22"/>
        </w:rPr>
        <w:id w:val="901607969"/>
        <w:docPartObj>
          <w:docPartGallery w:val="Table of Contents"/>
          <w:docPartUnique/>
        </w:docPartObj>
      </w:sdtPr>
      <w:sdtContent>
        <w:p w:rsidR="005D5070" w:rsidRPr="00DE065D" w:rsidRDefault="005D5070">
          <w:pPr>
            <w:pStyle w:val="TOCHeading"/>
            <w:rPr>
              <w:rFonts w:ascii="Times New Roman" w:hAnsi="Times New Roman" w:cs="Times New Roman"/>
            </w:rPr>
          </w:pPr>
          <w:r w:rsidRPr="00DE065D">
            <w:rPr>
              <w:rFonts w:ascii="Times New Roman" w:hAnsi="Times New Roman" w:cs="Times New Roman"/>
            </w:rPr>
            <w:t>Contents</w:t>
          </w:r>
        </w:p>
        <w:p w:rsidR="00EC5F9B" w:rsidRPr="00DE065D" w:rsidRDefault="003C17B1">
          <w:pPr>
            <w:pStyle w:val="TOC1"/>
            <w:tabs>
              <w:tab w:val="right" w:leader="dot" w:pos="9350"/>
            </w:tabs>
            <w:rPr>
              <w:rFonts w:ascii="Times New Roman" w:eastAsiaTheme="minorEastAsia" w:hAnsi="Times New Roman" w:cs="Times New Roman"/>
              <w:noProof/>
            </w:rPr>
          </w:pPr>
          <w:r w:rsidRPr="00DE065D">
            <w:rPr>
              <w:rFonts w:ascii="Times New Roman" w:hAnsi="Times New Roman" w:cs="Times New Roman"/>
            </w:rPr>
            <w:fldChar w:fldCharType="begin"/>
          </w:r>
          <w:r w:rsidR="005D5070" w:rsidRPr="00DE065D">
            <w:rPr>
              <w:rFonts w:ascii="Times New Roman" w:hAnsi="Times New Roman" w:cs="Times New Roman"/>
            </w:rPr>
            <w:instrText xml:space="preserve"> TOC \o "1-3" \h \z \u </w:instrText>
          </w:r>
          <w:r w:rsidRPr="00DE065D">
            <w:rPr>
              <w:rFonts w:ascii="Times New Roman" w:hAnsi="Times New Roman" w:cs="Times New Roman"/>
            </w:rPr>
            <w:fldChar w:fldCharType="separate"/>
          </w:r>
          <w:hyperlink w:anchor="_Toc497411933" w:history="1">
            <w:r w:rsidR="00EC5F9B" w:rsidRPr="00DE065D">
              <w:rPr>
                <w:rStyle w:val="Hyperlink"/>
                <w:rFonts w:ascii="Times New Roman" w:hAnsi="Times New Roman" w:cs="Times New Roman"/>
                <w:noProof/>
              </w:rPr>
              <w:t>Introduction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_Toc497411933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4</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34" w:history="1">
            <w:r w:rsidR="00EC5F9B" w:rsidRPr="00DE065D">
              <w:rPr>
                <w:rStyle w:val="Hyperlink"/>
                <w:rFonts w:ascii="Times New Roman" w:hAnsi="Times New Roman" w:cs="Times New Roman"/>
                <w:noProof/>
              </w:rPr>
              <w:t>The Accord Cryptocurrency</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_Toc497411934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5</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35" w:history="1">
            <w:r w:rsidR="00EC5F9B" w:rsidRPr="00DE065D">
              <w:rPr>
                <w:rStyle w:val="Hyperlink"/>
                <w:rFonts w:ascii="Times New Roman" w:hAnsi="Times New Roman" w:cs="Times New Roman"/>
                <w:noProof/>
              </w:rPr>
              <w:t>Purpose and characterization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_Toc497411935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5</w:t>
            </w:r>
            <w:r w:rsidRPr="00DE065D">
              <w:rPr>
                <w:rFonts w:ascii="Times New Roman" w:hAnsi="Times New Roman" w:cs="Times New Roman"/>
                <w:noProof/>
                <w:webHidden/>
              </w:rPr>
              <w:fldChar w:fldCharType="end"/>
            </w:r>
          </w:hyperlink>
        </w:p>
        <w:p w:rsidR="00EC5F9B" w:rsidRPr="00DE065D" w:rsidRDefault="003C17B1" w:rsidP="00EC5F9B">
          <w:pPr>
            <w:pStyle w:val="TOC2"/>
            <w:tabs>
              <w:tab w:val="right" w:leader="dot" w:pos="9350"/>
            </w:tabs>
            <w:rPr>
              <w:rFonts w:ascii="Times New Roman" w:eastAsiaTheme="minorEastAsia" w:hAnsi="Times New Roman" w:cs="Times New Roman"/>
              <w:noProof/>
            </w:rPr>
          </w:pPr>
          <w:hyperlink w:anchor="_Toc497411937" w:history="1">
            <w:r w:rsidR="00EC5F9B" w:rsidRPr="00DE065D">
              <w:rPr>
                <w:rStyle w:val="Hyperlink"/>
                <w:rFonts w:ascii="Times New Roman" w:hAnsi="Times New Roman" w:cs="Times New Roman"/>
                <w:noProof/>
              </w:rPr>
              <w:t>Implementation: Ethereum and ERC20</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_Toc497411937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5</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39" w:history="1">
            <w:r w:rsidR="00EC5F9B" w:rsidRPr="00DE065D">
              <w:rPr>
                <w:rStyle w:val="Hyperlink"/>
                <w:rFonts w:ascii="Times New Roman" w:hAnsi="Times New Roman" w:cs="Times New Roman"/>
                <w:noProof/>
              </w:rPr>
              <w:t>Accord’s Vision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_Toc497411939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5</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42" w:history="1">
            <w:r w:rsidR="00EC5F9B" w:rsidRPr="00DE065D">
              <w:rPr>
                <w:rStyle w:val="Hyperlink"/>
                <w:rFonts w:ascii="Times New Roman" w:hAnsi="Times New Roman" w:cs="Times New Roman"/>
                <w:noProof/>
              </w:rPr>
              <w:t>Risk in Crypto-currency ecosystem</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_Toc497411942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6</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43" w:history="1">
            <w:r w:rsidR="00EC5F9B" w:rsidRPr="00DE065D">
              <w:rPr>
                <w:rStyle w:val="Hyperlink"/>
                <w:rFonts w:ascii="Times New Roman" w:hAnsi="Times New Roman" w:cs="Times New Roman"/>
                <w:noProof/>
              </w:rPr>
              <w:t>Hedging solution to mitigate risk</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_Toc497411943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44" w:history="1">
            <w:r w:rsidR="00EC5F9B" w:rsidRPr="00DE065D">
              <w:rPr>
                <w:rStyle w:val="Hyperlink"/>
                <w:rFonts w:ascii="Times New Roman" w:hAnsi="Times New Roman" w:cs="Times New Roman"/>
                <w:noProof/>
              </w:rPr>
              <w:t>Options: Calls and Puts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_Toc497411944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45" w:history="1">
            <w:r w:rsidR="00EC5F9B" w:rsidRPr="00DE065D">
              <w:rPr>
                <w:rStyle w:val="Hyperlink"/>
                <w:rFonts w:ascii="Times New Roman" w:hAnsi="Times New Roman" w:cs="Times New Roman"/>
                <w:noProof/>
              </w:rPr>
              <w:t>Call options: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_Toc497411945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46" w:history="1">
            <w:r w:rsidR="00EC5F9B" w:rsidRPr="00DE065D">
              <w:rPr>
                <w:rStyle w:val="Hyperlink"/>
                <w:rFonts w:ascii="Times New Roman" w:hAnsi="Times New Roman" w:cs="Times New Roman"/>
                <w:noProof/>
              </w:rPr>
              <w:t>Put options: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_Toc497411946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47" w:history="1">
            <w:r w:rsidR="00EC5F9B" w:rsidRPr="00DE065D">
              <w:rPr>
                <w:rStyle w:val="Hyperlink"/>
                <w:rFonts w:ascii="Times New Roman" w:hAnsi="Times New Roman" w:cs="Times New Roman"/>
                <w:noProof/>
              </w:rPr>
              <w:t>The Advantages of Options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_Toc497411947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3"/>
            <w:tabs>
              <w:tab w:val="left" w:pos="880"/>
              <w:tab w:val="right" w:leader="dot" w:pos="9350"/>
            </w:tabs>
            <w:rPr>
              <w:rFonts w:ascii="Times New Roman" w:eastAsiaTheme="minorEastAsia" w:hAnsi="Times New Roman" w:cs="Times New Roman"/>
              <w:noProof/>
            </w:rPr>
          </w:pPr>
          <w:hyperlink w:anchor="_Toc497411948" w:history="1">
            <w:r w:rsidR="00EC5F9B" w:rsidRPr="00DE065D">
              <w:rPr>
                <w:rStyle w:val="Hyperlink"/>
                <w:rFonts w:ascii="Times New Roman" w:hAnsi="Times New Roman" w:cs="Times New Roman"/>
                <w:noProof/>
              </w:rPr>
              <w:t>1.</w:t>
            </w:r>
            <w:r w:rsidR="00EC5F9B" w:rsidRPr="00DE065D">
              <w:rPr>
                <w:rFonts w:ascii="Times New Roman" w:eastAsiaTheme="minorEastAsia" w:hAnsi="Times New Roman" w:cs="Times New Roman"/>
                <w:noProof/>
              </w:rPr>
              <w:tab/>
            </w:r>
            <w:r w:rsidR="00EC5F9B" w:rsidRPr="00DE065D">
              <w:rPr>
                <w:rStyle w:val="Hyperlink"/>
                <w:rFonts w:ascii="Times New Roman" w:hAnsi="Times New Roman" w:cs="Times New Roman"/>
                <w:noProof/>
              </w:rPr>
              <w:t>Cost Efficiency</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_Toc497411948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7</w:t>
            </w:r>
            <w:r w:rsidRPr="00DE065D">
              <w:rPr>
                <w:rFonts w:ascii="Times New Roman" w:hAnsi="Times New Roman" w:cs="Times New Roman"/>
                <w:noProof/>
                <w:webHidden/>
              </w:rPr>
              <w:fldChar w:fldCharType="end"/>
            </w:r>
          </w:hyperlink>
        </w:p>
        <w:p w:rsidR="00EC5F9B" w:rsidRPr="00DE065D" w:rsidRDefault="003C17B1">
          <w:pPr>
            <w:pStyle w:val="TOC3"/>
            <w:tabs>
              <w:tab w:val="left" w:pos="880"/>
              <w:tab w:val="right" w:leader="dot" w:pos="9350"/>
            </w:tabs>
            <w:rPr>
              <w:rFonts w:ascii="Times New Roman" w:eastAsiaTheme="minorEastAsia" w:hAnsi="Times New Roman" w:cs="Times New Roman"/>
              <w:noProof/>
            </w:rPr>
          </w:pPr>
          <w:hyperlink w:anchor="_Toc497411949" w:history="1">
            <w:r w:rsidR="00EC5F9B" w:rsidRPr="00DE065D">
              <w:rPr>
                <w:rStyle w:val="Hyperlink"/>
                <w:rFonts w:ascii="Times New Roman" w:hAnsi="Times New Roman" w:cs="Times New Roman"/>
                <w:noProof/>
              </w:rPr>
              <w:t>2.</w:t>
            </w:r>
            <w:r w:rsidR="00EC5F9B" w:rsidRPr="00DE065D">
              <w:rPr>
                <w:rFonts w:ascii="Times New Roman" w:eastAsiaTheme="minorEastAsia" w:hAnsi="Times New Roman" w:cs="Times New Roman"/>
                <w:noProof/>
              </w:rPr>
              <w:tab/>
            </w:r>
            <w:r w:rsidR="00EC5F9B" w:rsidRPr="00DE065D">
              <w:rPr>
                <w:rStyle w:val="Hyperlink"/>
                <w:rFonts w:ascii="Times New Roman" w:hAnsi="Times New Roman" w:cs="Times New Roman"/>
                <w:noProof/>
              </w:rPr>
              <w:t>Less Risk – Fixing the technical problem in stop-loss order</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_Toc497411949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8</w:t>
            </w:r>
            <w:r w:rsidRPr="00DE065D">
              <w:rPr>
                <w:rFonts w:ascii="Times New Roman" w:hAnsi="Times New Roman" w:cs="Times New Roman"/>
                <w:noProof/>
                <w:webHidden/>
              </w:rPr>
              <w:fldChar w:fldCharType="end"/>
            </w:r>
          </w:hyperlink>
        </w:p>
        <w:p w:rsidR="00EC5F9B" w:rsidRPr="00DE065D" w:rsidRDefault="003C17B1">
          <w:pPr>
            <w:pStyle w:val="TOC3"/>
            <w:tabs>
              <w:tab w:val="left" w:pos="880"/>
              <w:tab w:val="right" w:leader="dot" w:pos="9350"/>
            </w:tabs>
            <w:rPr>
              <w:rFonts w:ascii="Times New Roman" w:eastAsiaTheme="minorEastAsia" w:hAnsi="Times New Roman" w:cs="Times New Roman"/>
              <w:noProof/>
            </w:rPr>
          </w:pPr>
          <w:hyperlink w:anchor="_Toc497411950" w:history="1">
            <w:r w:rsidR="00EC5F9B" w:rsidRPr="00DE065D">
              <w:rPr>
                <w:rStyle w:val="Hyperlink"/>
                <w:rFonts w:ascii="Times New Roman" w:hAnsi="Times New Roman" w:cs="Times New Roman"/>
                <w:noProof/>
              </w:rPr>
              <w:t>3.</w:t>
            </w:r>
            <w:r w:rsidR="00EC5F9B" w:rsidRPr="00DE065D">
              <w:rPr>
                <w:rFonts w:ascii="Times New Roman" w:eastAsiaTheme="minorEastAsia" w:hAnsi="Times New Roman" w:cs="Times New Roman"/>
                <w:noProof/>
              </w:rPr>
              <w:tab/>
            </w:r>
            <w:r w:rsidR="00EC5F9B" w:rsidRPr="00DE065D">
              <w:rPr>
                <w:rStyle w:val="Hyperlink"/>
                <w:rFonts w:ascii="Times New Roman" w:hAnsi="Times New Roman" w:cs="Times New Roman"/>
                <w:noProof/>
              </w:rPr>
              <w:t>Higher Potential Returns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_Toc497411950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9</w:t>
            </w:r>
            <w:r w:rsidRPr="00DE065D">
              <w:rPr>
                <w:rFonts w:ascii="Times New Roman" w:hAnsi="Times New Roman" w:cs="Times New Roman"/>
                <w:noProof/>
                <w:webHidden/>
              </w:rPr>
              <w:fldChar w:fldCharType="end"/>
            </w:r>
          </w:hyperlink>
        </w:p>
        <w:p w:rsidR="00EC5F9B" w:rsidRPr="00DE065D" w:rsidRDefault="003C17B1">
          <w:pPr>
            <w:pStyle w:val="TOC3"/>
            <w:tabs>
              <w:tab w:val="left" w:pos="880"/>
              <w:tab w:val="right" w:leader="dot" w:pos="9350"/>
            </w:tabs>
            <w:rPr>
              <w:rFonts w:ascii="Times New Roman" w:eastAsiaTheme="minorEastAsia" w:hAnsi="Times New Roman" w:cs="Times New Roman"/>
              <w:noProof/>
            </w:rPr>
          </w:pPr>
          <w:hyperlink w:anchor="_Toc497411951" w:history="1">
            <w:r w:rsidR="00EC5F9B" w:rsidRPr="00DE065D">
              <w:rPr>
                <w:rStyle w:val="Hyperlink"/>
                <w:rFonts w:ascii="Times New Roman" w:hAnsi="Times New Roman" w:cs="Times New Roman"/>
                <w:noProof/>
              </w:rPr>
              <w:t>4.</w:t>
            </w:r>
            <w:r w:rsidR="00EC5F9B" w:rsidRPr="00DE065D">
              <w:rPr>
                <w:rFonts w:ascii="Times New Roman" w:eastAsiaTheme="minorEastAsia" w:hAnsi="Times New Roman" w:cs="Times New Roman"/>
                <w:noProof/>
              </w:rPr>
              <w:tab/>
            </w:r>
            <w:r w:rsidR="00EC5F9B" w:rsidRPr="00DE065D">
              <w:rPr>
                <w:rStyle w:val="Hyperlink"/>
                <w:rFonts w:ascii="Times New Roman" w:hAnsi="Times New Roman" w:cs="Times New Roman"/>
                <w:noProof/>
              </w:rPr>
              <w:t>More Strategic Alternatives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_Toc497411951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9</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52" w:history="1">
            <w:r w:rsidR="00EC5F9B" w:rsidRPr="00DE065D">
              <w:rPr>
                <w:rStyle w:val="Hyperlink"/>
                <w:rFonts w:ascii="Times New Roman" w:eastAsia="Times New Roman" w:hAnsi="Times New Roman" w:cs="Times New Roman"/>
                <w:noProof/>
              </w:rPr>
              <w:t>Calculative specifications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_Toc497411952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9</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53" w:history="1">
            <w:r w:rsidR="00EC5F9B" w:rsidRPr="00DE065D">
              <w:rPr>
                <w:rStyle w:val="Hyperlink"/>
                <w:rFonts w:ascii="Times New Roman" w:hAnsi="Times New Roman" w:cs="Times New Roman"/>
                <w:noProof/>
              </w:rPr>
              <w:t>Option intrinsic value</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_Toc497411953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9</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54" w:history="1">
            <w:r w:rsidR="00EC5F9B" w:rsidRPr="00DE065D">
              <w:rPr>
                <w:rStyle w:val="Hyperlink"/>
                <w:rFonts w:ascii="Times New Roman" w:eastAsia="Times New Roman" w:hAnsi="Times New Roman" w:cs="Times New Roman"/>
                <w:noProof/>
              </w:rPr>
              <w:t>Call premium</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_Toc497411954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10</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55" w:history="1">
            <w:r w:rsidR="00EC5F9B" w:rsidRPr="00DE065D">
              <w:rPr>
                <w:rStyle w:val="Hyperlink"/>
                <w:rFonts w:ascii="Times New Roman" w:hAnsi="Times New Roman" w:cs="Times New Roman"/>
                <w:noProof/>
              </w:rPr>
              <w:t>Formulation breakdown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_Toc497411955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10</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56" w:history="1">
            <w:r w:rsidR="00EC5F9B" w:rsidRPr="00DE065D">
              <w:rPr>
                <w:rStyle w:val="Hyperlink"/>
                <w:rFonts w:ascii="Times New Roman" w:hAnsi="Times New Roman" w:cs="Times New Roman"/>
                <w:noProof/>
              </w:rPr>
              <w:t>Delta</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_Toc497411956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10</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57" w:history="1">
            <w:r w:rsidR="00EC5F9B" w:rsidRPr="00DE065D">
              <w:rPr>
                <w:rStyle w:val="Hyperlink"/>
                <w:rFonts w:ascii="Times New Roman" w:hAnsi="Times New Roman" w:cs="Times New Roman"/>
                <w:noProof/>
              </w:rPr>
              <w:t>Gamma</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_Toc497411957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11</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58" w:history="1">
            <w:r w:rsidR="00EC5F9B" w:rsidRPr="00DE065D">
              <w:rPr>
                <w:rStyle w:val="Hyperlink"/>
                <w:rFonts w:ascii="Times New Roman" w:hAnsi="Times New Roman" w:cs="Times New Roman"/>
                <w:noProof/>
              </w:rPr>
              <w:t>Theta</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_Toc497411958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11</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59" w:history="1">
            <w:r w:rsidR="00EC5F9B" w:rsidRPr="00DE065D">
              <w:rPr>
                <w:rStyle w:val="Hyperlink"/>
                <w:rFonts w:ascii="Times New Roman" w:hAnsi="Times New Roman" w:cs="Times New Roman"/>
                <w:noProof/>
              </w:rPr>
              <w:t>Vega</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_Toc497411959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11</w:t>
            </w:r>
            <w:r w:rsidRPr="00DE065D">
              <w:rPr>
                <w:rFonts w:ascii="Times New Roman" w:hAnsi="Times New Roman" w:cs="Times New Roman"/>
                <w:noProof/>
                <w:webHidden/>
              </w:rPr>
              <w:fldChar w:fldCharType="end"/>
            </w:r>
          </w:hyperlink>
        </w:p>
        <w:p w:rsidR="00EC5F9B" w:rsidRPr="00DE065D" w:rsidRDefault="003C17B1">
          <w:pPr>
            <w:pStyle w:val="TOC3"/>
            <w:tabs>
              <w:tab w:val="right" w:leader="dot" w:pos="9350"/>
            </w:tabs>
            <w:rPr>
              <w:rFonts w:ascii="Times New Roman" w:eastAsiaTheme="minorEastAsia" w:hAnsi="Times New Roman" w:cs="Times New Roman"/>
              <w:noProof/>
            </w:rPr>
          </w:pPr>
          <w:hyperlink w:anchor="_Toc497411960" w:history="1">
            <w:r w:rsidR="00EC5F9B" w:rsidRPr="00DE065D">
              <w:rPr>
                <w:rStyle w:val="Hyperlink"/>
                <w:rFonts w:ascii="Times New Roman" w:hAnsi="Times New Roman" w:cs="Times New Roman"/>
                <w:noProof/>
              </w:rPr>
              <w:t>Rho</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_Toc497411960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11</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61" w:history="1">
            <w:r w:rsidR="00EC5F9B" w:rsidRPr="00DE065D">
              <w:rPr>
                <w:rStyle w:val="Hyperlink"/>
                <w:rFonts w:ascii="Times New Roman" w:hAnsi="Times New Roman" w:cs="Times New Roman"/>
                <w:noProof/>
              </w:rPr>
              <w:t>Order specification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_Toc497411961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12</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62" w:history="1">
            <w:r w:rsidR="00EC5F9B" w:rsidRPr="00DE065D">
              <w:rPr>
                <w:rStyle w:val="Hyperlink"/>
                <w:rFonts w:ascii="Times New Roman" w:hAnsi="Times New Roman" w:cs="Times New Roman"/>
                <w:noProof/>
              </w:rPr>
              <w:t>Cost and Fee</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_Toc497411962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12</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63" w:history="1">
            <w:r w:rsidR="00EC5F9B" w:rsidRPr="00DE065D">
              <w:rPr>
                <w:rStyle w:val="Hyperlink"/>
                <w:rFonts w:ascii="Times New Roman" w:hAnsi="Times New Roman" w:cs="Times New Roman"/>
                <w:noProof/>
              </w:rPr>
              <w:t>Order placement</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_Toc497411963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12</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65" w:history="1">
            <w:r w:rsidR="00EC5F9B" w:rsidRPr="00DE065D">
              <w:rPr>
                <w:rStyle w:val="Hyperlink"/>
                <w:rFonts w:ascii="Times New Roman" w:hAnsi="Times New Roman" w:cs="Times New Roman"/>
                <w:noProof/>
              </w:rPr>
              <w:t>Order cancelation</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_Toc497411965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13</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66" w:history="1">
            <w:r w:rsidR="00EC5F9B" w:rsidRPr="00DE065D">
              <w:rPr>
                <w:rStyle w:val="Hyperlink"/>
                <w:rFonts w:ascii="Times New Roman" w:hAnsi="Times New Roman" w:cs="Times New Roman"/>
                <w:noProof/>
              </w:rPr>
              <w:t>Token Specifications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_Toc497411966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13</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67" w:history="1">
            <w:r w:rsidR="00EC5F9B" w:rsidRPr="00DE065D">
              <w:rPr>
                <w:rStyle w:val="Hyperlink"/>
                <w:rFonts w:ascii="Times New Roman" w:hAnsi="Times New Roman" w:cs="Times New Roman"/>
                <w:noProof/>
              </w:rPr>
              <w:t>Buy back guarantee</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_Toc497411967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14</w:t>
            </w:r>
            <w:r w:rsidRPr="00DE065D">
              <w:rPr>
                <w:rFonts w:ascii="Times New Roman" w:hAnsi="Times New Roman" w:cs="Times New Roman"/>
                <w:noProof/>
                <w:webHidden/>
              </w:rPr>
              <w:fldChar w:fldCharType="end"/>
            </w:r>
          </w:hyperlink>
        </w:p>
        <w:p w:rsidR="00EC5F9B" w:rsidRPr="00DE065D" w:rsidRDefault="003C17B1">
          <w:pPr>
            <w:pStyle w:val="TOC2"/>
            <w:tabs>
              <w:tab w:val="right" w:leader="dot" w:pos="9350"/>
            </w:tabs>
            <w:rPr>
              <w:rFonts w:ascii="Times New Roman" w:eastAsiaTheme="minorEastAsia" w:hAnsi="Times New Roman" w:cs="Times New Roman"/>
              <w:noProof/>
            </w:rPr>
          </w:pPr>
          <w:hyperlink w:anchor="_Toc497411968" w:history="1">
            <w:r w:rsidR="00EC5F9B" w:rsidRPr="00DE065D">
              <w:rPr>
                <w:rStyle w:val="Hyperlink"/>
                <w:rFonts w:ascii="Times New Roman" w:hAnsi="Times New Roman" w:cs="Times New Roman"/>
                <w:noProof/>
              </w:rPr>
              <w:t>Token's Liquidity</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_Toc497411968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14</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69" w:history="1">
            <w:r w:rsidR="00EC5F9B" w:rsidRPr="00DE065D">
              <w:rPr>
                <w:rStyle w:val="Hyperlink"/>
                <w:rFonts w:ascii="Times New Roman" w:hAnsi="Times New Roman" w:cs="Times New Roman"/>
                <w:noProof/>
              </w:rPr>
              <w:t>Summary</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_Toc497411969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15</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70" w:history="1">
            <w:r w:rsidR="00EC5F9B" w:rsidRPr="00DE065D">
              <w:rPr>
                <w:rStyle w:val="Hyperlink"/>
                <w:rFonts w:ascii="Times New Roman" w:hAnsi="Times New Roman" w:cs="Times New Roman"/>
                <w:noProof/>
              </w:rPr>
              <w:t>Acknowledgement</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_Toc497411970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16</w:t>
            </w:r>
            <w:r w:rsidRPr="00DE065D">
              <w:rPr>
                <w:rFonts w:ascii="Times New Roman" w:hAnsi="Times New Roman" w:cs="Times New Roman"/>
                <w:noProof/>
                <w:webHidden/>
              </w:rPr>
              <w:fldChar w:fldCharType="end"/>
            </w:r>
          </w:hyperlink>
        </w:p>
        <w:p w:rsidR="00EC5F9B" w:rsidRPr="00DE065D" w:rsidRDefault="003C17B1">
          <w:pPr>
            <w:pStyle w:val="TOC1"/>
            <w:tabs>
              <w:tab w:val="right" w:leader="dot" w:pos="9350"/>
            </w:tabs>
            <w:rPr>
              <w:rFonts w:ascii="Times New Roman" w:eastAsiaTheme="minorEastAsia" w:hAnsi="Times New Roman" w:cs="Times New Roman"/>
              <w:noProof/>
            </w:rPr>
          </w:pPr>
          <w:hyperlink w:anchor="_Toc497411971" w:history="1">
            <w:r w:rsidR="00EC5F9B" w:rsidRPr="00DE065D">
              <w:rPr>
                <w:rStyle w:val="Hyperlink"/>
                <w:rFonts w:ascii="Times New Roman" w:hAnsi="Times New Roman" w:cs="Times New Roman"/>
                <w:noProof/>
              </w:rPr>
              <w:t>References</w:t>
            </w:r>
            <w:r w:rsidR="00EC5F9B" w:rsidRPr="00DE065D">
              <w:rPr>
                <w:rFonts w:ascii="Times New Roman" w:hAnsi="Times New Roman" w:cs="Times New Roman"/>
                <w:noProof/>
                <w:webHidden/>
              </w:rPr>
              <w:tab/>
            </w:r>
            <w:r w:rsidRPr="00DE065D">
              <w:rPr>
                <w:rFonts w:ascii="Times New Roman" w:hAnsi="Times New Roman" w:cs="Times New Roman"/>
                <w:noProof/>
                <w:webHidden/>
              </w:rPr>
              <w:fldChar w:fldCharType="begin"/>
            </w:r>
            <w:r w:rsidR="00EC5F9B" w:rsidRPr="00DE065D">
              <w:rPr>
                <w:rFonts w:ascii="Times New Roman" w:hAnsi="Times New Roman" w:cs="Times New Roman"/>
                <w:noProof/>
                <w:webHidden/>
              </w:rPr>
              <w:instrText xml:space="preserve"> PAGEREF _Toc497411971 \h </w:instrText>
            </w:r>
            <w:r w:rsidRPr="00DE065D">
              <w:rPr>
                <w:rFonts w:ascii="Times New Roman" w:hAnsi="Times New Roman" w:cs="Times New Roman"/>
                <w:noProof/>
                <w:webHidden/>
              </w:rPr>
            </w:r>
            <w:r w:rsidRPr="00DE065D">
              <w:rPr>
                <w:rFonts w:ascii="Times New Roman" w:hAnsi="Times New Roman" w:cs="Times New Roman"/>
                <w:noProof/>
                <w:webHidden/>
              </w:rPr>
              <w:fldChar w:fldCharType="separate"/>
            </w:r>
            <w:r w:rsidR="00AE58F4" w:rsidRPr="00DE065D">
              <w:rPr>
                <w:rFonts w:ascii="Times New Roman" w:hAnsi="Times New Roman" w:cs="Times New Roman"/>
                <w:noProof/>
                <w:webHidden/>
              </w:rPr>
              <w:t>17</w:t>
            </w:r>
            <w:r w:rsidRPr="00DE065D">
              <w:rPr>
                <w:rFonts w:ascii="Times New Roman" w:hAnsi="Times New Roman" w:cs="Times New Roman"/>
                <w:noProof/>
                <w:webHidden/>
              </w:rPr>
              <w:fldChar w:fldCharType="end"/>
            </w:r>
          </w:hyperlink>
        </w:p>
        <w:p w:rsidR="005D5070" w:rsidRPr="00DE065D" w:rsidRDefault="003C17B1">
          <w:pPr>
            <w:rPr>
              <w:rFonts w:ascii="Times New Roman" w:hAnsi="Times New Roman" w:cs="Times New Roman"/>
            </w:rPr>
          </w:pPr>
          <w:r w:rsidRPr="00DE065D">
            <w:rPr>
              <w:rFonts w:ascii="Times New Roman" w:hAnsi="Times New Roman" w:cs="Times New Roman"/>
            </w:rPr>
            <w:fldChar w:fldCharType="end"/>
          </w:r>
        </w:p>
      </w:sdtContent>
    </w:sdt>
    <w:p w:rsidR="005D5070" w:rsidRPr="00DE065D" w:rsidRDefault="005D5070" w:rsidP="00653F5D">
      <w:pPr>
        <w:pStyle w:val="Heading1"/>
        <w:rPr>
          <w:rFonts w:ascii="Times New Roman" w:hAnsi="Times New Roman" w:cs="Times New Roman"/>
          <w:color w:val="000000" w:themeColor="text1"/>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804B7B" w:rsidRPr="00DE065D" w:rsidRDefault="00804B7B" w:rsidP="00804B7B">
      <w:pPr>
        <w:rPr>
          <w:rFonts w:ascii="Times New Roman" w:hAnsi="Times New Roman" w:cs="Times New Roman"/>
        </w:rPr>
      </w:pPr>
    </w:p>
    <w:p w:rsidR="003F4D53" w:rsidRPr="00DE065D" w:rsidRDefault="003F4D53" w:rsidP="00653F5D">
      <w:pPr>
        <w:pStyle w:val="Heading1"/>
        <w:rPr>
          <w:rFonts w:ascii="Times New Roman" w:hAnsi="Times New Roman" w:cs="Times New Roman"/>
          <w:color w:val="000000" w:themeColor="text1"/>
        </w:rPr>
      </w:pPr>
      <w:bookmarkStart w:id="0" w:name="_Toc497411933"/>
      <w:r w:rsidRPr="00DE065D">
        <w:rPr>
          <w:rFonts w:ascii="Times New Roman" w:hAnsi="Times New Roman" w:cs="Times New Roman"/>
          <w:color w:val="000000" w:themeColor="text1"/>
        </w:rPr>
        <w:lastRenderedPageBreak/>
        <w:t>Introduction</w:t>
      </w:r>
      <w:bookmarkEnd w:id="0"/>
      <w:r w:rsidRPr="00DE065D">
        <w:rPr>
          <w:rFonts w:ascii="Times New Roman" w:hAnsi="Times New Roman" w:cs="Times New Roman"/>
          <w:color w:val="000000" w:themeColor="text1"/>
        </w:rPr>
        <w:t xml:space="preserve"> </w:t>
      </w:r>
    </w:p>
    <w:p w:rsidR="00F94F27" w:rsidRPr="00DE065D" w:rsidRDefault="00F94F27" w:rsidP="00F94F27">
      <w:pPr>
        <w:rPr>
          <w:rFonts w:ascii="Times New Roman" w:hAnsi="Times New Roman" w:cs="Times New Roman"/>
          <w:color w:val="000000" w:themeColor="text1"/>
        </w:rPr>
      </w:pPr>
    </w:p>
    <w:p w:rsidR="0041144F" w:rsidRPr="00DE065D" w:rsidRDefault="00C77C03" w:rsidP="00F94F27">
      <w:pPr>
        <w:jc w:val="both"/>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Blockchains have been revolutionary since the inception, allowing anyone to own and transfer assets in an open network without trusted third parties interference.</w:t>
      </w:r>
      <w:r w:rsidR="0041144F" w:rsidRPr="00DE065D">
        <w:rPr>
          <w:rFonts w:ascii="Times New Roman" w:hAnsi="Times New Roman" w:cs="Times New Roman"/>
          <w:color w:val="000000" w:themeColor="text1"/>
          <w:sz w:val="24"/>
          <w:szCs w:val="24"/>
        </w:rPr>
        <w:t xml:space="preserve"> Blockchain has a massive influence across many domains, particularly in the finance sector. It is strongly believed that tokenization [1</w:t>
      </w:r>
      <w:proofErr w:type="gramStart"/>
      <w:r w:rsidR="0041144F" w:rsidRPr="00DE065D">
        <w:rPr>
          <w:rFonts w:ascii="Times New Roman" w:hAnsi="Times New Roman" w:cs="Times New Roman"/>
          <w:color w:val="000000" w:themeColor="text1"/>
          <w:sz w:val="24"/>
          <w:szCs w:val="24"/>
        </w:rPr>
        <w:t>][</w:t>
      </w:r>
      <w:proofErr w:type="gramEnd"/>
      <w:r w:rsidR="0041144F" w:rsidRPr="00DE065D">
        <w:rPr>
          <w:rFonts w:ascii="Times New Roman" w:hAnsi="Times New Roman" w:cs="Times New Roman"/>
          <w:color w:val="000000" w:themeColor="text1"/>
          <w:sz w:val="24"/>
          <w:szCs w:val="24"/>
        </w:rPr>
        <w:t>2] offers many solutions across these domains. Asset tokenization can reduce cost, and globalize the asset and increase the liquidation thereof.</w:t>
      </w:r>
      <w:r w:rsidR="00F94F27" w:rsidRPr="00DE065D">
        <w:rPr>
          <w:rFonts w:ascii="Times New Roman" w:hAnsi="Times New Roman" w:cs="Times New Roman"/>
          <w:color w:val="000000" w:themeColor="text1"/>
          <w:sz w:val="24"/>
          <w:szCs w:val="24"/>
        </w:rPr>
        <w:t xml:space="preserve"> Individuals are using digital assets just not for the medium of exchange but also for the store of value as money and other stocks, need to control the risk available in the digital assets hav</w:t>
      </w:r>
      <w:r w:rsidR="0060665D" w:rsidRPr="00DE065D">
        <w:rPr>
          <w:rFonts w:ascii="Times New Roman" w:hAnsi="Times New Roman" w:cs="Times New Roman"/>
          <w:color w:val="000000" w:themeColor="text1"/>
          <w:sz w:val="24"/>
          <w:szCs w:val="24"/>
        </w:rPr>
        <w:t>e been raised for the market which</w:t>
      </w:r>
      <w:r w:rsidR="00F94F27" w:rsidRPr="00DE065D">
        <w:rPr>
          <w:rFonts w:ascii="Times New Roman" w:hAnsi="Times New Roman" w:cs="Times New Roman"/>
          <w:color w:val="000000" w:themeColor="text1"/>
          <w:sz w:val="24"/>
          <w:szCs w:val="24"/>
        </w:rPr>
        <w:t xml:space="preserve"> worth more than USD 150 billion [3].  </w:t>
      </w:r>
      <w:r w:rsidRPr="00DE065D">
        <w:rPr>
          <w:rFonts w:ascii="Times New Roman" w:hAnsi="Times New Roman" w:cs="Times New Roman"/>
          <w:color w:val="000000" w:themeColor="text1"/>
          <w:sz w:val="24"/>
          <w:szCs w:val="24"/>
        </w:rPr>
        <w:t xml:space="preserve"> </w:t>
      </w:r>
    </w:p>
    <w:p w:rsidR="00387CB7" w:rsidRPr="00DE065D" w:rsidRDefault="00C77C03" w:rsidP="00F94F27">
      <w:pPr>
        <w:jc w:val="both"/>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Now there are hundreds </w:t>
      </w:r>
      <w:r w:rsidR="0041144F" w:rsidRPr="00DE065D">
        <w:rPr>
          <w:rFonts w:ascii="Times New Roman" w:hAnsi="Times New Roman" w:cs="Times New Roman"/>
          <w:color w:val="000000" w:themeColor="text1"/>
          <w:sz w:val="24"/>
          <w:szCs w:val="24"/>
        </w:rPr>
        <w:t>[3</w:t>
      </w:r>
      <w:r w:rsidRPr="00DE065D">
        <w:rPr>
          <w:rFonts w:ascii="Times New Roman" w:hAnsi="Times New Roman" w:cs="Times New Roman"/>
          <w:color w:val="000000" w:themeColor="text1"/>
          <w:sz w:val="24"/>
          <w:szCs w:val="24"/>
        </w:rPr>
        <w:t>] of blockchain based assets, and each of these assets have certain degree of volatility and</w:t>
      </w:r>
      <w:r w:rsidR="00387CB7" w:rsidRPr="00DE065D">
        <w:rPr>
          <w:rFonts w:ascii="Times New Roman" w:hAnsi="Times New Roman" w:cs="Times New Roman"/>
          <w:color w:val="000000" w:themeColor="text1"/>
          <w:sz w:val="24"/>
          <w:szCs w:val="24"/>
        </w:rPr>
        <w:t xml:space="preserve"> risk factor. This risk factor in the absence of regulatory bodies and purely individual involvement becomes huge, same as in the case of digital assets. But the risk available in the market can be reduced to a minimal value with certain tools and techniques. </w:t>
      </w:r>
      <w:r w:rsidRPr="00DE065D">
        <w:rPr>
          <w:rFonts w:ascii="Times New Roman" w:hAnsi="Times New Roman" w:cs="Times New Roman"/>
          <w:color w:val="000000" w:themeColor="text1"/>
          <w:sz w:val="24"/>
          <w:szCs w:val="24"/>
        </w:rPr>
        <w:t xml:space="preserve"> </w:t>
      </w:r>
      <w:r w:rsidR="00E27E28" w:rsidRPr="00DE065D">
        <w:rPr>
          <w:rFonts w:ascii="Times New Roman" w:hAnsi="Times New Roman" w:cs="Times New Roman"/>
          <w:color w:val="000000" w:themeColor="text1"/>
          <w:sz w:val="24"/>
          <w:szCs w:val="24"/>
        </w:rPr>
        <w:t>Hedging is</w:t>
      </w:r>
      <w:r w:rsidR="00387CB7" w:rsidRPr="00DE065D">
        <w:rPr>
          <w:rFonts w:ascii="Times New Roman" w:hAnsi="Times New Roman" w:cs="Times New Roman"/>
          <w:color w:val="000000" w:themeColor="text1"/>
          <w:sz w:val="24"/>
          <w:szCs w:val="24"/>
        </w:rPr>
        <w:t xml:space="preserve"> an important</w:t>
      </w:r>
      <w:r w:rsidR="00E27E28" w:rsidRPr="00DE065D">
        <w:rPr>
          <w:rFonts w:ascii="Times New Roman" w:hAnsi="Times New Roman" w:cs="Times New Roman"/>
          <w:color w:val="000000" w:themeColor="text1"/>
          <w:sz w:val="24"/>
          <w:szCs w:val="24"/>
        </w:rPr>
        <w:t xml:space="preserve"> technique to mitigate risk in the financial market for a few key reasons: Hedging can save your position in sharp price decline which happens often in the digital currency </w:t>
      </w:r>
      <w:r w:rsidR="0041144F" w:rsidRPr="00DE065D">
        <w:rPr>
          <w:rFonts w:ascii="Times New Roman" w:hAnsi="Times New Roman" w:cs="Times New Roman"/>
          <w:color w:val="000000" w:themeColor="text1"/>
          <w:sz w:val="24"/>
          <w:szCs w:val="24"/>
        </w:rPr>
        <w:t>markets [4</w:t>
      </w:r>
      <w:r w:rsidR="00E27E28" w:rsidRPr="00DE065D">
        <w:rPr>
          <w:rFonts w:ascii="Times New Roman" w:hAnsi="Times New Roman" w:cs="Times New Roman"/>
          <w:color w:val="000000" w:themeColor="text1"/>
          <w:sz w:val="24"/>
          <w:szCs w:val="24"/>
        </w:rPr>
        <w:t xml:space="preserve">], Hedging technique allows  individual to open long term cost effective position in the market with the help of forward contracts.  </w:t>
      </w:r>
      <w:r w:rsidR="00387CB7" w:rsidRPr="00DE065D">
        <w:rPr>
          <w:rFonts w:ascii="Times New Roman" w:hAnsi="Times New Roman" w:cs="Times New Roman"/>
          <w:color w:val="000000" w:themeColor="text1"/>
          <w:sz w:val="24"/>
          <w:szCs w:val="24"/>
        </w:rPr>
        <w:t xml:space="preserve"> </w:t>
      </w:r>
    </w:p>
    <w:p w:rsidR="00943B8A" w:rsidRPr="00DE065D" w:rsidRDefault="00F94F27" w:rsidP="00523CA0">
      <w:pPr>
        <w:rPr>
          <w:rFonts w:ascii="Times New Roman" w:hAnsi="Times New Roman" w:cs="Times New Roman"/>
          <w:color w:val="000000" w:themeColor="text1"/>
        </w:rPr>
      </w:pPr>
      <w:r w:rsidRPr="00DE065D">
        <w:rPr>
          <w:rFonts w:ascii="Times New Roman" w:hAnsi="Times New Roman" w:cs="Times New Roman"/>
          <w:color w:val="000000" w:themeColor="text1"/>
          <w:sz w:val="24"/>
          <w:szCs w:val="24"/>
        </w:rPr>
        <w:t xml:space="preserve">Accord is a new digital currency on Ethereum blockchain, regulated by the ERC20 smart contract, intended to use as primary currency on Accord hedging platform (AHP). AHP is aimed to mitigate the risk available on digital currencies, and to provide the maximum trade profits with controlled risk by providing </w:t>
      </w:r>
    </w:p>
    <w:p w:rsidR="00836B6E" w:rsidRPr="00DE065D" w:rsidRDefault="00836B6E" w:rsidP="007003AA">
      <w:pPr>
        <w:pStyle w:val="Heading1"/>
        <w:rPr>
          <w:rFonts w:ascii="Times New Roman" w:hAnsi="Times New Roman" w:cs="Times New Roman"/>
          <w:color w:val="000000" w:themeColor="text1"/>
        </w:rPr>
      </w:pPr>
      <w:bookmarkStart w:id="1" w:name="_Toc497411934"/>
      <w:r w:rsidRPr="00DE065D">
        <w:rPr>
          <w:rFonts w:ascii="Times New Roman" w:hAnsi="Times New Roman" w:cs="Times New Roman"/>
          <w:color w:val="000000" w:themeColor="text1"/>
        </w:rPr>
        <w:lastRenderedPageBreak/>
        <w:t>The Accord Cryptocurrency</w:t>
      </w:r>
      <w:bookmarkEnd w:id="1"/>
    </w:p>
    <w:p w:rsidR="005D5070" w:rsidRPr="00DE065D" w:rsidRDefault="00836B6E" w:rsidP="005D5070">
      <w:pPr>
        <w:pStyle w:val="Heading2"/>
        <w:rPr>
          <w:rFonts w:ascii="Times New Roman" w:hAnsi="Times New Roman" w:cs="Times New Roman"/>
          <w:color w:val="000000" w:themeColor="text1"/>
        </w:rPr>
      </w:pPr>
      <w:r w:rsidRPr="00DE065D">
        <w:rPr>
          <w:rFonts w:ascii="Times New Roman" w:hAnsi="Times New Roman" w:cs="Times New Roman"/>
          <w:color w:val="000000" w:themeColor="text1"/>
        </w:rPr>
        <w:t xml:space="preserve"> </w:t>
      </w:r>
      <w:bookmarkStart w:id="2" w:name="_Toc497411935"/>
      <w:r w:rsidRPr="00DE065D">
        <w:rPr>
          <w:rFonts w:ascii="Times New Roman" w:hAnsi="Times New Roman" w:cs="Times New Roman"/>
          <w:color w:val="000000" w:themeColor="text1"/>
        </w:rPr>
        <w:t>Purpose and characterization</w:t>
      </w:r>
      <w:bookmarkEnd w:id="2"/>
      <w:r w:rsidRPr="00DE065D">
        <w:rPr>
          <w:rFonts w:ascii="Times New Roman" w:hAnsi="Times New Roman" w:cs="Times New Roman"/>
          <w:color w:val="000000" w:themeColor="text1"/>
        </w:rPr>
        <w:t xml:space="preserve"> </w:t>
      </w:r>
    </w:p>
    <w:p w:rsidR="00836B6E" w:rsidRPr="00DE065D" w:rsidRDefault="00836B6E" w:rsidP="005D5070">
      <w:pPr>
        <w:pStyle w:val="Heading2"/>
        <w:rPr>
          <w:rFonts w:ascii="Times New Roman" w:hAnsi="Times New Roman" w:cs="Times New Roman"/>
          <w:color w:val="000000" w:themeColor="text1"/>
        </w:rPr>
      </w:pPr>
      <w:bookmarkStart w:id="3" w:name="_Toc497119756"/>
      <w:bookmarkStart w:id="4" w:name="_Toc497411936"/>
      <w:r w:rsidRPr="00DE065D">
        <w:rPr>
          <w:rFonts w:ascii="Times New Roman" w:hAnsi="Times New Roman" w:cs="Times New Roman"/>
          <w:b w:val="0"/>
          <w:color w:val="000000" w:themeColor="text1"/>
          <w:sz w:val="24"/>
          <w:szCs w:val="24"/>
        </w:rPr>
        <w:t>Accord Organization is introducing an open source crypto token, named Accord, which is envisioned for use in Accord Hedging Platform (AHP). Accord will be the unit of account for all economic transactions within the AHP. In character, Accord is a pure cryptocurrency of fixed su</w:t>
      </w:r>
      <w:r w:rsidR="007D30E5" w:rsidRPr="00DE065D">
        <w:rPr>
          <w:rFonts w:ascii="Times New Roman" w:hAnsi="Times New Roman" w:cs="Times New Roman"/>
          <w:b w:val="0"/>
          <w:color w:val="000000" w:themeColor="text1"/>
          <w:sz w:val="24"/>
          <w:szCs w:val="24"/>
        </w:rPr>
        <w:t>pply</w:t>
      </w:r>
      <w:r w:rsidRPr="00DE065D">
        <w:rPr>
          <w:rFonts w:ascii="Times New Roman" w:hAnsi="Times New Roman" w:cs="Times New Roman"/>
          <w:b w:val="0"/>
          <w:color w:val="000000" w:themeColor="text1"/>
          <w:sz w:val="24"/>
          <w:szCs w:val="24"/>
        </w:rPr>
        <w:t>. However, a</w:t>
      </w:r>
      <w:r w:rsidR="007D30E5" w:rsidRPr="00DE065D">
        <w:rPr>
          <w:rFonts w:ascii="Times New Roman" w:hAnsi="Times New Roman" w:cs="Times New Roman"/>
          <w:b w:val="0"/>
          <w:color w:val="000000" w:themeColor="text1"/>
          <w:sz w:val="24"/>
          <w:szCs w:val="24"/>
        </w:rPr>
        <w:t>s described below, only a portion of the Accord (</w:t>
      </w:r>
      <w:r w:rsidR="00EC5F9B" w:rsidRPr="00DE065D">
        <w:rPr>
          <w:rFonts w:ascii="Times New Roman" w:hAnsi="Times New Roman" w:cs="Times New Roman"/>
          <w:b w:val="0"/>
          <w:color w:val="000000" w:themeColor="text1"/>
          <w:sz w:val="24"/>
          <w:szCs w:val="24"/>
        </w:rPr>
        <w:t>ARD</w:t>
      </w:r>
      <w:r w:rsidR="007D30E5" w:rsidRPr="00DE065D">
        <w:rPr>
          <w:rFonts w:ascii="Times New Roman" w:hAnsi="Times New Roman" w:cs="Times New Roman"/>
          <w:b w:val="0"/>
          <w:color w:val="000000" w:themeColor="text1"/>
          <w:sz w:val="24"/>
          <w:szCs w:val="24"/>
        </w:rPr>
        <w:t>)</w:t>
      </w:r>
      <w:r w:rsidRPr="00DE065D">
        <w:rPr>
          <w:rFonts w:ascii="Times New Roman" w:hAnsi="Times New Roman" w:cs="Times New Roman"/>
          <w:b w:val="0"/>
          <w:color w:val="000000" w:themeColor="text1"/>
          <w:sz w:val="24"/>
          <w:szCs w:val="24"/>
        </w:rPr>
        <w:t xml:space="preserve"> supply will </w:t>
      </w:r>
      <w:r w:rsidR="007D30E5" w:rsidRPr="00DE065D">
        <w:rPr>
          <w:rFonts w:ascii="Times New Roman" w:hAnsi="Times New Roman" w:cs="Times New Roman"/>
          <w:b w:val="0"/>
          <w:color w:val="000000" w:themeColor="text1"/>
          <w:sz w:val="24"/>
          <w:szCs w:val="24"/>
        </w:rPr>
        <w:t xml:space="preserve">become liquid in the crowd sale, as rest of the </w:t>
      </w:r>
      <w:r w:rsidR="00EC5F9B" w:rsidRPr="00DE065D">
        <w:rPr>
          <w:rFonts w:ascii="Times New Roman" w:hAnsi="Times New Roman" w:cs="Times New Roman"/>
          <w:b w:val="0"/>
          <w:color w:val="000000" w:themeColor="text1"/>
          <w:sz w:val="24"/>
          <w:szCs w:val="24"/>
        </w:rPr>
        <w:t>ARD</w:t>
      </w:r>
      <w:r w:rsidRPr="00DE065D">
        <w:rPr>
          <w:rFonts w:ascii="Times New Roman" w:hAnsi="Times New Roman" w:cs="Times New Roman"/>
          <w:b w:val="0"/>
          <w:color w:val="000000" w:themeColor="text1"/>
          <w:sz w:val="24"/>
          <w:szCs w:val="24"/>
        </w:rPr>
        <w:t xml:space="preserve"> supply is res</w:t>
      </w:r>
      <w:r w:rsidR="007D30E5" w:rsidRPr="00DE065D">
        <w:rPr>
          <w:rFonts w:ascii="Times New Roman" w:hAnsi="Times New Roman" w:cs="Times New Roman"/>
          <w:b w:val="0"/>
          <w:color w:val="000000" w:themeColor="text1"/>
          <w:sz w:val="24"/>
          <w:szCs w:val="24"/>
        </w:rPr>
        <w:t>erved for the Accord organization and incentive distribution</w:t>
      </w:r>
      <w:r w:rsidRPr="00DE065D">
        <w:rPr>
          <w:rFonts w:ascii="Times New Roman" w:hAnsi="Times New Roman" w:cs="Times New Roman"/>
          <w:b w:val="0"/>
          <w:color w:val="000000" w:themeColor="text1"/>
          <w:sz w:val="24"/>
          <w:szCs w:val="24"/>
        </w:rPr>
        <w:t>. Like othe</w:t>
      </w:r>
      <w:r w:rsidR="007D30E5" w:rsidRPr="00DE065D">
        <w:rPr>
          <w:rFonts w:ascii="Times New Roman" w:hAnsi="Times New Roman" w:cs="Times New Roman"/>
          <w:b w:val="0"/>
          <w:color w:val="000000" w:themeColor="text1"/>
          <w:sz w:val="24"/>
          <w:szCs w:val="24"/>
        </w:rPr>
        <w:t xml:space="preserve">r cryptocurrencies, units of </w:t>
      </w:r>
      <w:r w:rsidR="00EC5F9B" w:rsidRPr="00DE065D">
        <w:rPr>
          <w:rFonts w:ascii="Times New Roman" w:hAnsi="Times New Roman" w:cs="Times New Roman"/>
          <w:b w:val="0"/>
          <w:color w:val="000000" w:themeColor="text1"/>
          <w:sz w:val="24"/>
          <w:szCs w:val="24"/>
        </w:rPr>
        <w:t>ARD</w:t>
      </w:r>
      <w:r w:rsidRPr="00DE065D">
        <w:rPr>
          <w:rFonts w:ascii="Times New Roman" w:hAnsi="Times New Roman" w:cs="Times New Roman"/>
          <w:b w:val="0"/>
          <w:color w:val="000000" w:themeColor="text1"/>
          <w:sz w:val="24"/>
          <w:szCs w:val="24"/>
        </w:rPr>
        <w:t xml:space="preserve"> are fungible and transferable, and they will be expected to trade on </w:t>
      </w:r>
      <w:r w:rsidR="007D30E5" w:rsidRPr="00DE065D">
        <w:rPr>
          <w:rFonts w:ascii="Times New Roman" w:hAnsi="Times New Roman" w:cs="Times New Roman"/>
          <w:b w:val="0"/>
          <w:color w:val="000000" w:themeColor="text1"/>
          <w:sz w:val="24"/>
          <w:szCs w:val="24"/>
        </w:rPr>
        <w:t xml:space="preserve">well reputed </w:t>
      </w:r>
      <w:r w:rsidRPr="00DE065D">
        <w:rPr>
          <w:rFonts w:ascii="Times New Roman" w:hAnsi="Times New Roman" w:cs="Times New Roman"/>
          <w:b w:val="0"/>
          <w:color w:val="000000" w:themeColor="text1"/>
          <w:sz w:val="24"/>
          <w:szCs w:val="24"/>
        </w:rPr>
        <w:t>cryptocurrency exchanges.</w:t>
      </w:r>
      <w:bookmarkEnd w:id="3"/>
      <w:bookmarkEnd w:id="4"/>
    </w:p>
    <w:p w:rsidR="005D5070" w:rsidRPr="00DE065D" w:rsidRDefault="00836B6E" w:rsidP="005D5070">
      <w:pPr>
        <w:pStyle w:val="Heading2"/>
        <w:rPr>
          <w:rFonts w:ascii="Times New Roman" w:hAnsi="Times New Roman" w:cs="Times New Roman"/>
          <w:color w:val="000000" w:themeColor="text1"/>
        </w:rPr>
      </w:pPr>
      <w:r w:rsidRPr="00DE065D">
        <w:rPr>
          <w:rFonts w:ascii="Times New Roman" w:hAnsi="Times New Roman" w:cs="Times New Roman"/>
          <w:color w:val="000000" w:themeColor="text1"/>
        </w:rPr>
        <w:t xml:space="preserve"> </w:t>
      </w:r>
      <w:bookmarkStart w:id="5" w:name="_Toc497411937"/>
      <w:r w:rsidRPr="00DE065D">
        <w:rPr>
          <w:rFonts w:ascii="Times New Roman" w:hAnsi="Times New Roman" w:cs="Times New Roman"/>
          <w:color w:val="000000" w:themeColor="text1"/>
        </w:rPr>
        <w:t>Implementation: Ethereum and ERC20</w:t>
      </w:r>
      <w:bookmarkEnd w:id="5"/>
      <w:r w:rsidRPr="00DE065D">
        <w:rPr>
          <w:rFonts w:ascii="Times New Roman" w:hAnsi="Times New Roman" w:cs="Times New Roman"/>
          <w:color w:val="000000" w:themeColor="text1"/>
        </w:rPr>
        <w:t xml:space="preserve"> </w:t>
      </w:r>
    </w:p>
    <w:p w:rsidR="00836B6E" w:rsidRPr="00DE065D" w:rsidRDefault="007D30E5" w:rsidP="005D5070">
      <w:pPr>
        <w:pStyle w:val="Heading2"/>
        <w:rPr>
          <w:rFonts w:ascii="Times New Roman" w:hAnsi="Times New Roman" w:cs="Times New Roman"/>
          <w:color w:val="000000" w:themeColor="text1"/>
        </w:rPr>
      </w:pPr>
      <w:bookmarkStart w:id="6" w:name="_Toc497119758"/>
      <w:bookmarkStart w:id="7" w:name="_Toc497411938"/>
      <w:r w:rsidRPr="00DE065D">
        <w:rPr>
          <w:rFonts w:ascii="Times New Roman" w:hAnsi="Times New Roman" w:cs="Times New Roman"/>
          <w:b w:val="0"/>
          <w:color w:val="000000" w:themeColor="text1"/>
          <w:sz w:val="24"/>
          <w:szCs w:val="24"/>
        </w:rPr>
        <w:t>Accord</w:t>
      </w:r>
      <w:r w:rsidR="00836B6E" w:rsidRPr="00DE065D">
        <w:rPr>
          <w:rFonts w:ascii="Times New Roman" w:hAnsi="Times New Roman" w:cs="Times New Roman"/>
          <w:b w:val="0"/>
          <w:color w:val="000000" w:themeColor="text1"/>
          <w:sz w:val="24"/>
          <w:szCs w:val="24"/>
        </w:rPr>
        <w:t xml:space="preserve"> will be implemented on the public Ethereu</w:t>
      </w:r>
      <w:r w:rsidRPr="00DE065D">
        <w:rPr>
          <w:rFonts w:ascii="Times New Roman" w:hAnsi="Times New Roman" w:cs="Times New Roman"/>
          <w:b w:val="0"/>
          <w:color w:val="000000" w:themeColor="text1"/>
          <w:sz w:val="24"/>
          <w:szCs w:val="24"/>
        </w:rPr>
        <w:t>m blockchain as an ERC20 token.</w:t>
      </w:r>
      <w:r w:rsidR="00836B6E" w:rsidRPr="00DE065D">
        <w:rPr>
          <w:rFonts w:ascii="Times New Roman" w:hAnsi="Times New Roman" w:cs="Times New Roman"/>
          <w:b w:val="0"/>
          <w:color w:val="000000" w:themeColor="text1"/>
          <w:sz w:val="24"/>
          <w:szCs w:val="24"/>
        </w:rPr>
        <w:t xml:space="preserve"> The Ethereum blockchain is currently the industry standard for issuing custom digital assets and smart contracts. The ERC20 token interface allows for the deployment of a standard token that is compatible with the existing infrastructure of the Ethereum ecosystem, such as development tools, wallets, and exchanges. </w:t>
      </w:r>
      <w:proofErr w:type="spellStart"/>
      <w:r w:rsidR="00836B6E" w:rsidRPr="00DE065D">
        <w:rPr>
          <w:rFonts w:ascii="Times New Roman" w:hAnsi="Times New Roman" w:cs="Times New Roman"/>
          <w:b w:val="0"/>
          <w:color w:val="000000" w:themeColor="text1"/>
          <w:sz w:val="24"/>
          <w:szCs w:val="24"/>
        </w:rPr>
        <w:t>Ethereum’s</w:t>
      </w:r>
      <w:proofErr w:type="spellEnd"/>
      <w:r w:rsidR="00836B6E" w:rsidRPr="00DE065D">
        <w:rPr>
          <w:rFonts w:ascii="Times New Roman" w:hAnsi="Times New Roman" w:cs="Times New Roman"/>
          <w:b w:val="0"/>
          <w:color w:val="000000" w:themeColor="text1"/>
          <w:sz w:val="24"/>
          <w:szCs w:val="24"/>
        </w:rPr>
        <w:t xml:space="preserve"> ability to deploy Turing-complete trustless smart contracts enables complex issuance rules for cryptocurrencies, digital financial contracts, and automated incentive structures. These advanced features and active ecosystem mak</w:t>
      </w:r>
      <w:r w:rsidRPr="00DE065D">
        <w:rPr>
          <w:rFonts w:ascii="Times New Roman" w:hAnsi="Times New Roman" w:cs="Times New Roman"/>
          <w:b w:val="0"/>
          <w:color w:val="000000" w:themeColor="text1"/>
          <w:sz w:val="24"/>
          <w:szCs w:val="24"/>
        </w:rPr>
        <w:t>e Ethereum a natural fit for Accord</w:t>
      </w:r>
      <w:r w:rsidR="00836B6E" w:rsidRPr="00DE065D">
        <w:rPr>
          <w:rFonts w:ascii="Times New Roman" w:hAnsi="Times New Roman" w:cs="Times New Roman"/>
          <w:b w:val="0"/>
          <w:color w:val="000000" w:themeColor="text1"/>
          <w:sz w:val="24"/>
          <w:szCs w:val="24"/>
        </w:rPr>
        <w:t>.</w:t>
      </w:r>
      <w:bookmarkEnd w:id="6"/>
      <w:bookmarkEnd w:id="7"/>
    </w:p>
    <w:p w:rsidR="007D30E5" w:rsidRPr="00DE065D" w:rsidRDefault="007D30E5" w:rsidP="007D30E5">
      <w:pPr>
        <w:rPr>
          <w:rFonts w:ascii="Times New Roman" w:hAnsi="Times New Roman" w:cs="Times New Roman"/>
          <w:color w:val="000000" w:themeColor="text1"/>
        </w:rPr>
      </w:pPr>
    </w:p>
    <w:p w:rsidR="007D30E5" w:rsidRPr="00DE065D" w:rsidRDefault="007D30E5" w:rsidP="00653F5D">
      <w:pPr>
        <w:pStyle w:val="Heading2"/>
        <w:rPr>
          <w:rFonts w:ascii="Times New Roman" w:hAnsi="Times New Roman" w:cs="Times New Roman"/>
          <w:color w:val="000000" w:themeColor="text1"/>
        </w:rPr>
      </w:pPr>
      <w:bookmarkStart w:id="8" w:name="_Toc497411939"/>
      <w:r w:rsidRPr="00DE065D">
        <w:rPr>
          <w:rFonts w:ascii="Times New Roman" w:hAnsi="Times New Roman" w:cs="Times New Roman"/>
          <w:color w:val="000000" w:themeColor="text1"/>
        </w:rPr>
        <w:t>Accord</w:t>
      </w:r>
      <w:r w:rsidR="0031208A" w:rsidRPr="00DE065D">
        <w:rPr>
          <w:rFonts w:ascii="Times New Roman" w:hAnsi="Times New Roman" w:cs="Times New Roman"/>
          <w:color w:val="000000" w:themeColor="text1"/>
        </w:rPr>
        <w:t>’s</w:t>
      </w:r>
      <w:r w:rsidRPr="00DE065D">
        <w:rPr>
          <w:rFonts w:ascii="Times New Roman" w:hAnsi="Times New Roman" w:cs="Times New Roman"/>
          <w:color w:val="000000" w:themeColor="text1"/>
        </w:rPr>
        <w:t xml:space="preserve"> Vision</w:t>
      </w:r>
      <w:bookmarkEnd w:id="8"/>
    </w:p>
    <w:p w:rsidR="005D5070" w:rsidRPr="00DE065D" w:rsidRDefault="005D5070" w:rsidP="005D5070">
      <w:pPr>
        <w:rPr>
          <w:rFonts w:ascii="Times New Roman" w:hAnsi="Times New Roman" w:cs="Times New Roman"/>
        </w:rPr>
      </w:pPr>
    </w:p>
    <w:p w:rsidR="00523CA0" w:rsidRPr="00DE065D" w:rsidRDefault="007D30E5" w:rsidP="00523CA0">
      <w:pPr>
        <w:rPr>
          <w:rFonts w:ascii="Times New Roman" w:eastAsiaTheme="majorEastAsia" w:hAnsi="Times New Roman" w:cs="Times New Roman"/>
          <w:bCs/>
          <w:color w:val="000000" w:themeColor="text1"/>
          <w:sz w:val="24"/>
          <w:szCs w:val="24"/>
        </w:rPr>
      </w:pPr>
      <w:r w:rsidRPr="00DE065D">
        <w:rPr>
          <w:rFonts w:ascii="Times New Roman" w:eastAsiaTheme="majorEastAsia" w:hAnsi="Times New Roman" w:cs="Times New Roman"/>
          <w:bCs/>
          <w:color w:val="000000" w:themeColor="text1"/>
          <w:sz w:val="24"/>
          <w:szCs w:val="24"/>
        </w:rPr>
        <w:t xml:space="preserve">The first step is to </w:t>
      </w:r>
      <w:r w:rsidR="0031208A" w:rsidRPr="00DE065D">
        <w:rPr>
          <w:rFonts w:ascii="Times New Roman" w:eastAsiaTheme="majorEastAsia" w:hAnsi="Times New Roman" w:cs="Times New Roman"/>
          <w:bCs/>
          <w:color w:val="000000" w:themeColor="text1"/>
          <w:sz w:val="24"/>
          <w:szCs w:val="24"/>
        </w:rPr>
        <w:t>create a new cryptocurrency: Accord</w:t>
      </w:r>
      <w:r w:rsidR="00DE27A8" w:rsidRPr="00DE065D">
        <w:rPr>
          <w:rFonts w:ascii="Times New Roman" w:eastAsiaTheme="majorEastAsia" w:hAnsi="Times New Roman" w:cs="Times New Roman"/>
          <w:bCs/>
          <w:color w:val="000000" w:themeColor="text1"/>
          <w:sz w:val="24"/>
          <w:szCs w:val="24"/>
        </w:rPr>
        <w:t xml:space="preserve"> (</w:t>
      </w:r>
      <w:r w:rsidR="00EC5F9B" w:rsidRPr="00DE065D">
        <w:rPr>
          <w:rFonts w:ascii="Times New Roman" w:eastAsiaTheme="majorEastAsia" w:hAnsi="Times New Roman" w:cs="Times New Roman"/>
          <w:bCs/>
          <w:color w:val="000000" w:themeColor="text1"/>
          <w:sz w:val="24"/>
          <w:szCs w:val="24"/>
        </w:rPr>
        <w:t>ARD</w:t>
      </w:r>
      <w:r w:rsidR="00DE27A8" w:rsidRPr="00DE065D">
        <w:rPr>
          <w:rFonts w:ascii="Times New Roman" w:eastAsiaTheme="majorEastAsia" w:hAnsi="Times New Roman" w:cs="Times New Roman"/>
          <w:bCs/>
          <w:color w:val="000000" w:themeColor="text1"/>
          <w:sz w:val="24"/>
          <w:szCs w:val="24"/>
        </w:rPr>
        <w:t>) a primary currency for Accord Hedging Platform (AHP)</w:t>
      </w:r>
      <w:r w:rsidR="0031208A" w:rsidRPr="00DE065D">
        <w:rPr>
          <w:rFonts w:ascii="Times New Roman" w:eastAsiaTheme="majorEastAsia" w:hAnsi="Times New Roman" w:cs="Times New Roman"/>
          <w:bCs/>
          <w:color w:val="000000" w:themeColor="text1"/>
          <w:sz w:val="24"/>
          <w:szCs w:val="24"/>
        </w:rPr>
        <w:t>.  The word “Accord” is</w:t>
      </w:r>
      <w:r w:rsidRPr="00DE065D">
        <w:rPr>
          <w:rFonts w:ascii="Times New Roman" w:eastAsiaTheme="majorEastAsia" w:hAnsi="Times New Roman" w:cs="Times New Roman"/>
          <w:bCs/>
          <w:color w:val="000000" w:themeColor="text1"/>
          <w:sz w:val="24"/>
          <w:szCs w:val="24"/>
        </w:rPr>
        <w:t xml:space="preserve"> conveying a</w:t>
      </w:r>
      <w:r w:rsidR="0031208A" w:rsidRPr="00DE065D">
        <w:rPr>
          <w:rFonts w:ascii="Times New Roman" w:eastAsiaTheme="majorEastAsia" w:hAnsi="Times New Roman" w:cs="Times New Roman"/>
          <w:bCs/>
          <w:color w:val="000000" w:themeColor="text1"/>
          <w:sz w:val="24"/>
          <w:szCs w:val="24"/>
        </w:rPr>
        <w:t xml:space="preserve"> </w:t>
      </w:r>
      <w:r w:rsidR="00DE27A8" w:rsidRPr="00DE065D">
        <w:rPr>
          <w:rFonts w:ascii="Times New Roman" w:eastAsiaTheme="majorEastAsia" w:hAnsi="Times New Roman" w:cs="Times New Roman"/>
          <w:bCs/>
          <w:color w:val="000000" w:themeColor="text1"/>
          <w:sz w:val="24"/>
          <w:szCs w:val="24"/>
        </w:rPr>
        <w:t>meaning “To grant someone a power”</w:t>
      </w:r>
      <w:r w:rsidR="002576A6" w:rsidRPr="00DE065D">
        <w:rPr>
          <w:rFonts w:ascii="Times New Roman" w:eastAsiaTheme="majorEastAsia" w:hAnsi="Times New Roman" w:cs="Times New Roman"/>
          <w:bCs/>
          <w:color w:val="000000" w:themeColor="text1"/>
          <w:sz w:val="24"/>
          <w:szCs w:val="24"/>
        </w:rPr>
        <w:t>.</w:t>
      </w:r>
      <w:r w:rsidR="00523CA0" w:rsidRPr="00DE065D">
        <w:rPr>
          <w:rFonts w:ascii="Times New Roman" w:eastAsiaTheme="majorEastAsia" w:hAnsi="Times New Roman" w:cs="Times New Roman"/>
          <w:bCs/>
          <w:color w:val="000000" w:themeColor="text1"/>
          <w:sz w:val="24"/>
          <w:szCs w:val="24"/>
        </w:rPr>
        <w:t xml:space="preserve"> For a cryptocurrency to be viable it must also be useful and valuable, to fulfill that purpose initially we have announced an innovative platform for crypto currency day trading.  </w:t>
      </w:r>
      <w:r w:rsidR="002576A6" w:rsidRPr="00DE065D">
        <w:rPr>
          <w:rFonts w:ascii="Times New Roman" w:eastAsiaTheme="majorEastAsia" w:hAnsi="Times New Roman" w:cs="Times New Roman"/>
          <w:bCs/>
          <w:color w:val="000000" w:themeColor="text1"/>
          <w:sz w:val="24"/>
          <w:szCs w:val="24"/>
        </w:rPr>
        <w:t xml:space="preserve"> AHP is giving cryptocurrency traders a power to minimize trade risk in long term and short term trades.</w:t>
      </w:r>
      <w:r w:rsidRPr="00DE065D">
        <w:rPr>
          <w:rFonts w:ascii="Times New Roman" w:eastAsiaTheme="majorEastAsia" w:hAnsi="Times New Roman" w:cs="Times New Roman"/>
          <w:bCs/>
          <w:color w:val="000000" w:themeColor="text1"/>
          <w:sz w:val="24"/>
          <w:szCs w:val="24"/>
        </w:rPr>
        <w:t xml:space="preserve"> </w:t>
      </w:r>
    </w:p>
    <w:p w:rsidR="00523CA0" w:rsidRPr="00DE065D" w:rsidRDefault="00523CA0" w:rsidP="00523CA0">
      <w:pPr>
        <w:jc w:val="center"/>
        <w:rPr>
          <w:rFonts w:ascii="Times New Roman" w:hAnsi="Times New Roman" w:cs="Times New Roman"/>
          <w:i/>
          <w:color w:val="000000" w:themeColor="text1"/>
          <w:sz w:val="28"/>
          <w:szCs w:val="28"/>
        </w:rPr>
      </w:pPr>
    </w:p>
    <w:p w:rsidR="00523CA0" w:rsidRPr="00DE065D" w:rsidRDefault="00523CA0" w:rsidP="00523CA0">
      <w:pPr>
        <w:jc w:val="center"/>
        <w:rPr>
          <w:rFonts w:ascii="Times New Roman" w:hAnsi="Times New Roman" w:cs="Times New Roman"/>
          <w:i/>
          <w:color w:val="000000" w:themeColor="text1"/>
          <w:sz w:val="28"/>
          <w:szCs w:val="28"/>
        </w:rPr>
      </w:pPr>
      <w:r w:rsidRPr="00DE065D">
        <w:rPr>
          <w:rFonts w:ascii="Times New Roman" w:hAnsi="Times New Roman" w:cs="Times New Roman"/>
          <w:i/>
          <w:color w:val="000000" w:themeColor="text1"/>
          <w:sz w:val="28"/>
          <w:szCs w:val="28"/>
        </w:rPr>
        <w:t>“</w:t>
      </w:r>
      <w:r w:rsidR="00804B7B" w:rsidRPr="00DE065D">
        <w:rPr>
          <w:rFonts w:ascii="Times New Roman" w:hAnsi="Times New Roman" w:cs="Times New Roman"/>
          <w:i/>
          <w:color w:val="000000" w:themeColor="text1"/>
          <w:sz w:val="28"/>
          <w:szCs w:val="28"/>
        </w:rPr>
        <w:t>Creation</w:t>
      </w:r>
      <w:r w:rsidRPr="00DE065D">
        <w:rPr>
          <w:rFonts w:ascii="Times New Roman" w:hAnsi="Times New Roman" w:cs="Times New Roman"/>
          <w:i/>
          <w:color w:val="000000" w:themeColor="text1"/>
          <w:sz w:val="28"/>
          <w:szCs w:val="28"/>
        </w:rPr>
        <w:t xml:space="preserve"> a </w:t>
      </w:r>
      <w:r w:rsidR="007D0599" w:rsidRPr="00DE065D">
        <w:rPr>
          <w:rFonts w:ascii="Times New Roman" w:hAnsi="Times New Roman" w:cs="Times New Roman"/>
          <w:i/>
          <w:color w:val="000000" w:themeColor="text1"/>
          <w:sz w:val="28"/>
          <w:szCs w:val="28"/>
        </w:rPr>
        <w:t>flexible token,</w:t>
      </w:r>
      <w:r w:rsidR="00804B7B" w:rsidRPr="00DE065D">
        <w:rPr>
          <w:rFonts w:ascii="Times New Roman" w:hAnsi="Times New Roman" w:cs="Times New Roman"/>
          <w:i/>
          <w:color w:val="000000" w:themeColor="text1"/>
          <w:sz w:val="28"/>
          <w:szCs w:val="28"/>
        </w:rPr>
        <w:t xml:space="preserve"> to</w:t>
      </w:r>
      <w:r w:rsidRPr="00DE065D">
        <w:rPr>
          <w:rFonts w:ascii="Times New Roman" w:hAnsi="Times New Roman" w:cs="Times New Roman"/>
          <w:i/>
          <w:color w:val="000000" w:themeColor="text1"/>
          <w:sz w:val="28"/>
          <w:szCs w:val="28"/>
        </w:rPr>
        <w:t xml:space="preserve"> </w:t>
      </w:r>
      <w:r w:rsidR="00804B7B" w:rsidRPr="00DE065D">
        <w:rPr>
          <w:rFonts w:ascii="Times New Roman" w:hAnsi="Times New Roman" w:cs="Times New Roman"/>
          <w:i/>
          <w:color w:val="000000" w:themeColor="text1"/>
          <w:sz w:val="28"/>
          <w:szCs w:val="28"/>
        </w:rPr>
        <w:t>stabilize</w:t>
      </w:r>
      <w:r w:rsidRPr="00DE065D">
        <w:rPr>
          <w:rFonts w:ascii="Times New Roman" w:hAnsi="Times New Roman" w:cs="Times New Roman"/>
          <w:i/>
          <w:color w:val="000000" w:themeColor="text1"/>
          <w:sz w:val="28"/>
          <w:szCs w:val="28"/>
        </w:rPr>
        <w:t xml:space="preserve"> </w:t>
      </w:r>
      <w:r w:rsidR="007D0599" w:rsidRPr="00DE065D">
        <w:rPr>
          <w:rFonts w:ascii="Times New Roman" w:hAnsi="Times New Roman" w:cs="Times New Roman"/>
          <w:i/>
          <w:color w:val="000000" w:themeColor="text1"/>
          <w:sz w:val="28"/>
          <w:szCs w:val="28"/>
        </w:rPr>
        <w:t>the crypto trading</w:t>
      </w:r>
      <w:r w:rsidRPr="00DE065D">
        <w:rPr>
          <w:rFonts w:ascii="Times New Roman" w:hAnsi="Times New Roman" w:cs="Times New Roman"/>
          <w:i/>
          <w:color w:val="000000" w:themeColor="text1"/>
          <w:sz w:val="28"/>
          <w:szCs w:val="28"/>
        </w:rPr>
        <w:t>”</w:t>
      </w:r>
    </w:p>
    <w:p w:rsidR="00523CA0" w:rsidRPr="00DE065D" w:rsidRDefault="00523CA0" w:rsidP="00523CA0">
      <w:pPr>
        <w:jc w:val="center"/>
        <w:rPr>
          <w:rFonts w:ascii="Times New Roman" w:hAnsi="Times New Roman" w:cs="Times New Roman"/>
          <w:i/>
          <w:color w:val="000000" w:themeColor="text1"/>
          <w:sz w:val="28"/>
          <w:szCs w:val="28"/>
        </w:rPr>
      </w:pPr>
    </w:p>
    <w:p w:rsidR="008C2E30" w:rsidRPr="00DE065D" w:rsidRDefault="008C2E30" w:rsidP="00523CA0">
      <w:pPr>
        <w:jc w:val="center"/>
        <w:rPr>
          <w:rFonts w:ascii="Times New Roman" w:hAnsi="Times New Roman" w:cs="Times New Roman"/>
          <w:i/>
          <w:color w:val="000000" w:themeColor="text1"/>
          <w:sz w:val="28"/>
          <w:szCs w:val="28"/>
        </w:rPr>
      </w:pPr>
    </w:p>
    <w:p w:rsidR="008C2E30" w:rsidRPr="00DE065D" w:rsidRDefault="008C2E30" w:rsidP="00653F5D">
      <w:pPr>
        <w:pStyle w:val="Heading1"/>
        <w:rPr>
          <w:rFonts w:ascii="Times New Roman" w:hAnsi="Times New Roman" w:cs="Times New Roman"/>
          <w:color w:val="000000" w:themeColor="text1"/>
        </w:rPr>
      </w:pPr>
      <w:bookmarkStart w:id="9" w:name="_Toc497411940"/>
      <w:r w:rsidRPr="00DE065D">
        <w:rPr>
          <w:rFonts w:ascii="Times New Roman" w:hAnsi="Times New Roman" w:cs="Times New Roman"/>
          <w:color w:val="000000" w:themeColor="text1"/>
        </w:rPr>
        <w:lastRenderedPageBreak/>
        <w:t>Infrastructures Provided by Accord</w:t>
      </w:r>
      <w:r w:rsidR="00DC7E5F" w:rsidRPr="00DE065D">
        <w:rPr>
          <w:rFonts w:ascii="Times New Roman" w:hAnsi="Times New Roman" w:cs="Times New Roman"/>
          <w:color w:val="000000" w:themeColor="text1"/>
        </w:rPr>
        <w:t xml:space="preserve"> Hedging </w:t>
      </w:r>
      <w:bookmarkEnd w:id="9"/>
      <w:r w:rsidR="00804B7B" w:rsidRPr="00DE065D">
        <w:rPr>
          <w:rFonts w:ascii="Times New Roman" w:hAnsi="Times New Roman" w:cs="Times New Roman"/>
          <w:color w:val="000000" w:themeColor="text1"/>
        </w:rPr>
        <w:t>Platform</w:t>
      </w:r>
    </w:p>
    <w:p w:rsidR="008C2E30" w:rsidRPr="00DE065D" w:rsidRDefault="008C2E30" w:rsidP="007003AA">
      <w:pPr>
        <w:pStyle w:val="Heading1"/>
        <w:rPr>
          <w:rFonts w:ascii="Times New Roman" w:hAnsi="Times New Roman" w:cs="Times New Roman"/>
          <w:b w:val="0"/>
          <w:color w:val="000000" w:themeColor="text1"/>
          <w:sz w:val="24"/>
          <w:szCs w:val="24"/>
        </w:rPr>
      </w:pPr>
      <w:r w:rsidRPr="00DE065D">
        <w:rPr>
          <w:rFonts w:ascii="Times New Roman" w:hAnsi="Times New Roman" w:cs="Times New Roman"/>
          <w:color w:val="000000" w:themeColor="text1"/>
        </w:rPr>
        <w:t xml:space="preserve"> </w:t>
      </w:r>
      <w:bookmarkStart w:id="10" w:name="_Toc497119761"/>
      <w:bookmarkStart w:id="11" w:name="_Toc497411941"/>
      <w:r w:rsidRPr="00DE065D">
        <w:rPr>
          <w:rFonts w:ascii="Times New Roman" w:hAnsi="Times New Roman" w:cs="Times New Roman"/>
          <w:b w:val="0"/>
          <w:color w:val="000000" w:themeColor="text1"/>
          <w:sz w:val="24"/>
          <w:szCs w:val="24"/>
        </w:rPr>
        <w:t>Accord will provide</w:t>
      </w:r>
      <w:r w:rsidR="009004AF" w:rsidRPr="00DE065D">
        <w:rPr>
          <w:rFonts w:ascii="Times New Roman" w:hAnsi="Times New Roman" w:cs="Times New Roman"/>
          <w:b w:val="0"/>
          <w:color w:val="000000" w:themeColor="text1"/>
          <w:sz w:val="24"/>
          <w:szCs w:val="24"/>
        </w:rPr>
        <w:t xml:space="preserve"> the following infrastructures</w:t>
      </w:r>
      <w:r w:rsidRPr="00DE065D">
        <w:rPr>
          <w:rFonts w:ascii="Times New Roman" w:hAnsi="Times New Roman" w:cs="Times New Roman"/>
          <w:b w:val="0"/>
          <w:color w:val="000000" w:themeColor="text1"/>
          <w:sz w:val="24"/>
          <w:szCs w:val="24"/>
        </w:rPr>
        <w:br/>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1.</w:t>
      </w:r>
      <w:r w:rsidRPr="00DE065D">
        <w:rPr>
          <w:rFonts w:ascii="Times New Roman" w:hAnsi="Times New Roman" w:cs="Times New Roman"/>
          <w:b w:val="0"/>
          <w:color w:val="000000" w:themeColor="text1"/>
          <w:sz w:val="24"/>
          <w:szCs w:val="24"/>
        </w:rPr>
        <w:t xml:space="preserve">High-quality Crypto </w:t>
      </w:r>
      <w:r w:rsidR="009004AF" w:rsidRPr="00DE065D">
        <w:rPr>
          <w:rFonts w:ascii="Times New Roman" w:hAnsi="Times New Roman" w:cs="Times New Roman"/>
          <w:b w:val="0"/>
          <w:color w:val="000000" w:themeColor="text1"/>
          <w:sz w:val="24"/>
          <w:szCs w:val="24"/>
        </w:rPr>
        <w:t>hedging platform</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2.To create d</w:t>
      </w:r>
      <w:r w:rsidRPr="00DE065D">
        <w:rPr>
          <w:rFonts w:ascii="Times New Roman" w:hAnsi="Times New Roman" w:cs="Times New Roman"/>
          <w:b w:val="0"/>
          <w:color w:val="000000" w:themeColor="text1"/>
          <w:sz w:val="24"/>
          <w:szCs w:val="24"/>
        </w:rPr>
        <w:t>igital currency as a bridge</w:t>
      </w:r>
      <w:r w:rsidR="009004AF" w:rsidRPr="00DE065D">
        <w:rPr>
          <w:rFonts w:ascii="Times New Roman" w:hAnsi="Times New Roman" w:cs="Times New Roman"/>
          <w:b w:val="0"/>
          <w:color w:val="000000" w:themeColor="text1"/>
          <w:sz w:val="24"/>
          <w:szCs w:val="24"/>
        </w:rPr>
        <w:t xml:space="preserve"> to facilitate the platform trading.</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3. Secure wallets</w:t>
      </w:r>
      <w:r w:rsidRPr="00DE065D">
        <w:rPr>
          <w:rFonts w:ascii="Times New Roman" w:hAnsi="Times New Roman" w:cs="Times New Roman"/>
          <w:b w:val="0"/>
          <w:color w:val="000000" w:themeColor="text1"/>
          <w:sz w:val="24"/>
          <w:szCs w:val="24"/>
        </w:rPr>
        <w:t xml:space="preserve"> </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4</w:t>
      </w:r>
      <w:r w:rsidRPr="00DE065D">
        <w:rPr>
          <w:rFonts w:ascii="Times New Roman" w:hAnsi="Times New Roman" w:cs="Times New Roman"/>
          <w:b w:val="0"/>
          <w:color w:val="000000" w:themeColor="text1"/>
          <w:sz w:val="24"/>
          <w:szCs w:val="24"/>
        </w:rPr>
        <w:t>. Autonomous ecosystem</w:t>
      </w:r>
      <w:bookmarkEnd w:id="10"/>
      <w:bookmarkEnd w:id="11"/>
    </w:p>
    <w:p w:rsidR="007003AA" w:rsidRPr="00DE065D" w:rsidRDefault="00653F5D" w:rsidP="00653F5D">
      <w:pPr>
        <w:pStyle w:val="Heading2"/>
        <w:rPr>
          <w:rFonts w:ascii="Times New Roman" w:hAnsi="Times New Roman" w:cs="Times New Roman"/>
          <w:color w:val="000000" w:themeColor="text1"/>
        </w:rPr>
      </w:pPr>
      <w:bookmarkStart w:id="12" w:name="_Toc497411942"/>
      <w:r w:rsidRPr="00DE065D">
        <w:rPr>
          <w:rFonts w:ascii="Times New Roman" w:hAnsi="Times New Roman" w:cs="Times New Roman"/>
          <w:color w:val="000000" w:themeColor="text1"/>
        </w:rPr>
        <w:t xml:space="preserve">Risk in </w:t>
      </w:r>
      <w:r w:rsidR="007003AA" w:rsidRPr="00DE065D">
        <w:rPr>
          <w:rFonts w:ascii="Times New Roman" w:hAnsi="Times New Roman" w:cs="Times New Roman"/>
          <w:color w:val="000000" w:themeColor="text1"/>
        </w:rPr>
        <w:t>Crypto-</w:t>
      </w:r>
      <w:r w:rsidR="00E73F3E" w:rsidRPr="00DE065D">
        <w:rPr>
          <w:rFonts w:ascii="Times New Roman" w:hAnsi="Times New Roman" w:cs="Times New Roman"/>
          <w:color w:val="000000" w:themeColor="text1"/>
        </w:rPr>
        <w:t>currency</w:t>
      </w:r>
      <w:r w:rsidR="007003AA" w:rsidRPr="00DE065D">
        <w:rPr>
          <w:rFonts w:ascii="Times New Roman" w:hAnsi="Times New Roman" w:cs="Times New Roman"/>
          <w:color w:val="000000" w:themeColor="text1"/>
        </w:rPr>
        <w:t xml:space="preserve"> ecosystem</w:t>
      </w:r>
      <w:bookmarkEnd w:id="12"/>
      <w:r w:rsidR="007003AA" w:rsidRPr="00DE065D">
        <w:rPr>
          <w:rFonts w:ascii="Times New Roman" w:hAnsi="Times New Roman" w:cs="Times New Roman"/>
          <w:color w:val="000000" w:themeColor="text1"/>
        </w:rPr>
        <w:t xml:space="preserve"> </w:t>
      </w:r>
    </w:p>
    <w:p w:rsidR="007003AA" w:rsidRPr="00DE065D" w:rsidRDefault="007003AA" w:rsidP="007003AA">
      <w:pPr>
        <w:rPr>
          <w:rFonts w:ascii="Times New Roman" w:hAnsi="Times New Roman" w:cs="Times New Roman"/>
          <w:color w:val="000000" w:themeColor="text1"/>
        </w:rPr>
      </w:pPr>
    </w:p>
    <w:p w:rsidR="00453035" w:rsidRPr="00DE065D" w:rsidRDefault="00453035" w:rsidP="00453035">
      <w:pPr>
        <w:pStyle w:val="NormalWeb"/>
        <w:rPr>
          <w:color w:val="000000" w:themeColor="text1"/>
        </w:rPr>
        <w:sectPr w:rsidR="00453035" w:rsidRPr="00DE065D" w:rsidSect="0063079A">
          <w:pgSz w:w="12240" w:h="15840"/>
          <w:pgMar w:top="1440" w:right="1440" w:bottom="1440" w:left="1440" w:header="720" w:footer="720" w:gutter="0"/>
          <w:cols w:space="720"/>
          <w:docGrid w:linePitch="360"/>
        </w:sectPr>
      </w:pPr>
    </w:p>
    <w:p w:rsidR="00453035" w:rsidRPr="00DE065D" w:rsidRDefault="004114F5" w:rsidP="00453035">
      <w:pPr>
        <w:pStyle w:val="NormalWeb"/>
        <w:rPr>
          <w:color w:val="000000" w:themeColor="text1"/>
        </w:rPr>
      </w:pPr>
      <w:r w:rsidRPr="00DE065D">
        <w:rPr>
          <w:color w:val="000000" w:themeColor="text1"/>
        </w:rPr>
        <w:lastRenderedPageBreak/>
        <w:t>In the financial</w:t>
      </w:r>
      <w:r w:rsidR="00453035" w:rsidRPr="00DE065D">
        <w:rPr>
          <w:color w:val="000000" w:themeColor="text1"/>
        </w:rPr>
        <w:t xml:space="preserve"> world, the definition of </w:t>
      </w:r>
      <w:hyperlink r:id="rId7" w:history="1">
        <w:r w:rsidR="00453035" w:rsidRPr="00DE065D">
          <w:rPr>
            <w:rStyle w:val="Hyperlink"/>
            <w:rFonts w:eastAsiaTheme="majorEastAsia"/>
            <w:color w:val="000000" w:themeColor="text1"/>
            <w:u w:val="none"/>
          </w:rPr>
          <w:t>risk</w:t>
        </w:r>
      </w:hyperlink>
      <w:r w:rsidR="00453035" w:rsidRPr="00DE065D">
        <w:rPr>
          <w:color w:val="000000" w:themeColor="text1"/>
        </w:rPr>
        <w:t> is the chance that an investment's actual return will be different than expected. Technically, this is measured in statistics by </w:t>
      </w:r>
      <w:hyperlink r:id="rId8" w:history="1">
        <w:r w:rsidR="00453035" w:rsidRPr="00DE065D">
          <w:rPr>
            <w:rStyle w:val="Hyperlink"/>
            <w:rFonts w:eastAsiaTheme="majorEastAsia"/>
            <w:color w:val="000000" w:themeColor="text1"/>
            <w:u w:val="none"/>
          </w:rPr>
          <w:t>standard deviation</w:t>
        </w:r>
      </w:hyperlink>
      <w:r w:rsidR="00453035" w:rsidRPr="00DE065D">
        <w:rPr>
          <w:color w:val="000000" w:themeColor="text1"/>
        </w:rPr>
        <w:t>. Risk means you have the possibility of losing some, or even all, of your original investment.</w:t>
      </w:r>
      <w:r w:rsidRPr="00DE065D">
        <w:rPr>
          <w:color w:val="000000" w:themeColor="text1"/>
        </w:rPr>
        <w:t xml:space="preserve"> Low levels of uncertainty (low risk) are associated with low potential returns. High levels of uncertainty (high risk) are associated with high potential returns. [5]</w:t>
      </w:r>
    </w:p>
    <w:p w:rsidR="00453035" w:rsidRPr="00DE065D" w:rsidRDefault="004114F5" w:rsidP="00453035">
      <w:pPr>
        <w:pStyle w:val="NormalWeb"/>
        <w:rPr>
          <w:color w:val="000000" w:themeColor="text1"/>
        </w:rPr>
      </w:pPr>
      <w:r w:rsidRPr="00DE065D">
        <w:rPr>
          <w:noProof/>
          <w:color w:val="000000" w:themeColor="text1"/>
        </w:rPr>
        <w:lastRenderedPageBreak/>
        <w:drawing>
          <wp:inline distT="0" distB="0" distL="0" distR="0">
            <wp:extent cx="2743200" cy="1888490"/>
            <wp:effectExtent l="19050" t="0" r="0" b="0"/>
            <wp:docPr id="2" name="Picture 1" descr="risk trade 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 trade off.gif"/>
                    <pic:cNvPicPr/>
                  </pic:nvPicPr>
                  <pic:blipFill>
                    <a:blip r:embed="rId9"/>
                    <a:stretch>
                      <a:fillRect/>
                    </a:stretch>
                  </pic:blipFill>
                  <pic:spPr>
                    <a:xfrm>
                      <a:off x="0" y="0"/>
                      <a:ext cx="2743200" cy="1888490"/>
                    </a:xfrm>
                    <a:prstGeom prst="rect">
                      <a:avLst/>
                    </a:prstGeom>
                  </pic:spPr>
                </pic:pic>
              </a:graphicData>
            </a:graphic>
          </wp:inline>
        </w:drawing>
      </w:r>
    </w:p>
    <w:p w:rsidR="00453035" w:rsidRPr="00DE065D" w:rsidRDefault="00453035" w:rsidP="00453035">
      <w:pPr>
        <w:pStyle w:val="NormalWeb"/>
        <w:rPr>
          <w:color w:val="000000" w:themeColor="text1"/>
        </w:rPr>
        <w:sectPr w:rsidR="00453035" w:rsidRPr="00DE065D" w:rsidSect="00453035">
          <w:type w:val="continuous"/>
          <w:pgSz w:w="12240" w:h="15840"/>
          <w:pgMar w:top="1440" w:right="1440" w:bottom="1440" w:left="1440" w:header="720" w:footer="720" w:gutter="0"/>
          <w:cols w:num="2" w:space="720"/>
          <w:docGrid w:linePitch="360"/>
        </w:sectPr>
      </w:pPr>
    </w:p>
    <w:p w:rsidR="00AA060C" w:rsidRPr="00DE065D" w:rsidRDefault="00453035" w:rsidP="00453035">
      <w:pPr>
        <w:pStyle w:val="NormalWeb"/>
        <w:rPr>
          <w:color w:val="000000" w:themeColor="text1"/>
        </w:rPr>
      </w:pPr>
      <w:r w:rsidRPr="00DE065D">
        <w:rPr>
          <w:color w:val="000000" w:themeColor="text1"/>
        </w:rPr>
        <w:lastRenderedPageBreak/>
        <w:t>The </w:t>
      </w:r>
      <w:hyperlink r:id="rId10" w:history="1">
        <w:r w:rsidRPr="00DE065D">
          <w:rPr>
            <w:rStyle w:val="Hyperlink"/>
            <w:rFonts w:eastAsiaTheme="majorEastAsia"/>
            <w:color w:val="000000" w:themeColor="text1"/>
            <w:u w:val="none"/>
          </w:rPr>
          <w:t>risk/return tradeoff</w:t>
        </w:r>
      </w:hyperlink>
      <w:r w:rsidRPr="00DE065D">
        <w:rPr>
          <w:color w:val="000000" w:themeColor="text1"/>
        </w:rPr>
        <w:t xml:space="preserve"> is the balance between the desire for the lowest possible risk and the highest possible return. This is demonstrated graphically in the chart below. A higher standard deviation means a higher risk and higher possible return. </w:t>
      </w:r>
    </w:p>
    <w:p w:rsidR="009611D2" w:rsidRPr="00DE065D" w:rsidRDefault="004114F5" w:rsidP="00453035">
      <w:pPr>
        <w:pStyle w:val="NormalWeb"/>
        <w:rPr>
          <w:color w:val="000000" w:themeColor="text1"/>
        </w:rPr>
      </w:pPr>
      <w:r w:rsidRPr="00DE065D">
        <w:rPr>
          <w:color w:val="000000" w:themeColor="text1"/>
        </w:rPr>
        <w:t>This risk factor in the crypto currency market is huge for example the standard deviation of Bitcoin closing price in the last 6 month is  USD $1090 which is impracticable .</w:t>
      </w:r>
      <w:r w:rsidR="009611D2" w:rsidRPr="00DE065D">
        <w:rPr>
          <w:color w:val="000000" w:themeColor="text1"/>
        </w:rPr>
        <w:t>This huge risk available in the market is due to key factors.</w:t>
      </w:r>
    </w:p>
    <w:p w:rsidR="009611D2" w:rsidRPr="00DE065D" w:rsidRDefault="009611D2" w:rsidP="009611D2">
      <w:pPr>
        <w:pStyle w:val="NormalWeb"/>
        <w:numPr>
          <w:ilvl w:val="0"/>
          <w:numId w:val="1"/>
        </w:numPr>
        <w:rPr>
          <w:color w:val="000000" w:themeColor="text1"/>
        </w:rPr>
      </w:pPr>
      <w:r w:rsidRPr="00DE065D">
        <w:rPr>
          <w:color w:val="000000" w:themeColor="text1"/>
        </w:rPr>
        <w:t xml:space="preserve">Absence of regulatory bodies; the crypto-currency market is unregulated on government level and when any government take action to regulate or ban the Crypto-currencies on national level that creates chaos among investors resulting in crash. [6] </w:t>
      </w:r>
    </w:p>
    <w:p w:rsidR="00691C15" w:rsidRPr="00DE065D" w:rsidRDefault="009611D2" w:rsidP="009611D2">
      <w:pPr>
        <w:pStyle w:val="NormalWeb"/>
        <w:numPr>
          <w:ilvl w:val="0"/>
          <w:numId w:val="1"/>
        </w:numPr>
        <w:rPr>
          <w:color w:val="000000" w:themeColor="text1"/>
        </w:rPr>
      </w:pPr>
      <w:r w:rsidRPr="00DE065D">
        <w:rPr>
          <w:color w:val="000000" w:themeColor="text1"/>
        </w:rPr>
        <w:t>Involvement of individual investors; the investment in crypto-currency market m</w:t>
      </w:r>
      <w:r w:rsidR="00691C15" w:rsidRPr="00DE065D">
        <w:rPr>
          <w:color w:val="000000" w:themeColor="text1"/>
        </w:rPr>
        <w:t xml:space="preserve">ostly belongs to individuals that makes the market more volatile. </w:t>
      </w:r>
    </w:p>
    <w:p w:rsidR="009611D2" w:rsidRPr="00DE065D" w:rsidRDefault="0086584E" w:rsidP="009611D2">
      <w:pPr>
        <w:pStyle w:val="NormalWeb"/>
        <w:numPr>
          <w:ilvl w:val="0"/>
          <w:numId w:val="1"/>
        </w:numPr>
        <w:rPr>
          <w:color w:val="000000" w:themeColor="text1"/>
        </w:rPr>
      </w:pPr>
      <w:r w:rsidRPr="00DE065D">
        <w:rPr>
          <w:color w:val="000000" w:themeColor="text1"/>
        </w:rPr>
        <w:t xml:space="preserve">Cyber attacks: Hacks of Mt. </w:t>
      </w:r>
      <w:proofErr w:type="spellStart"/>
      <w:r w:rsidRPr="00DE065D">
        <w:rPr>
          <w:color w:val="000000" w:themeColor="text1"/>
        </w:rPr>
        <w:t>Gox</w:t>
      </w:r>
      <w:proofErr w:type="spellEnd"/>
      <w:r w:rsidRPr="00DE065D">
        <w:rPr>
          <w:color w:val="000000" w:themeColor="text1"/>
        </w:rPr>
        <w:t xml:space="preserve">, </w:t>
      </w:r>
      <w:proofErr w:type="spellStart"/>
      <w:r w:rsidRPr="00DE065D">
        <w:rPr>
          <w:color w:val="000000" w:themeColor="text1"/>
        </w:rPr>
        <w:t>Shapeshift</w:t>
      </w:r>
      <w:proofErr w:type="spellEnd"/>
      <w:r w:rsidRPr="00DE065D">
        <w:rPr>
          <w:color w:val="000000" w:themeColor="text1"/>
        </w:rPr>
        <w:t xml:space="preserve"> and </w:t>
      </w:r>
      <w:proofErr w:type="spellStart"/>
      <w:r w:rsidRPr="00DE065D">
        <w:rPr>
          <w:color w:val="000000" w:themeColor="text1"/>
        </w:rPr>
        <w:t>Bitfinex</w:t>
      </w:r>
      <w:proofErr w:type="spellEnd"/>
      <w:r w:rsidRPr="00DE065D">
        <w:rPr>
          <w:color w:val="000000" w:themeColor="text1"/>
        </w:rPr>
        <w:t xml:space="preserve"> [3] have demonstrated that these types of systemic risks are resulted in huge Price crash. </w:t>
      </w:r>
    </w:p>
    <w:p w:rsidR="007003AA" w:rsidRPr="00DE065D" w:rsidRDefault="007D1434" w:rsidP="007003AA">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 xml:space="preserve">   </w:t>
      </w:r>
      <w:r w:rsidR="0086584E" w:rsidRPr="00DE065D">
        <w:rPr>
          <w:rFonts w:ascii="Times New Roman" w:eastAsia="Times New Roman" w:hAnsi="Times New Roman" w:cs="Times New Roman"/>
          <w:color w:val="000000" w:themeColor="text1"/>
          <w:sz w:val="24"/>
          <w:szCs w:val="24"/>
        </w:rPr>
        <w:t>These all systematic risk</w:t>
      </w:r>
      <w:r w:rsidR="00AA060C" w:rsidRPr="00DE065D">
        <w:rPr>
          <w:rFonts w:ascii="Times New Roman" w:eastAsia="Times New Roman" w:hAnsi="Times New Roman" w:cs="Times New Roman"/>
          <w:color w:val="000000" w:themeColor="text1"/>
          <w:sz w:val="24"/>
          <w:szCs w:val="24"/>
        </w:rPr>
        <w:t>s</w:t>
      </w:r>
      <w:r w:rsidR="0086584E" w:rsidRPr="00DE065D">
        <w:rPr>
          <w:rFonts w:ascii="Times New Roman" w:eastAsia="Times New Roman" w:hAnsi="Times New Roman" w:cs="Times New Roman"/>
          <w:color w:val="000000" w:themeColor="text1"/>
          <w:sz w:val="24"/>
          <w:szCs w:val="24"/>
        </w:rPr>
        <w:t xml:space="preserve"> available in crypto currency ecosystem </w:t>
      </w:r>
      <w:r w:rsidR="00AA060C" w:rsidRPr="00DE065D">
        <w:rPr>
          <w:rFonts w:ascii="Times New Roman" w:eastAsia="Times New Roman" w:hAnsi="Times New Roman" w:cs="Times New Roman"/>
          <w:color w:val="000000" w:themeColor="text1"/>
          <w:sz w:val="24"/>
          <w:szCs w:val="24"/>
        </w:rPr>
        <w:t>are</w:t>
      </w:r>
      <w:r w:rsidR="0086584E" w:rsidRPr="00DE065D">
        <w:rPr>
          <w:rFonts w:ascii="Times New Roman" w:eastAsia="Times New Roman" w:hAnsi="Times New Roman" w:cs="Times New Roman"/>
          <w:color w:val="000000" w:themeColor="text1"/>
          <w:sz w:val="24"/>
          <w:szCs w:val="24"/>
        </w:rPr>
        <w:t xml:space="preserve"> controllable in the presence of Hedging techniques, which</w:t>
      </w:r>
      <w:r w:rsidR="00AA060C" w:rsidRPr="00DE065D">
        <w:rPr>
          <w:rFonts w:ascii="Times New Roman" w:eastAsia="Times New Roman" w:hAnsi="Times New Roman" w:cs="Times New Roman"/>
          <w:color w:val="000000" w:themeColor="text1"/>
          <w:sz w:val="24"/>
          <w:szCs w:val="24"/>
        </w:rPr>
        <w:t xml:space="preserve"> A</w:t>
      </w:r>
      <w:r w:rsidR="0086584E" w:rsidRPr="00DE065D">
        <w:rPr>
          <w:rFonts w:ascii="Times New Roman" w:eastAsia="Times New Roman" w:hAnsi="Times New Roman" w:cs="Times New Roman"/>
          <w:color w:val="000000" w:themeColor="text1"/>
          <w:sz w:val="24"/>
          <w:szCs w:val="24"/>
        </w:rPr>
        <w:t>ccord is intended to provide in its own Hedging platform</w:t>
      </w:r>
      <w:r w:rsidR="00AA060C" w:rsidRPr="00DE065D">
        <w:rPr>
          <w:rFonts w:ascii="Times New Roman" w:eastAsia="Times New Roman" w:hAnsi="Times New Roman" w:cs="Times New Roman"/>
          <w:color w:val="000000" w:themeColor="text1"/>
          <w:sz w:val="24"/>
          <w:szCs w:val="24"/>
        </w:rPr>
        <w:t xml:space="preserve">. </w:t>
      </w:r>
    </w:p>
    <w:p w:rsidR="00523CA0" w:rsidRPr="00DE065D" w:rsidRDefault="00523CA0" w:rsidP="007003AA">
      <w:pPr>
        <w:rPr>
          <w:rFonts w:ascii="Times New Roman" w:eastAsia="Times New Roman" w:hAnsi="Times New Roman" w:cs="Times New Roman"/>
          <w:color w:val="000000" w:themeColor="text1"/>
          <w:sz w:val="24"/>
          <w:szCs w:val="24"/>
        </w:rPr>
      </w:pPr>
    </w:p>
    <w:p w:rsidR="00523CA0" w:rsidRPr="00DE065D" w:rsidRDefault="007D0599" w:rsidP="00653F5D">
      <w:pPr>
        <w:pStyle w:val="Heading2"/>
        <w:rPr>
          <w:rFonts w:ascii="Times New Roman" w:hAnsi="Times New Roman" w:cs="Times New Roman"/>
          <w:color w:val="000000" w:themeColor="text1"/>
        </w:rPr>
      </w:pPr>
      <w:bookmarkStart w:id="13" w:name="_Toc497411943"/>
      <w:r w:rsidRPr="00DE065D">
        <w:rPr>
          <w:rFonts w:ascii="Times New Roman" w:hAnsi="Times New Roman" w:cs="Times New Roman"/>
          <w:color w:val="000000" w:themeColor="text1"/>
        </w:rPr>
        <w:lastRenderedPageBreak/>
        <w:t>Hedging solution to mitigate risk</w:t>
      </w:r>
      <w:bookmarkEnd w:id="13"/>
      <w:r w:rsidRPr="00DE065D">
        <w:rPr>
          <w:rFonts w:ascii="Times New Roman" w:hAnsi="Times New Roman" w:cs="Times New Roman"/>
          <w:color w:val="000000" w:themeColor="text1"/>
        </w:rPr>
        <w:t xml:space="preserve"> </w:t>
      </w:r>
    </w:p>
    <w:p w:rsidR="00653F5D" w:rsidRPr="00DE065D" w:rsidRDefault="00653F5D" w:rsidP="00653F5D">
      <w:pPr>
        <w:rPr>
          <w:rFonts w:ascii="Times New Roman" w:hAnsi="Times New Roman" w:cs="Times New Roman"/>
          <w:color w:val="000000" w:themeColor="text1"/>
        </w:rPr>
      </w:pPr>
    </w:p>
    <w:p w:rsidR="00523CA0" w:rsidRPr="00DE065D" w:rsidRDefault="00133B03" w:rsidP="007003AA">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A hedge is an investment to reduce the risk of adverse price movements in an asset. Normally, a hedge consists of taking an offsetting position in a related security, such as a </w:t>
      </w:r>
      <w:hyperlink r:id="rId11" w:history="1">
        <w:r w:rsidRPr="00DE065D">
          <w:rPr>
            <w:rFonts w:ascii="Times New Roman" w:eastAsia="Times New Roman" w:hAnsi="Times New Roman" w:cs="Times New Roman"/>
            <w:color w:val="000000" w:themeColor="text1"/>
            <w:sz w:val="24"/>
            <w:szCs w:val="24"/>
          </w:rPr>
          <w:t>futures contract</w:t>
        </w:r>
      </w:hyperlink>
      <w:r w:rsidR="005F0AA4" w:rsidRPr="00DE065D">
        <w:rPr>
          <w:rFonts w:ascii="Times New Roman" w:eastAsia="Times New Roman" w:hAnsi="Times New Roman" w:cs="Times New Roman"/>
          <w:color w:val="000000" w:themeColor="text1"/>
          <w:sz w:val="24"/>
          <w:szCs w:val="24"/>
        </w:rPr>
        <w:t xml:space="preserve"> and Options</w:t>
      </w:r>
      <w:r w:rsidRPr="00DE065D">
        <w:rPr>
          <w:rFonts w:ascii="Times New Roman" w:eastAsia="Times New Roman" w:hAnsi="Times New Roman" w:cs="Times New Roman"/>
          <w:color w:val="000000" w:themeColor="text1"/>
          <w:sz w:val="24"/>
          <w:szCs w:val="24"/>
        </w:rPr>
        <w:t>.</w:t>
      </w:r>
      <w:r w:rsidRPr="00DE065D">
        <w:rPr>
          <w:rFonts w:ascii="Times New Roman" w:hAnsi="Times New Roman" w:cs="Times New Roman"/>
          <w:color w:val="000000" w:themeColor="text1"/>
        </w:rPr>
        <w:br/>
      </w:r>
    </w:p>
    <w:p w:rsidR="005F0AA4" w:rsidRPr="00DE065D" w:rsidRDefault="005F0AA4" w:rsidP="00653F5D">
      <w:pPr>
        <w:pStyle w:val="Heading3"/>
        <w:rPr>
          <w:rFonts w:ascii="Times New Roman" w:hAnsi="Times New Roman" w:cs="Times New Roman"/>
          <w:color w:val="000000" w:themeColor="text1"/>
        </w:rPr>
      </w:pPr>
      <w:bookmarkStart w:id="14" w:name="_Toc497411944"/>
      <w:r w:rsidRPr="00DE065D">
        <w:rPr>
          <w:rFonts w:ascii="Times New Roman" w:hAnsi="Times New Roman" w:cs="Times New Roman"/>
          <w:color w:val="000000" w:themeColor="text1"/>
        </w:rPr>
        <w:t>Options: Calls and Puts</w:t>
      </w:r>
      <w:bookmarkEnd w:id="14"/>
    </w:p>
    <w:p w:rsidR="005F0AA4" w:rsidRPr="00DE065D" w:rsidRDefault="005F0AA4" w:rsidP="005F0AA4">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 xml:space="preserve">An option is common form of a derivative. It's a contract, or a provision of a contract, that gives one party (the option holder) the right, but not the obligation to perform a specified transaction with another party (the option issuer or option writer) according to specified terms. Options can be embedded into many kinds of contracts. </w:t>
      </w:r>
    </w:p>
    <w:p w:rsidR="005F0AA4" w:rsidRPr="00DE065D" w:rsidRDefault="005F0AA4" w:rsidP="00653F5D">
      <w:pPr>
        <w:pStyle w:val="Heading3"/>
        <w:rPr>
          <w:rFonts w:ascii="Times New Roman" w:hAnsi="Times New Roman" w:cs="Times New Roman"/>
          <w:color w:val="000000" w:themeColor="text1"/>
        </w:rPr>
      </w:pPr>
      <w:bookmarkStart w:id="15" w:name="_Toc497411945"/>
      <w:r w:rsidRPr="00DE065D">
        <w:rPr>
          <w:rFonts w:ascii="Times New Roman" w:hAnsi="Times New Roman" w:cs="Times New Roman"/>
          <w:color w:val="000000" w:themeColor="text1"/>
        </w:rPr>
        <w:t>Call options:</w:t>
      </w:r>
      <w:bookmarkEnd w:id="15"/>
    </w:p>
    <w:p w:rsidR="005F0AA4" w:rsidRPr="00DE065D" w:rsidRDefault="005F0AA4" w:rsidP="005F0AA4">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Provide the holder the right (but not the obligation) to purchase an underlying asset at a specified price (the strike price), for a certain period of time. If the digital asset fails to meet the strike price before the expiration date, the option expires and becomes worthless. Investors buy calls when they think the token price of the underlying security will rise or sell a call if they think it will fall. Selling an option is also referred to as ''writing'' an option. [7]</w:t>
      </w:r>
    </w:p>
    <w:p w:rsidR="005F0AA4" w:rsidRPr="00DE065D" w:rsidRDefault="005F0AA4" w:rsidP="00653F5D">
      <w:pPr>
        <w:pStyle w:val="Heading3"/>
        <w:rPr>
          <w:rFonts w:ascii="Times New Roman" w:hAnsi="Times New Roman" w:cs="Times New Roman"/>
          <w:color w:val="000000" w:themeColor="text1"/>
        </w:rPr>
      </w:pPr>
      <w:bookmarkStart w:id="16" w:name="_Toc497411946"/>
      <w:r w:rsidRPr="00DE065D">
        <w:rPr>
          <w:rFonts w:ascii="Times New Roman" w:hAnsi="Times New Roman" w:cs="Times New Roman"/>
          <w:color w:val="000000" w:themeColor="text1"/>
        </w:rPr>
        <w:t>Put options:</w:t>
      </w:r>
      <w:bookmarkEnd w:id="16"/>
    </w:p>
    <w:p w:rsidR="005F0AA4" w:rsidRPr="00DE065D" w:rsidRDefault="005F0AA4" w:rsidP="005F0AA4">
      <w:pPr>
        <w:rPr>
          <w:rFonts w:ascii="Times New Roman" w:eastAsia="Times New Roman" w:hAnsi="Times New Roman" w:cs="Times New Roman"/>
          <w:color w:val="000000" w:themeColor="text1"/>
          <w:sz w:val="24"/>
          <w:szCs w:val="24"/>
        </w:rPr>
      </w:pPr>
      <w:bookmarkStart w:id="17" w:name="_GoBack"/>
      <w:bookmarkEnd w:id="17"/>
      <w:r w:rsidRPr="00DE065D">
        <w:rPr>
          <w:rFonts w:ascii="Times New Roman" w:eastAsia="Times New Roman" w:hAnsi="Times New Roman" w:cs="Times New Roman"/>
          <w:color w:val="000000" w:themeColor="text1"/>
          <w:sz w:val="24"/>
          <w:szCs w:val="24"/>
        </w:rPr>
        <w:t xml:space="preserve">Give the holder the right to sell an underlying asset at a specified price (the strike price). The seller (or writer) of the put option is obligated to buy the digital asset at the strike price. Put options can be exercised at any time before the option expires. Investors buy puts if they think the token price of the underlying digital asset will fall, or sell one if they think it will rise. </w:t>
      </w:r>
    </w:p>
    <w:p w:rsidR="00EE4C81" w:rsidRPr="00DE065D" w:rsidRDefault="00EE4C81" w:rsidP="00653F5D">
      <w:pPr>
        <w:pStyle w:val="Heading2"/>
        <w:rPr>
          <w:rFonts w:ascii="Times New Roman" w:hAnsi="Times New Roman" w:cs="Times New Roman"/>
          <w:color w:val="000000" w:themeColor="text1"/>
        </w:rPr>
      </w:pPr>
      <w:r w:rsidRPr="00DE065D">
        <w:rPr>
          <w:rFonts w:ascii="Times New Roman" w:eastAsia="Times New Roman" w:hAnsi="Times New Roman" w:cs="Times New Roman"/>
          <w:color w:val="000000" w:themeColor="text1"/>
        </w:rPr>
        <w:br/>
      </w:r>
      <w:bookmarkStart w:id="18" w:name="_Toc497411947"/>
      <w:r w:rsidRPr="00DE065D">
        <w:rPr>
          <w:rFonts w:ascii="Times New Roman" w:hAnsi="Times New Roman" w:cs="Times New Roman"/>
          <w:color w:val="000000" w:themeColor="text1"/>
        </w:rPr>
        <w:t>The Advantages of Options</w:t>
      </w:r>
      <w:bookmarkEnd w:id="18"/>
    </w:p>
    <w:p w:rsidR="00EE4C81" w:rsidRPr="00DE065D" w:rsidRDefault="00EE4C81" w:rsidP="00EE4C81">
      <w:pPr>
        <w:rPr>
          <w:rFonts w:ascii="Times New Roman" w:hAnsi="Times New Roman" w:cs="Times New Roman"/>
          <w:color w:val="000000" w:themeColor="text1"/>
          <w:sz w:val="24"/>
          <w:szCs w:val="24"/>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The key advantages (in no particular order) that options may give an investor: they may provide increased cost efficiency; they have the potential to deliver higher percentage returns; and they offer a number of strategic alternative.</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19" w:name="_Toc497411948"/>
      <w:r w:rsidRPr="00DE065D">
        <w:rPr>
          <w:rFonts w:ascii="Times New Roman" w:hAnsi="Times New Roman" w:cs="Times New Roman"/>
          <w:color w:val="000000" w:themeColor="text1"/>
        </w:rPr>
        <w:t>Cost Efficiency</w:t>
      </w:r>
      <w:bookmarkEnd w:id="19"/>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Options have great leveraging power. As such, an investor can obtain an option position that will mimic a digital asset position almost identically, but at a huge cost savings. </w:t>
      </w:r>
    </w:p>
    <w:p w:rsidR="00EE4C81" w:rsidRPr="00DE065D" w:rsidRDefault="00EE4C81" w:rsidP="00EE4C81">
      <w:pPr>
        <w:rPr>
          <w:rFonts w:ascii="Times New Roman" w:hAnsi="Times New Roman" w:cs="Times New Roman"/>
          <w:b/>
          <w:color w:val="000000" w:themeColor="text1"/>
          <w:sz w:val="24"/>
          <w:szCs w:val="24"/>
        </w:rPr>
      </w:pPr>
      <w:r w:rsidRPr="00DE065D">
        <w:rPr>
          <w:rFonts w:ascii="Times New Roman" w:hAnsi="Times New Roman" w:cs="Times New Roman"/>
          <w:b/>
          <w:color w:val="000000" w:themeColor="text1"/>
          <w:sz w:val="24"/>
          <w:szCs w:val="24"/>
        </w:rPr>
        <w:t xml:space="preserve">Example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Say you wish to purchase (BCH) because you think it will be going up over the next several months. You want to buy 200 tokens while BCH is trading at $131; this would cost you a total of $26,200. Instead of putting up that much money, you could have gone into the options market, </w:t>
      </w:r>
      <w:r w:rsidRPr="00DE065D">
        <w:rPr>
          <w:rFonts w:ascii="Times New Roman" w:hAnsi="Times New Roman" w:cs="Times New Roman"/>
          <w:color w:val="000000" w:themeColor="text1"/>
          <w:sz w:val="24"/>
          <w:szCs w:val="24"/>
        </w:rPr>
        <w:lastRenderedPageBreak/>
        <w:t>picked the proper option that mimics the digital asset closely and bought the August call option, with a strike price of $100, for $34. In order to acquire a position equivalent in size to the 200 tokens mentioned above, you would need to buy two contracts. This would bring your total investment to $6,800 (2 contracts x 100 tokens/contract x $34 market price), as opposed to $26,200. The difference could be left in your account to gain interest or be applied to another opportunity that provides better diversification potential, among other things.</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20" w:name="_Toc497411949"/>
      <w:r w:rsidRPr="00DE065D">
        <w:rPr>
          <w:rFonts w:ascii="Times New Roman" w:hAnsi="Times New Roman" w:cs="Times New Roman"/>
          <w:color w:val="000000" w:themeColor="text1"/>
        </w:rPr>
        <w:t xml:space="preserve">Less Risk </w:t>
      </w:r>
      <w:r w:rsidR="00D570A8" w:rsidRPr="00DE065D">
        <w:rPr>
          <w:rFonts w:ascii="Times New Roman" w:hAnsi="Times New Roman" w:cs="Times New Roman"/>
          <w:color w:val="000000" w:themeColor="text1"/>
        </w:rPr>
        <w:t>–</w:t>
      </w:r>
      <w:r w:rsidRPr="00DE065D">
        <w:rPr>
          <w:rFonts w:ascii="Times New Roman" w:hAnsi="Times New Roman" w:cs="Times New Roman"/>
          <w:color w:val="000000" w:themeColor="text1"/>
        </w:rPr>
        <w:t xml:space="preserve"> </w:t>
      </w:r>
      <w:r w:rsidR="00D570A8" w:rsidRPr="00DE065D">
        <w:rPr>
          <w:rFonts w:ascii="Times New Roman" w:hAnsi="Times New Roman" w:cs="Times New Roman"/>
          <w:color w:val="000000" w:themeColor="text1"/>
        </w:rPr>
        <w:t>Fixing the technical problem in stop-loss order</w:t>
      </w:r>
      <w:bookmarkEnd w:id="20"/>
    </w:p>
    <w:p w:rsidR="00653F5D" w:rsidRPr="00DE065D" w:rsidRDefault="00653F5D" w:rsidP="00653F5D">
      <w:pPr>
        <w:pStyle w:val="ListParagraph"/>
        <w:rPr>
          <w:rFonts w:ascii="Times New Roman" w:hAnsi="Times New Roman" w:cs="Times New Roman"/>
          <w:color w:val="000000" w:themeColor="text1"/>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Options can be less risky for investors because they require less fi</w:t>
      </w:r>
      <w:r w:rsidR="00D570A8" w:rsidRPr="00DE065D">
        <w:rPr>
          <w:rFonts w:ascii="Times New Roman" w:hAnsi="Times New Roman" w:cs="Times New Roman"/>
          <w:color w:val="000000" w:themeColor="text1"/>
          <w:sz w:val="24"/>
          <w:szCs w:val="24"/>
        </w:rPr>
        <w:t>nancial commitment than equities (owned digital assets)</w:t>
      </w:r>
      <w:r w:rsidRPr="00DE065D">
        <w:rPr>
          <w:rFonts w:ascii="Times New Roman" w:hAnsi="Times New Roman" w:cs="Times New Roman"/>
          <w:color w:val="000000" w:themeColor="text1"/>
          <w:sz w:val="24"/>
          <w:szCs w:val="24"/>
        </w:rPr>
        <w:t>, and they can also be less risky due to their relative imperviousness to the potentially catastrophic effects of gap openings.</w:t>
      </w:r>
      <w:r w:rsidR="00D570A8" w:rsidRPr="00DE065D">
        <w:rPr>
          <w:rFonts w:ascii="Times New Roman" w:hAnsi="Times New Roman" w:cs="Times New Roman"/>
          <w:color w:val="000000" w:themeColor="text1"/>
          <w:sz w:val="24"/>
          <w:szCs w:val="24"/>
        </w:rPr>
        <w:t xml:space="preserve">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Options are the most dependable form of hedge, and </w:t>
      </w:r>
      <w:r w:rsidR="00D570A8" w:rsidRPr="00DE065D">
        <w:rPr>
          <w:rFonts w:ascii="Times New Roman" w:hAnsi="Times New Roman" w:cs="Times New Roman"/>
          <w:color w:val="000000" w:themeColor="text1"/>
          <w:sz w:val="24"/>
          <w:szCs w:val="24"/>
        </w:rPr>
        <w:t>this also makes them safer in day trading</w:t>
      </w:r>
      <w:r w:rsidRPr="00DE065D">
        <w:rPr>
          <w:rFonts w:ascii="Times New Roman" w:hAnsi="Times New Roman" w:cs="Times New Roman"/>
          <w:color w:val="000000" w:themeColor="text1"/>
          <w:sz w:val="24"/>
          <w:szCs w:val="24"/>
        </w:rPr>
        <w:t xml:space="preserve">. When an investor purchases digital assets, a stop-loss order is frequently placed to protect the position. </w:t>
      </w:r>
      <w:r w:rsidR="00804B7B" w:rsidRPr="00DE065D">
        <w:rPr>
          <w:rFonts w:ascii="Times New Roman" w:hAnsi="Times New Roman" w:cs="Times New Roman"/>
          <w:color w:val="000000" w:themeColor="text1"/>
          <w:sz w:val="24"/>
          <w:szCs w:val="24"/>
        </w:rPr>
        <w:t xml:space="preserve">[14] </w:t>
      </w:r>
      <w:r w:rsidRPr="00DE065D">
        <w:rPr>
          <w:rFonts w:ascii="Times New Roman" w:hAnsi="Times New Roman" w:cs="Times New Roman"/>
          <w:color w:val="000000" w:themeColor="text1"/>
          <w:sz w:val="24"/>
          <w:szCs w:val="24"/>
        </w:rPr>
        <w:t>The stop order is designed to "stop" losses below a predetermined price identified by the investor. The problem with these orders lies in the nature of the order itself. A stop order is executed when the digital asset trades at or below the limit as indicated in the order.</w:t>
      </w:r>
    </w:p>
    <w:p w:rsidR="00EE4C81" w:rsidRPr="00DE065D" w:rsidRDefault="00EE4C81" w:rsidP="00EE4C81">
      <w:pPr>
        <w:rPr>
          <w:rFonts w:ascii="Times New Roman" w:hAnsi="Times New Roman" w:cs="Times New Roman"/>
          <w:b/>
          <w:color w:val="000000" w:themeColor="text1"/>
          <w:sz w:val="24"/>
          <w:szCs w:val="24"/>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For example</w:t>
      </w:r>
      <w:r w:rsidRPr="00DE065D">
        <w:rPr>
          <w:rFonts w:ascii="Times New Roman" w:hAnsi="Times New Roman" w:cs="Times New Roman"/>
          <w:color w:val="000000" w:themeColor="text1"/>
          <w:sz w:val="24"/>
          <w:szCs w:val="24"/>
        </w:rPr>
        <w:t xml:space="preserve">, let's say you buy a </w:t>
      </w:r>
      <w:r w:rsidR="00D570A8" w:rsidRPr="00DE065D">
        <w:rPr>
          <w:rFonts w:ascii="Times New Roman" w:hAnsi="Times New Roman" w:cs="Times New Roman"/>
          <w:color w:val="000000" w:themeColor="text1"/>
          <w:sz w:val="24"/>
          <w:szCs w:val="24"/>
        </w:rPr>
        <w:t>token xyz</w:t>
      </w:r>
      <w:r w:rsidRPr="00DE065D">
        <w:rPr>
          <w:rFonts w:ascii="Times New Roman" w:hAnsi="Times New Roman" w:cs="Times New Roman"/>
          <w:color w:val="000000" w:themeColor="text1"/>
          <w:sz w:val="24"/>
          <w:szCs w:val="24"/>
        </w:rPr>
        <w:t xml:space="preserve"> at $50. You do not wish to lose any more than 10% of your investment, so you place a $45 stop order. This order will become a market order to sell once the digital asset trades at or below $45.</w:t>
      </w:r>
      <w:r w:rsidR="00D570A8" w:rsidRPr="00DE065D">
        <w:rPr>
          <w:rFonts w:ascii="Times New Roman" w:hAnsi="Times New Roman" w:cs="Times New Roman"/>
          <w:color w:val="000000" w:themeColor="text1"/>
          <w:sz w:val="24"/>
          <w:szCs w:val="24"/>
        </w:rPr>
        <w:t xml:space="preserve">This order will trigger as soon as market hit $45, and possibly it was the day low but you losses your 10%.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Had you purchased a put option for protection, you would not have had to suffer the catastrophic loss. Unlike stop-loss orders</w:t>
      </w:r>
      <w:proofErr w:type="gramStart"/>
      <w:r w:rsidRPr="00DE065D">
        <w:rPr>
          <w:rFonts w:ascii="Times New Roman" w:hAnsi="Times New Roman" w:cs="Times New Roman"/>
          <w:color w:val="000000" w:themeColor="text1"/>
          <w:sz w:val="24"/>
          <w:szCs w:val="24"/>
        </w:rPr>
        <w:t>,.</w:t>
      </w:r>
      <w:proofErr w:type="gramEnd"/>
      <w:r w:rsidRPr="00DE065D">
        <w:rPr>
          <w:rFonts w:ascii="Times New Roman" w:hAnsi="Times New Roman" w:cs="Times New Roman"/>
          <w:color w:val="000000" w:themeColor="text1"/>
          <w:sz w:val="24"/>
          <w:szCs w:val="24"/>
        </w:rPr>
        <w:t xml:space="preserve"> They give you insurance 24 hours a day, seven days a week. This is something that stop orders can't do. This is why options are considered a dependable form of hedging.</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Furthermore, as an alternative to purchasing the digital asset, you could have employed the strategy mentioned above (digital asset replacement), where you purchase an in-the-money call instead of purchasing the digital asset. There are options that will mimic up to 85% of a digital asset's performance, but cost one-quarter the price of the digital asset. If you had purchased the $45 strike call instead of the digital asset, your loss would be limited to what you spent on the option. If you paid $6 for the option, you would have lost only that $6, not the $31 you'd lose if you owned the digital asset. The effectiveness of stop orders pales in comparison to the natural, full-time stop offered by options. </w:t>
      </w:r>
    </w:p>
    <w:p w:rsidR="00653F5D" w:rsidRPr="00DE065D" w:rsidRDefault="00EE4C81" w:rsidP="00653F5D">
      <w:pPr>
        <w:pStyle w:val="Heading3"/>
        <w:numPr>
          <w:ilvl w:val="0"/>
          <w:numId w:val="2"/>
        </w:numPr>
        <w:rPr>
          <w:rFonts w:ascii="Times New Roman" w:hAnsi="Times New Roman" w:cs="Times New Roman"/>
          <w:color w:val="000000" w:themeColor="text1"/>
        </w:rPr>
      </w:pPr>
      <w:bookmarkStart w:id="21" w:name="_Toc497411950"/>
      <w:r w:rsidRPr="00DE065D">
        <w:rPr>
          <w:rFonts w:ascii="Times New Roman" w:hAnsi="Times New Roman" w:cs="Times New Roman"/>
          <w:color w:val="000000" w:themeColor="text1"/>
        </w:rPr>
        <w:lastRenderedPageBreak/>
        <w:t>Higher Potential Returns</w:t>
      </w:r>
      <w:bookmarkEnd w:id="21"/>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You don't need a calculator to figure out that if you spend much less money and make almost the same profit, you'll have a higher percentage return. When they pay off, that's what options typically offer to investors.</w:t>
      </w:r>
      <w:r w:rsidR="00804B7B" w:rsidRPr="00DE065D">
        <w:rPr>
          <w:rFonts w:ascii="Times New Roman" w:hAnsi="Times New Roman" w:cs="Times New Roman"/>
          <w:color w:val="000000" w:themeColor="text1"/>
          <w:sz w:val="24"/>
          <w:szCs w:val="24"/>
        </w:rPr>
        <w:t xml:space="preserve"> [13]</w:t>
      </w:r>
    </w:p>
    <w:p w:rsidR="00EE4C81" w:rsidRPr="00DE065D" w:rsidRDefault="00D570A8" w:rsidP="00EE4C81">
      <w:pP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Example</w:t>
      </w:r>
      <w:r w:rsidR="00EE4C81" w:rsidRPr="00DE065D">
        <w:rPr>
          <w:rFonts w:ascii="Times New Roman" w:hAnsi="Times New Roman" w:cs="Times New Roman"/>
          <w:color w:val="000000" w:themeColor="text1"/>
          <w:sz w:val="24"/>
          <w:szCs w:val="24"/>
        </w:rPr>
        <w:t xml:space="preserve">, using the scenario from above, let's compare the percentage returns of the digital asset (purchased for $50) and the option (purchased at $6). Let us also say that the option has a delta of 80, meaning that the option's price will change 80% of the digital asset's price change. If the digital asset were to go up $5, your digital asset position would provide a 10% return. Your option position would gain 80% of the digital asset movement (due to its 80 delta), or $4. A $4 gain on a $6 investment amounts to a 67% return - much better than the 10% return on the digital asset. Of course, we must point out that when the trade doesn't go your way, options can exact a heavy toll: there is the possibility that you will lose 100% of your investment. </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22" w:name="_Toc497411951"/>
      <w:r w:rsidRPr="00DE065D">
        <w:rPr>
          <w:rFonts w:ascii="Times New Roman" w:hAnsi="Times New Roman" w:cs="Times New Roman"/>
          <w:color w:val="000000" w:themeColor="text1"/>
        </w:rPr>
        <w:t>More Strategic Alternatives</w:t>
      </w:r>
      <w:bookmarkEnd w:id="22"/>
    </w:p>
    <w:p w:rsidR="00653F5D" w:rsidRPr="00DE065D" w:rsidRDefault="00653F5D" w:rsidP="00653F5D">
      <w:pPr>
        <w:rPr>
          <w:rFonts w:ascii="Times New Roman" w:hAnsi="Times New Roman" w:cs="Times New Roman"/>
          <w:color w:val="000000" w:themeColor="text1"/>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The final major advantage of options is that they offer more investment alternatives. Options are a very flexible tool. There are many ways to use options to recreate other positions. We call these positions synthetics.</w:t>
      </w:r>
    </w:p>
    <w:p w:rsidR="00101363"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Synthetic positions present investors with multiple ways to attain the same investment goals, and this can be very, very useful. While synthetic positions are considered an advanced option topic, there are many other examples of how options offer strategic alternatives.</w:t>
      </w:r>
    </w:p>
    <w:p w:rsidR="00523CA0" w:rsidRPr="00DE065D" w:rsidRDefault="00EE4C81" w:rsidP="007003AA">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 </w:t>
      </w:r>
      <w:r w:rsidR="00101363" w:rsidRPr="00DE065D">
        <w:rPr>
          <w:rFonts w:ascii="Times New Roman" w:hAnsi="Times New Roman" w:cs="Times New Roman"/>
          <w:b/>
          <w:color w:val="000000" w:themeColor="text1"/>
          <w:sz w:val="24"/>
          <w:szCs w:val="24"/>
        </w:rPr>
        <w:t>E</w:t>
      </w:r>
      <w:r w:rsidRPr="00DE065D">
        <w:rPr>
          <w:rFonts w:ascii="Times New Roman" w:hAnsi="Times New Roman" w:cs="Times New Roman"/>
          <w:b/>
          <w:color w:val="000000" w:themeColor="text1"/>
          <w:sz w:val="24"/>
          <w:szCs w:val="24"/>
        </w:rPr>
        <w:t>xample</w:t>
      </w:r>
      <w:r w:rsidR="00101363" w:rsidRPr="00DE065D">
        <w:rPr>
          <w:rFonts w:ascii="Times New Roman" w:hAnsi="Times New Roman" w:cs="Times New Roman"/>
          <w:color w:val="000000" w:themeColor="text1"/>
          <w:sz w:val="24"/>
          <w:szCs w:val="24"/>
        </w:rPr>
        <w:t>, many investors use Exchanges</w:t>
      </w:r>
      <w:r w:rsidRPr="00DE065D">
        <w:rPr>
          <w:rFonts w:ascii="Times New Roman" w:hAnsi="Times New Roman" w:cs="Times New Roman"/>
          <w:color w:val="000000" w:themeColor="text1"/>
          <w:sz w:val="24"/>
          <w:szCs w:val="24"/>
        </w:rPr>
        <w:t xml:space="preserve"> </w:t>
      </w:r>
      <w:r w:rsidR="00101363" w:rsidRPr="00DE065D">
        <w:rPr>
          <w:rFonts w:ascii="Times New Roman" w:hAnsi="Times New Roman" w:cs="Times New Roman"/>
          <w:color w:val="000000" w:themeColor="text1"/>
          <w:sz w:val="24"/>
          <w:szCs w:val="24"/>
        </w:rPr>
        <w:t xml:space="preserve">like (Kraken, </w:t>
      </w:r>
      <w:proofErr w:type="spellStart"/>
      <w:r w:rsidR="00101363" w:rsidRPr="00DE065D">
        <w:rPr>
          <w:rFonts w:ascii="Times New Roman" w:hAnsi="Times New Roman" w:cs="Times New Roman"/>
          <w:color w:val="000000" w:themeColor="text1"/>
          <w:sz w:val="24"/>
          <w:szCs w:val="24"/>
        </w:rPr>
        <w:t>Poloniex</w:t>
      </w:r>
      <w:proofErr w:type="spellEnd"/>
      <w:r w:rsidR="00101363" w:rsidRPr="00DE065D">
        <w:rPr>
          <w:rFonts w:ascii="Times New Roman" w:hAnsi="Times New Roman" w:cs="Times New Roman"/>
          <w:color w:val="000000" w:themeColor="text1"/>
          <w:sz w:val="24"/>
          <w:szCs w:val="24"/>
        </w:rPr>
        <w:t xml:space="preserve"> etc) </w:t>
      </w:r>
      <w:r w:rsidRPr="00DE065D">
        <w:rPr>
          <w:rFonts w:ascii="Times New Roman" w:hAnsi="Times New Roman" w:cs="Times New Roman"/>
          <w:color w:val="000000" w:themeColor="text1"/>
          <w:sz w:val="24"/>
          <w:szCs w:val="24"/>
        </w:rPr>
        <w:t>that charge a margin when an investor wants to short a digital asset. The cost of this margin requirement can be quite prohibitive. Other investors</w:t>
      </w:r>
      <w:r w:rsidR="00101363" w:rsidRPr="00DE065D">
        <w:rPr>
          <w:rFonts w:ascii="Times New Roman" w:hAnsi="Times New Roman" w:cs="Times New Roman"/>
          <w:color w:val="000000" w:themeColor="text1"/>
          <w:sz w:val="24"/>
          <w:szCs w:val="24"/>
        </w:rPr>
        <w:t xml:space="preserve"> use exchanges (</w:t>
      </w:r>
      <w:proofErr w:type="spellStart"/>
      <w:r w:rsidR="00101363" w:rsidRPr="00DE065D">
        <w:rPr>
          <w:rFonts w:ascii="Times New Roman" w:hAnsi="Times New Roman" w:cs="Times New Roman"/>
          <w:color w:val="000000" w:themeColor="text1"/>
          <w:sz w:val="24"/>
          <w:szCs w:val="24"/>
        </w:rPr>
        <w:t>Bittrex</w:t>
      </w:r>
      <w:proofErr w:type="spellEnd"/>
      <w:r w:rsidR="00101363" w:rsidRPr="00DE065D">
        <w:rPr>
          <w:rFonts w:ascii="Times New Roman" w:hAnsi="Times New Roman" w:cs="Times New Roman"/>
          <w:color w:val="000000" w:themeColor="text1"/>
          <w:sz w:val="24"/>
          <w:szCs w:val="24"/>
        </w:rPr>
        <w:t xml:space="preserve">) </w:t>
      </w:r>
      <w:r w:rsidRPr="00DE065D">
        <w:rPr>
          <w:rFonts w:ascii="Times New Roman" w:hAnsi="Times New Roman" w:cs="Times New Roman"/>
          <w:color w:val="000000" w:themeColor="text1"/>
          <w:sz w:val="24"/>
          <w:szCs w:val="24"/>
        </w:rPr>
        <w:t>that simply do not allow for the shorting of digital assets, period. The inability to play the downside when needed virtually handcuffs investors and forces them into a black-and-white world while the market trades in color. But no broker has any rule against investors purchasing puts to play the downside, and this is a definite benefit of options trading.</w:t>
      </w:r>
    </w:p>
    <w:p w:rsidR="00523CA0" w:rsidRPr="00DE065D" w:rsidRDefault="00BB3992" w:rsidP="00653F5D">
      <w:pPr>
        <w:pStyle w:val="Heading1"/>
        <w:rPr>
          <w:rFonts w:ascii="Times New Roman" w:eastAsia="Times New Roman" w:hAnsi="Times New Roman" w:cs="Times New Roman"/>
          <w:color w:val="000000" w:themeColor="text1"/>
        </w:rPr>
      </w:pPr>
      <w:bookmarkStart w:id="23" w:name="_Toc497411952"/>
      <w:r w:rsidRPr="00DE065D">
        <w:rPr>
          <w:rFonts w:ascii="Times New Roman" w:eastAsia="Times New Roman" w:hAnsi="Times New Roman" w:cs="Times New Roman"/>
          <w:color w:val="000000" w:themeColor="text1"/>
        </w:rPr>
        <w:t>Calculative specifications</w:t>
      </w:r>
      <w:bookmarkEnd w:id="23"/>
      <w:r w:rsidRPr="00DE065D">
        <w:rPr>
          <w:rFonts w:ascii="Times New Roman" w:eastAsia="Times New Roman" w:hAnsi="Times New Roman" w:cs="Times New Roman"/>
          <w:color w:val="000000" w:themeColor="text1"/>
        </w:rPr>
        <w:t xml:space="preserve"> </w:t>
      </w:r>
      <w:r w:rsidR="00101363" w:rsidRPr="00DE065D">
        <w:rPr>
          <w:rFonts w:ascii="Times New Roman" w:eastAsia="Times New Roman" w:hAnsi="Times New Roman" w:cs="Times New Roman"/>
          <w:color w:val="000000" w:themeColor="text1"/>
        </w:rPr>
        <w:br/>
      </w:r>
    </w:p>
    <w:p w:rsidR="00101363" w:rsidRPr="00DE065D" w:rsidRDefault="00101363" w:rsidP="00653F5D">
      <w:pPr>
        <w:pStyle w:val="Heading2"/>
        <w:rPr>
          <w:rFonts w:ascii="Times New Roman" w:hAnsi="Times New Roman" w:cs="Times New Roman"/>
          <w:color w:val="000000" w:themeColor="text1"/>
        </w:rPr>
      </w:pPr>
      <w:bookmarkStart w:id="24" w:name="_Toc497411953"/>
      <w:r w:rsidRPr="00DE065D">
        <w:rPr>
          <w:rFonts w:ascii="Times New Roman" w:hAnsi="Times New Roman" w:cs="Times New Roman"/>
          <w:color w:val="000000" w:themeColor="text1"/>
        </w:rPr>
        <w:t>Option intrinsic value</w:t>
      </w:r>
      <w:bookmarkEnd w:id="24"/>
      <w:r w:rsidRPr="00DE065D">
        <w:rPr>
          <w:rFonts w:ascii="Times New Roman" w:hAnsi="Times New Roman" w:cs="Times New Roman"/>
          <w:color w:val="000000" w:themeColor="text1"/>
        </w:rPr>
        <w:t xml:space="preserve"> </w:t>
      </w:r>
    </w:p>
    <w:tbl>
      <w:tblPr>
        <w:tblW w:w="3000" w:type="pct"/>
        <w:jc w:val="center"/>
        <w:tblCellSpacing w:w="0" w:type="dxa"/>
        <w:tblCellMar>
          <w:left w:w="0" w:type="dxa"/>
          <w:right w:w="0" w:type="dxa"/>
        </w:tblCellMar>
        <w:tblLook w:val="04A0"/>
      </w:tblPr>
      <w:tblGrid>
        <w:gridCol w:w="5616"/>
      </w:tblGrid>
      <w:tr w:rsidR="00101363" w:rsidRPr="00DE065D" w:rsidTr="005D5070">
        <w:trPr>
          <w:tblCellSpacing w:w="0" w:type="dxa"/>
          <w:jc w:val="center"/>
        </w:trPr>
        <w:tc>
          <w:tcPr>
            <w:tcW w:w="0" w:type="auto"/>
            <w:vAlign w:val="center"/>
            <w:hideMark/>
          </w:tcPr>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Call Option Intrinsic Value = </w:t>
            </w:r>
            <w:r w:rsidRPr="00DE065D">
              <w:rPr>
                <w:rFonts w:ascii="Times New Roman" w:eastAsia="Times New Roman" w:hAnsi="Times New Roman" w:cs="Times New Roman"/>
                <w:b/>
                <w:bCs/>
                <w:color w:val="000000" w:themeColor="text1"/>
                <w:sz w:val="20"/>
                <w:szCs w:val="20"/>
              </w:rPr>
              <w:br/>
              <w:t>Underlying Stock\'s Current Price – Call Strike Price </w:t>
            </w:r>
          </w:p>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p>
          <w:p w:rsidR="00101363" w:rsidRPr="00DE065D" w:rsidRDefault="00101363" w:rsidP="00101363">
            <w:pPr>
              <w:spacing w:after="0" w:line="240" w:lineRule="auto"/>
              <w:rPr>
                <w:rFonts w:ascii="Times New Roman" w:eastAsia="Times New Roman" w:hAnsi="Times New Roman" w:cs="Times New Roman"/>
                <w:b/>
                <w:color w:val="000000" w:themeColor="text1"/>
                <w:sz w:val="20"/>
                <w:szCs w:val="20"/>
              </w:rPr>
            </w:pPr>
          </w:p>
        </w:tc>
      </w:tr>
    </w:tbl>
    <w:p w:rsidR="00101363" w:rsidRPr="00DE065D" w:rsidRDefault="00101363" w:rsidP="00101363">
      <w:pPr>
        <w:spacing w:after="0" w:line="240" w:lineRule="auto"/>
        <w:rPr>
          <w:rFonts w:ascii="Times New Roman" w:eastAsia="Times New Roman" w:hAnsi="Times New Roman" w:cs="Times New Roman"/>
          <w:b/>
          <w:vanish/>
          <w:color w:val="000000" w:themeColor="text1"/>
          <w:sz w:val="20"/>
          <w:szCs w:val="20"/>
        </w:rPr>
      </w:pPr>
    </w:p>
    <w:tbl>
      <w:tblPr>
        <w:tblW w:w="3000" w:type="pct"/>
        <w:jc w:val="center"/>
        <w:tblCellSpacing w:w="0" w:type="dxa"/>
        <w:tblCellMar>
          <w:left w:w="0" w:type="dxa"/>
          <w:right w:w="0" w:type="dxa"/>
        </w:tblCellMar>
        <w:tblLook w:val="04A0"/>
      </w:tblPr>
      <w:tblGrid>
        <w:gridCol w:w="5616"/>
      </w:tblGrid>
      <w:tr w:rsidR="00101363" w:rsidRPr="00DE065D" w:rsidTr="005D5070">
        <w:trPr>
          <w:tblCellSpacing w:w="0" w:type="dxa"/>
          <w:jc w:val="center"/>
        </w:trPr>
        <w:tc>
          <w:tcPr>
            <w:tcW w:w="0" w:type="auto"/>
            <w:vAlign w:val="center"/>
            <w:hideMark/>
          </w:tcPr>
          <w:p w:rsidR="00101363" w:rsidRPr="00DE065D" w:rsidRDefault="00101363" w:rsidP="00101363">
            <w:pPr>
              <w:spacing w:after="0" w:line="240" w:lineRule="auto"/>
              <w:rPr>
                <w:rFonts w:ascii="Times New Roman" w:eastAsia="Times New Roman" w:hAnsi="Times New Roman" w:cs="Times New Roman"/>
                <w:b/>
                <w:color w:val="000000" w:themeColor="text1"/>
                <w:sz w:val="20"/>
                <w:szCs w:val="20"/>
              </w:rPr>
            </w:pPr>
            <w:r w:rsidRPr="00DE065D">
              <w:rPr>
                <w:rFonts w:ascii="Times New Roman" w:eastAsia="Times New Roman" w:hAnsi="Times New Roman" w:cs="Times New Roman"/>
                <w:b/>
                <w:bCs/>
                <w:color w:val="000000" w:themeColor="text1"/>
                <w:sz w:val="20"/>
                <w:szCs w:val="20"/>
              </w:rPr>
              <w:t>Put Option Intrinsic Value = </w:t>
            </w:r>
            <w:r w:rsidRPr="00DE065D">
              <w:rPr>
                <w:rFonts w:ascii="Times New Roman" w:eastAsia="Times New Roman" w:hAnsi="Times New Roman" w:cs="Times New Roman"/>
                <w:b/>
                <w:bCs/>
                <w:color w:val="000000" w:themeColor="text1"/>
                <w:sz w:val="20"/>
                <w:szCs w:val="20"/>
              </w:rPr>
              <w:br/>
              <w:t>Put Strike Price – Underlying Stock\'s Current Price</w:t>
            </w:r>
          </w:p>
        </w:tc>
      </w:tr>
    </w:tbl>
    <w:p w:rsidR="00101363" w:rsidRPr="00DE065D" w:rsidRDefault="00101363" w:rsidP="007003AA">
      <w:pPr>
        <w:rPr>
          <w:rFonts w:ascii="Times New Roman" w:eastAsia="Times New Roman" w:hAnsi="Times New Roman" w:cs="Times New Roman"/>
          <w:b/>
          <w:color w:val="000000" w:themeColor="text1"/>
          <w:sz w:val="24"/>
          <w:szCs w:val="24"/>
        </w:rPr>
      </w:pPr>
    </w:p>
    <w:p w:rsidR="00101363" w:rsidRPr="00DE065D" w:rsidRDefault="00101363" w:rsidP="00653F5D">
      <w:pPr>
        <w:pStyle w:val="Heading2"/>
        <w:rPr>
          <w:rFonts w:ascii="Times New Roman" w:eastAsia="Times New Roman" w:hAnsi="Times New Roman" w:cs="Times New Roman"/>
          <w:color w:val="000000" w:themeColor="text1"/>
        </w:rPr>
      </w:pPr>
      <w:bookmarkStart w:id="25" w:name="_Toc497411954"/>
      <w:r w:rsidRPr="00DE065D">
        <w:rPr>
          <w:rFonts w:ascii="Times New Roman" w:eastAsia="Times New Roman" w:hAnsi="Times New Roman" w:cs="Times New Roman"/>
          <w:color w:val="000000" w:themeColor="text1"/>
        </w:rPr>
        <w:lastRenderedPageBreak/>
        <w:t>Call premium</w:t>
      </w:r>
      <w:bookmarkEnd w:id="25"/>
      <w:r w:rsidRPr="00DE065D">
        <w:rPr>
          <w:rFonts w:ascii="Times New Roman" w:eastAsia="Times New Roman" w:hAnsi="Times New Roman" w:cs="Times New Roman"/>
          <w:color w:val="000000" w:themeColor="text1"/>
        </w:rPr>
        <w:t xml:space="preserve"> </w:t>
      </w:r>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Call option (C) and put option (P) prices are calculated using the following formulas:</w:t>
      </w:r>
    </w:p>
    <w:p w:rsidR="00BB3992"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3009900" cy="342900"/>
            <wp:effectExtent l="19050" t="0" r="0" b="0"/>
            <wp:docPr id="5" name="Picture 1" descr="Black-Scholes formula for call option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Scholes formula for call option price"/>
                    <pic:cNvPicPr>
                      <a:picLocks noChangeAspect="1" noChangeArrowheads="1"/>
                    </pic:cNvPicPr>
                  </pic:nvPicPr>
                  <pic:blipFill>
                    <a:blip r:embed="rId12"/>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BB3992" w:rsidRPr="00DE065D" w:rsidRDefault="00BB3992" w:rsidP="00101363">
      <w:pPr>
        <w:spacing w:after="0" w:line="240" w:lineRule="auto"/>
        <w:rPr>
          <w:rFonts w:ascii="Times New Roman" w:eastAsia="Times New Roman" w:hAnsi="Times New Roman" w:cs="Times New Roman"/>
          <w:b/>
          <w:bCs/>
          <w:color w:val="000000" w:themeColor="text1"/>
          <w:sz w:val="20"/>
          <w:szCs w:val="20"/>
        </w:rPr>
      </w:pPr>
    </w:p>
    <w:p w:rsidR="00BB3992" w:rsidRPr="00DE065D" w:rsidRDefault="00BB3992" w:rsidP="00101363">
      <w:pPr>
        <w:spacing w:after="0" w:line="240" w:lineRule="auto"/>
        <w:rPr>
          <w:rFonts w:ascii="Times New Roman" w:eastAsia="Times New Roman" w:hAnsi="Times New Roman" w:cs="Times New Roman"/>
          <w:b/>
          <w:bCs/>
          <w:color w:val="000000" w:themeColor="text1"/>
          <w:sz w:val="20"/>
          <w:szCs w:val="20"/>
        </w:rPr>
      </w:pPr>
    </w:p>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3248025" cy="304800"/>
            <wp:effectExtent l="19050" t="0" r="9525" b="0"/>
            <wp:docPr id="1" name="Picture 2" descr="Black-Scholes formula for put option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Scholes formula for put option price"/>
                    <pic:cNvPicPr>
                      <a:picLocks noChangeAspect="1" noChangeArrowheads="1"/>
                    </pic:cNvPicPr>
                  </pic:nvPicPr>
                  <pic:blipFill>
                    <a:blip r:embed="rId13"/>
                    <a:srcRect/>
                    <a:stretch>
                      <a:fillRect/>
                    </a:stretch>
                  </pic:blipFill>
                  <pic:spPr bwMode="auto">
                    <a:xfrm>
                      <a:off x="0" y="0"/>
                      <a:ext cx="3248025" cy="304800"/>
                    </a:xfrm>
                    <a:prstGeom prst="rect">
                      <a:avLst/>
                    </a:prstGeom>
                    <a:noFill/>
                    <a:ln w="9525">
                      <a:noFill/>
                      <a:miter lim="800000"/>
                      <a:headEnd/>
                      <a:tailEnd/>
                    </a:ln>
                  </pic:spPr>
                </pic:pic>
              </a:graphicData>
            </a:graphic>
          </wp:inline>
        </w:drawing>
      </w:r>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proofErr w:type="gramStart"/>
      <w:r w:rsidRPr="00DE065D">
        <w:rPr>
          <w:rFonts w:ascii="Times New Roman" w:eastAsia="Times New Roman" w:hAnsi="Times New Roman" w:cs="Times New Roman"/>
          <w:b/>
          <w:bCs/>
          <w:color w:val="000000" w:themeColor="text1"/>
          <w:sz w:val="20"/>
          <w:szCs w:val="20"/>
        </w:rPr>
        <w:t>Where N(x) is the standard normal cumulative distribution function.</w:t>
      </w:r>
      <w:proofErr w:type="gramEnd"/>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The formulas for d1 and d2 are:</w:t>
      </w:r>
    </w:p>
    <w:p w:rsidR="00BB3992" w:rsidRPr="00DE065D" w:rsidRDefault="00101363" w:rsidP="00101363">
      <w:pPr>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2486025" cy="704850"/>
            <wp:effectExtent l="19050" t="0" r="9525" b="0"/>
            <wp:docPr id="3" name="Picture 3" descr="Black-Scholes formula for 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Scholes formula for d1"/>
                    <pic:cNvPicPr>
                      <a:picLocks noChangeAspect="1" noChangeArrowheads="1"/>
                    </pic:cNvPicPr>
                  </pic:nvPicPr>
                  <pic:blipFill>
                    <a:blip r:embed="rId14"/>
                    <a:srcRect/>
                    <a:stretch>
                      <a:fillRect/>
                    </a:stretch>
                  </pic:blipFill>
                  <pic:spPr bwMode="auto">
                    <a:xfrm>
                      <a:off x="0" y="0"/>
                      <a:ext cx="2486025" cy="704850"/>
                    </a:xfrm>
                    <a:prstGeom prst="rect">
                      <a:avLst/>
                    </a:prstGeom>
                    <a:noFill/>
                    <a:ln w="9525">
                      <a:noFill/>
                      <a:miter lim="800000"/>
                      <a:headEnd/>
                      <a:tailEnd/>
                    </a:ln>
                  </pic:spPr>
                </pic:pic>
              </a:graphicData>
            </a:graphic>
          </wp:inline>
        </w:drawing>
      </w:r>
    </w:p>
    <w:p w:rsidR="00101363" w:rsidRPr="00DE065D" w:rsidRDefault="00101363" w:rsidP="00101363">
      <w:pPr>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1343025" cy="333375"/>
            <wp:effectExtent l="19050" t="0" r="9525" b="0"/>
            <wp:docPr id="4" name="Picture 4" descr="Black-Scholes formula for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Scholes formula for d2"/>
                    <pic:cNvPicPr>
                      <a:picLocks noChangeAspect="1" noChangeArrowheads="1"/>
                    </pic:cNvPicPr>
                  </pic:nvPicPr>
                  <pic:blipFill>
                    <a:blip r:embed="rId15"/>
                    <a:srcRect/>
                    <a:stretch>
                      <a:fillRect/>
                    </a:stretch>
                  </pic:blipFill>
                  <pic:spPr bwMode="auto">
                    <a:xfrm>
                      <a:off x="0" y="0"/>
                      <a:ext cx="1343025" cy="333375"/>
                    </a:xfrm>
                    <a:prstGeom prst="rect">
                      <a:avLst/>
                    </a:prstGeom>
                    <a:noFill/>
                    <a:ln w="9525">
                      <a:noFill/>
                      <a:miter lim="800000"/>
                      <a:headEnd/>
                      <a:tailEnd/>
                    </a:ln>
                  </pic:spPr>
                </pic:pic>
              </a:graphicData>
            </a:graphic>
          </wp:inline>
        </w:drawing>
      </w:r>
    </w:p>
    <w:p w:rsidR="00BB3992" w:rsidRPr="00DE065D" w:rsidRDefault="00BB3992" w:rsidP="00101363">
      <w:pPr>
        <w:rPr>
          <w:rFonts w:ascii="Times New Roman" w:eastAsia="Times New Roman" w:hAnsi="Times New Roman" w:cs="Times New Roman"/>
          <w:b/>
          <w:bCs/>
          <w:color w:val="000000" w:themeColor="text1"/>
          <w:sz w:val="20"/>
          <w:szCs w:val="20"/>
        </w:rPr>
      </w:pP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S</w:t>
      </w:r>
      <w:r w:rsidRPr="00DE065D">
        <w:rPr>
          <w:i/>
          <w:iCs/>
          <w:color w:val="000000" w:themeColor="text1"/>
          <w:sz w:val="20"/>
          <w:szCs w:val="20"/>
          <w:bdr w:val="none" w:sz="0" w:space="0" w:color="auto" w:frame="1"/>
          <w:vertAlign w:val="subscript"/>
        </w:rPr>
        <w:t>0</w:t>
      </w:r>
      <w:r w:rsidRPr="00DE065D">
        <w:rPr>
          <w:i/>
          <w:iCs/>
          <w:color w:val="000000" w:themeColor="text1"/>
          <w:sz w:val="20"/>
          <w:szCs w:val="20"/>
          <w:bdr w:val="none" w:sz="0" w:space="0" w:color="auto" w:frame="1"/>
        </w:rPr>
        <w:t> = underlying price ($$$ per share)</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X = strike price ($$$ per share)</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σ = </w:t>
      </w:r>
      <w:hyperlink r:id="rId16" w:tooltip="Volatility explained - historical vs. implied, units, interpretation" w:history="1">
        <w:r w:rsidRPr="00DE065D">
          <w:rPr>
            <w:rStyle w:val="Hyperlink"/>
            <w:rFonts w:eastAsiaTheme="majorEastAsia"/>
            <w:i/>
            <w:iCs/>
            <w:color w:val="000000" w:themeColor="text1"/>
            <w:sz w:val="20"/>
            <w:szCs w:val="20"/>
            <w:bdr w:val="none" w:sz="0" w:space="0" w:color="auto" w:frame="1"/>
          </w:rPr>
          <w:t>volatility</w:t>
        </w:r>
      </w:hyperlink>
      <w:r w:rsidRPr="00DE065D">
        <w:rPr>
          <w:i/>
          <w:iCs/>
          <w:color w:val="000000" w:themeColor="text1"/>
          <w:sz w:val="20"/>
          <w:szCs w:val="20"/>
          <w:bdr w:val="none" w:sz="0" w:space="0" w:color="auto" w:frame="1"/>
        </w:rPr>
        <w:t>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r = continuously compounded risk-free interest rate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q = continuously compounded dividend yield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t = time to expiration (% of year)</w:t>
      </w:r>
    </w:p>
    <w:p w:rsidR="00BB3992" w:rsidRPr="00DE065D" w:rsidRDefault="00BB3992" w:rsidP="00101363">
      <w:pPr>
        <w:rPr>
          <w:rFonts w:ascii="Times New Roman" w:eastAsia="Times New Roman" w:hAnsi="Times New Roman" w:cs="Times New Roman"/>
          <w:b/>
          <w:bCs/>
          <w:color w:val="000000" w:themeColor="text1"/>
          <w:sz w:val="20"/>
          <w:szCs w:val="20"/>
        </w:rPr>
      </w:pPr>
    </w:p>
    <w:p w:rsidR="00BB3992" w:rsidRPr="00DE065D" w:rsidRDefault="00BB3992" w:rsidP="00653F5D">
      <w:pPr>
        <w:pStyle w:val="Heading2"/>
        <w:rPr>
          <w:rFonts w:ascii="Times New Roman" w:hAnsi="Times New Roman" w:cs="Times New Roman"/>
          <w:color w:val="000000" w:themeColor="text1"/>
        </w:rPr>
      </w:pPr>
      <w:bookmarkStart w:id="26" w:name="_Toc497411955"/>
      <w:r w:rsidRPr="00DE065D">
        <w:rPr>
          <w:rFonts w:ascii="Times New Roman" w:hAnsi="Times New Roman" w:cs="Times New Roman"/>
          <w:color w:val="000000" w:themeColor="text1"/>
        </w:rPr>
        <w:t>Formulation breakdown</w:t>
      </w:r>
      <w:bookmarkEnd w:id="26"/>
    </w:p>
    <w:p w:rsidR="00BB3992" w:rsidRPr="00DE065D" w:rsidRDefault="00BB3992" w:rsidP="00653F5D">
      <w:pPr>
        <w:pStyle w:val="Heading3"/>
        <w:rPr>
          <w:rFonts w:ascii="Times New Roman" w:hAnsi="Times New Roman" w:cs="Times New Roman"/>
          <w:color w:val="000000" w:themeColor="text1"/>
        </w:rPr>
      </w:pPr>
      <w:bookmarkStart w:id="27" w:name="_Toc497411956"/>
      <w:r w:rsidRPr="00DE065D">
        <w:rPr>
          <w:rFonts w:ascii="Times New Roman" w:hAnsi="Times New Roman" w:cs="Times New Roman"/>
          <w:color w:val="000000" w:themeColor="text1"/>
        </w:rPr>
        <w:t>Delta</w:t>
      </w:r>
      <w:bookmarkEnd w:id="27"/>
    </w:p>
    <w:p w:rsidR="005923E2" w:rsidRPr="00DE065D" w:rsidRDefault="00BB3992" w:rsidP="00BB3992">
      <w:pPr>
        <w:rPr>
          <w:rFonts w:ascii="Times New Roman" w:hAnsi="Times New Roman" w:cs="Times New Roman"/>
          <w:b/>
          <w:noProof/>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162175" cy="314325"/>
            <wp:effectExtent l="19050" t="0" r="9525" b="0"/>
            <wp:docPr id="9" name="Picture 9" descr="Black-Scholes formula for call option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Scholes formula for call option delta"/>
                    <pic:cNvPicPr>
                      <a:picLocks noChangeAspect="1" noChangeArrowheads="1"/>
                    </pic:cNvPicPr>
                  </pic:nvPicPr>
                  <pic:blipFill>
                    <a:blip r:embed="rId17"/>
                    <a:srcRect/>
                    <a:stretch>
                      <a:fillRect/>
                    </a:stretch>
                  </pic:blipFill>
                  <pic:spPr bwMode="auto">
                    <a:xfrm>
                      <a:off x="0" y="0"/>
                      <a:ext cx="2162175" cy="314325"/>
                    </a:xfrm>
                    <a:prstGeom prst="rect">
                      <a:avLst/>
                    </a:prstGeom>
                    <a:noFill/>
                    <a:ln w="9525">
                      <a:noFill/>
                      <a:miter lim="800000"/>
                      <a:headEnd/>
                      <a:tailEnd/>
                    </a:ln>
                  </pic:spPr>
                </pic:pic>
              </a:graphicData>
            </a:graphic>
          </wp:inline>
        </w:drawing>
      </w:r>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590800" cy="304800"/>
            <wp:effectExtent l="19050" t="0" r="0" b="0"/>
            <wp:docPr id="10" name="Picture 10" descr="Black-Scholes formula for put option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ck-Scholes formula for put option delta"/>
                    <pic:cNvPicPr>
                      <a:picLocks noChangeAspect="1" noChangeArrowheads="1"/>
                    </pic:cNvPicPr>
                  </pic:nvPicPr>
                  <pic:blipFill>
                    <a:blip r:embed="rId18"/>
                    <a:srcRect/>
                    <a:stretch>
                      <a:fillRect/>
                    </a:stretch>
                  </pic:blipFill>
                  <pic:spPr bwMode="auto">
                    <a:xfrm>
                      <a:off x="0" y="0"/>
                      <a:ext cx="2590800" cy="304800"/>
                    </a:xfrm>
                    <a:prstGeom prst="rect">
                      <a:avLst/>
                    </a:prstGeom>
                    <a:noFill/>
                    <a:ln w="9525">
                      <a:noFill/>
                      <a:miter lim="800000"/>
                      <a:headEnd/>
                      <a:tailEnd/>
                    </a:ln>
                  </pic:spPr>
                </pic:pic>
              </a:graphicData>
            </a:graphic>
          </wp:inline>
        </w:drawing>
      </w:r>
    </w:p>
    <w:p w:rsidR="005923E2" w:rsidRPr="00DE065D" w:rsidRDefault="005923E2" w:rsidP="005923E2">
      <w:pPr>
        <w:pStyle w:val="NormalWeb"/>
        <w:shd w:val="clear" w:color="auto" w:fill="FFFFFF"/>
        <w:spacing w:before="0" w:beforeAutospacing="0" w:after="0" w:afterAutospacing="0"/>
        <w:textAlignment w:val="baseline"/>
        <w:rPr>
          <w:i/>
          <w:color w:val="000000" w:themeColor="text1"/>
          <w:sz w:val="20"/>
          <w:szCs w:val="20"/>
        </w:rPr>
      </w:pPr>
      <w:r w:rsidRPr="00DE065D">
        <w:rPr>
          <w:i/>
          <w:color w:val="000000" w:themeColor="text1"/>
          <w:sz w:val="20"/>
          <w:szCs w:val="20"/>
        </w:rPr>
        <w:t>Delta values can be positive or negative depending on the type of option. For example, the delta for a </w:t>
      </w:r>
      <w:hyperlink r:id="rId19" w:history="1">
        <w:r w:rsidRPr="00DE065D">
          <w:rPr>
            <w:i/>
            <w:color w:val="000000" w:themeColor="text1"/>
            <w:sz w:val="20"/>
            <w:szCs w:val="20"/>
          </w:rPr>
          <w:t>call option</w:t>
        </w:r>
      </w:hyperlink>
      <w:r w:rsidRPr="00DE065D">
        <w:rPr>
          <w:i/>
          <w:color w:val="000000" w:themeColor="text1"/>
          <w:sz w:val="20"/>
          <w:szCs w:val="20"/>
        </w:rPr>
        <w:t> always ranges from 0 to 1, because as the underlying asset increases in price, call options increase in price. Put option deltas always range from -1 to 0 because as the </w:t>
      </w:r>
      <w:hyperlink r:id="rId20" w:history="1">
        <w:r w:rsidRPr="00DE065D">
          <w:rPr>
            <w:i/>
            <w:color w:val="000000" w:themeColor="text1"/>
            <w:sz w:val="20"/>
            <w:szCs w:val="20"/>
          </w:rPr>
          <w:t>underlying security</w:t>
        </w:r>
      </w:hyperlink>
      <w:r w:rsidRPr="00DE065D">
        <w:rPr>
          <w:i/>
          <w:color w:val="000000" w:themeColor="text1"/>
          <w:sz w:val="20"/>
          <w:szCs w:val="20"/>
        </w:rPr>
        <w:t> increases, the value of </w:t>
      </w:r>
      <w:hyperlink r:id="rId21" w:history="1">
        <w:r w:rsidRPr="00DE065D">
          <w:rPr>
            <w:i/>
            <w:color w:val="000000" w:themeColor="text1"/>
            <w:sz w:val="20"/>
            <w:szCs w:val="20"/>
          </w:rPr>
          <w:t>put options</w:t>
        </w:r>
      </w:hyperlink>
      <w:r w:rsidRPr="00DE065D">
        <w:rPr>
          <w:i/>
          <w:color w:val="000000" w:themeColor="text1"/>
          <w:sz w:val="20"/>
          <w:szCs w:val="20"/>
        </w:rPr>
        <w:t> decrease. For example, if a put option has a delta of -0.33, if the price of the underlying asset increases by $1, the price of the put option will decrease by $0.33. Technically, the value of the option's delta is the first derivative of the value of the option with respect to the underlying security's price [9]</w:t>
      </w:r>
    </w:p>
    <w:p w:rsidR="005923E2" w:rsidRPr="00DE065D" w:rsidRDefault="005923E2" w:rsidP="005923E2">
      <w:pPr>
        <w:pStyle w:val="NormalWeb"/>
        <w:shd w:val="clear" w:color="auto" w:fill="FFFFFF"/>
        <w:spacing w:before="0" w:beforeAutospacing="0" w:after="0" w:afterAutospacing="0"/>
        <w:textAlignment w:val="baseline"/>
        <w:rPr>
          <w:i/>
          <w:color w:val="000000" w:themeColor="text1"/>
        </w:rPr>
      </w:pPr>
      <w:r w:rsidRPr="00DE065D">
        <w:rPr>
          <w:i/>
          <w:color w:val="000000" w:themeColor="text1"/>
          <w:sz w:val="20"/>
          <w:szCs w:val="20"/>
        </w:rPr>
        <w:t xml:space="preserve">Delta spread is an options trading strategy in which the trader initially establishes a delta neutral position – by simultaneously buying and selling options in proportion to the neutral ratio (that is, the positive and negative deltas offset each other, so that so that the overall delta of the assets in question totals zero). Using a delta spread, a trader usually expects to make a small profit if the underlying security does not change widely in price. However, </w:t>
      </w:r>
      <w:r w:rsidRPr="00DE065D">
        <w:rPr>
          <w:i/>
          <w:color w:val="000000" w:themeColor="text1"/>
          <w:sz w:val="20"/>
          <w:szCs w:val="20"/>
        </w:rPr>
        <w:lastRenderedPageBreak/>
        <w:t>larger gains or losses are possible if the stock does move significantly in either direction.</w:t>
      </w:r>
      <w:r w:rsidRPr="00DE065D">
        <w:rPr>
          <w:color w:val="000000" w:themeColor="text1"/>
        </w:rPr>
        <w:br/>
      </w:r>
      <w:r w:rsidRPr="00DE065D">
        <w:rPr>
          <w:i/>
          <w:color w:val="000000" w:themeColor="text1"/>
        </w:rPr>
        <w:t xml:space="preserve"> </w:t>
      </w:r>
      <w:r w:rsidRPr="00DE065D">
        <w:rPr>
          <w:i/>
          <w:color w:val="000000" w:themeColor="text1"/>
        </w:rPr>
        <w:br/>
      </w:r>
    </w:p>
    <w:p w:rsidR="00BB3992" w:rsidRPr="00DE065D" w:rsidRDefault="00BB3992" w:rsidP="00BB3992">
      <w:pPr>
        <w:pStyle w:val="Heading3"/>
        <w:shd w:val="clear" w:color="auto" w:fill="FFFFFF"/>
        <w:spacing w:before="270" w:after="270"/>
        <w:textAlignment w:val="baseline"/>
        <w:rPr>
          <w:rFonts w:ascii="Times New Roman" w:hAnsi="Times New Roman" w:cs="Times New Roman"/>
          <w:color w:val="000000" w:themeColor="text1"/>
          <w:sz w:val="24"/>
          <w:szCs w:val="24"/>
        </w:rPr>
      </w:pPr>
      <w:bookmarkStart w:id="28" w:name="_Toc497411957"/>
      <w:r w:rsidRPr="00DE065D">
        <w:rPr>
          <w:rFonts w:ascii="Times New Roman" w:hAnsi="Times New Roman" w:cs="Times New Roman"/>
          <w:color w:val="000000" w:themeColor="text1"/>
          <w:sz w:val="24"/>
          <w:szCs w:val="24"/>
        </w:rPr>
        <w:t>Gamma</w:t>
      </w:r>
      <w:bookmarkEnd w:id="28"/>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638425" cy="571500"/>
            <wp:effectExtent l="19050" t="0" r="9525" b="0"/>
            <wp:docPr id="11" name="Picture 11" descr="Black-Scholes formula for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ck-Scholes formula for gamma"/>
                    <pic:cNvPicPr>
                      <a:picLocks noChangeAspect="1" noChangeArrowheads="1"/>
                    </pic:cNvPicPr>
                  </pic:nvPicPr>
                  <pic:blipFill>
                    <a:blip r:embed="rId22"/>
                    <a:srcRect/>
                    <a:stretch>
                      <a:fillRect/>
                    </a:stretch>
                  </pic:blipFill>
                  <pic:spPr bwMode="auto">
                    <a:xfrm>
                      <a:off x="0" y="0"/>
                      <a:ext cx="2638425" cy="571500"/>
                    </a:xfrm>
                    <a:prstGeom prst="rect">
                      <a:avLst/>
                    </a:prstGeom>
                    <a:noFill/>
                    <a:ln w="9525">
                      <a:noFill/>
                      <a:miter lim="800000"/>
                      <a:headEnd/>
                      <a:tailEnd/>
                    </a:ln>
                  </pic:spPr>
                </pic:pic>
              </a:graphicData>
            </a:graphic>
          </wp:inline>
        </w:drawing>
      </w:r>
    </w:p>
    <w:p w:rsidR="00BB3992" w:rsidRPr="00DE065D" w:rsidRDefault="00BB3992" w:rsidP="00653F5D">
      <w:pPr>
        <w:pStyle w:val="Heading3"/>
        <w:rPr>
          <w:rFonts w:ascii="Times New Roman" w:hAnsi="Times New Roman" w:cs="Times New Roman"/>
          <w:color w:val="000000" w:themeColor="text1"/>
        </w:rPr>
      </w:pPr>
      <w:bookmarkStart w:id="29" w:name="_Toc497411958"/>
      <w:r w:rsidRPr="00DE065D">
        <w:rPr>
          <w:rFonts w:ascii="Times New Roman" w:hAnsi="Times New Roman" w:cs="Times New Roman"/>
          <w:color w:val="000000" w:themeColor="text1"/>
        </w:rPr>
        <w:t>Theta</w:t>
      </w:r>
      <w:bookmarkEnd w:id="29"/>
    </w:p>
    <w:p w:rsidR="00BB3992" w:rsidRPr="00DE065D" w:rsidRDefault="00BB3992" w:rsidP="00BB3992">
      <w:pPr>
        <w:rPr>
          <w:rFonts w:ascii="Times New Roman" w:eastAsia="Times New Roman" w:hAnsi="Times New Roman" w:cs="Times New Roman"/>
          <w:i/>
          <w:iCs/>
          <w:color w:val="000000" w:themeColor="text1"/>
          <w:sz w:val="20"/>
          <w:szCs w:val="20"/>
          <w:bdr w:val="none" w:sz="0" w:space="0" w:color="auto" w:frame="1"/>
        </w:rPr>
      </w:pPr>
      <w:r w:rsidRPr="00DE065D">
        <w:rPr>
          <w:rFonts w:ascii="Times New Roman" w:hAnsi="Times New Roman" w:cs="Times New Roman"/>
          <w:b/>
          <w:noProof/>
          <w:color w:val="000000" w:themeColor="text1"/>
          <w:sz w:val="24"/>
          <w:szCs w:val="24"/>
        </w:rPr>
        <w:drawing>
          <wp:inline distT="0" distB="0" distL="0" distR="0">
            <wp:extent cx="5448300" cy="971550"/>
            <wp:effectExtent l="19050" t="0" r="0" b="0"/>
            <wp:docPr id="12" name="Picture 12" descr="Black-Scholes formula for call o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ck-Scholes formula for call option theta"/>
                    <pic:cNvPicPr>
                      <a:picLocks noChangeAspect="1" noChangeArrowheads="1"/>
                    </pic:cNvPicPr>
                  </pic:nvPicPr>
                  <pic:blipFill>
                    <a:blip r:embed="rId23"/>
                    <a:srcRect/>
                    <a:stretch>
                      <a:fillRect/>
                    </a:stretch>
                  </pic:blipFill>
                  <pic:spPr bwMode="auto">
                    <a:xfrm>
                      <a:off x="0" y="0"/>
                      <a:ext cx="5448300" cy="971550"/>
                    </a:xfrm>
                    <a:prstGeom prst="rect">
                      <a:avLst/>
                    </a:prstGeom>
                    <a:noFill/>
                    <a:ln w="9525">
                      <a:noFill/>
                      <a:miter lim="800000"/>
                      <a:headEnd/>
                      <a:tailEnd/>
                    </a:ln>
                  </pic:spPr>
                </pic:pic>
              </a:graphicData>
            </a:graphic>
          </wp:inline>
        </w:drawing>
      </w:r>
    </w:p>
    <w:p w:rsidR="000775BD" w:rsidRPr="00DE065D" w:rsidRDefault="00BB3992" w:rsidP="00BB3992">
      <w:pPr>
        <w:rPr>
          <w:rFonts w:ascii="Times New Roman" w:eastAsia="Times New Roman" w:hAnsi="Times New Roman" w:cs="Times New Roman"/>
          <w:i/>
          <w:iCs/>
          <w:color w:val="000000" w:themeColor="text1"/>
          <w:sz w:val="20"/>
          <w:szCs w:val="20"/>
          <w:bdr w:val="none" w:sz="0" w:space="0" w:color="auto" w:frame="1"/>
        </w:rPr>
      </w:pPr>
      <w:r w:rsidRPr="00DE065D">
        <w:rPr>
          <w:rFonts w:ascii="Times New Roman" w:hAnsi="Times New Roman" w:cs="Times New Roman"/>
          <w:b/>
          <w:noProof/>
          <w:color w:val="000000" w:themeColor="text1"/>
          <w:sz w:val="24"/>
          <w:szCs w:val="24"/>
        </w:rPr>
        <w:drawing>
          <wp:inline distT="0" distB="0" distL="0" distR="0">
            <wp:extent cx="5695950" cy="952500"/>
            <wp:effectExtent l="19050" t="0" r="0" b="0"/>
            <wp:docPr id="13" name="Picture 13" descr="Black-Scholes formula for put o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Scholes formula for put option theta"/>
                    <pic:cNvPicPr>
                      <a:picLocks noChangeAspect="1" noChangeArrowheads="1"/>
                    </pic:cNvPicPr>
                  </pic:nvPicPr>
                  <pic:blipFill>
                    <a:blip r:embed="rId24"/>
                    <a:srcRect/>
                    <a:stretch>
                      <a:fillRect/>
                    </a:stretch>
                  </pic:blipFill>
                  <pic:spPr bwMode="auto">
                    <a:xfrm>
                      <a:off x="0" y="0"/>
                      <a:ext cx="5695950" cy="952500"/>
                    </a:xfrm>
                    <a:prstGeom prst="rect">
                      <a:avLst/>
                    </a:prstGeom>
                    <a:noFill/>
                    <a:ln w="9525">
                      <a:noFill/>
                      <a:miter lim="800000"/>
                      <a:headEnd/>
                      <a:tailEnd/>
                    </a:ln>
                  </pic:spPr>
                </pic:pic>
              </a:graphicData>
            </a:graphic>
          </wp:inline>
        </w:drawing>
      </w:r>
      <w:r w:rsidRPr="00DE065D">
        <w:rPr>
          <w:rFonts w:ascii="Times New Roman" w:eastAsia="Times New Roman" w:hAnsi="Times New Roman" w:cs="Times New Roman"/>
          <w:i/>
          <w:iCs/>
          <w:color w:val="000000" w:themeColor="text1"/>
          <w:sz w:val="20"/>
          <w:szCs w:val="20"/>
          <w:bdr w:val="none" w:sz="0" w:space="0" w:color="auto" w:frame="1"/>
        </w:rPr>
        <w:t>Where T is the number of days per year (calendar or trading days, depending on what you are using)</w:t>
      </w:r>
      <w:r w:rsidR="002518CC" w:rsidRPr="00DE065D">
        <w:rPr>
          <w:rFonts w:ascii="Times New Roman" w:eastAsia="Times New Roman" w:hAnsi="Times New Roman" w:cs="Times New Roman"/>
          <w:i/>
          <w:iCs/>
          <w:color w:val="000000" w:themeColor="text1"/>
          <w:sz w:val="20"/>
          <w:szCs w:val="20"/>
          <w:bdr w:val="none" w:sz="0" w:space="0" w:color="auto" w:frame="1"/>
        </w:rPr>
        <w:t xml:space="preserve"> [8]</w:t>
      </w:r>
      <w:r w:rsidR="000775BD" w:rsidRPr="00DE065D">
        <w:rPr>
          <w:rFonts w:ascii="Times New Roman" w:eastAsia="Times New Roman" w:hAnsi="Times New Roman" w:cs="Times New Roman"/>
          <w:i/>
          <w:iCs/>
          <w:color w:val="000000" w:themeColor="text1"/>
          <w:sz w:val="20"/>
          <w:szCs w:val="20"/>
          <w:bdr w:val="none" w:sz="0" w:space="0" w:color="auto" w:frame="1"/>
        </w:rPr>
        <w:t xml:space="preserve"> </w:t>
      </w:r>
      <w:r w:rsidR="000775BD" w:rsidRPr="00DE065D">
        <w:rPr>
          <w:rFonts w:ascii="Times New Roman" w:eastAsia="Times New Roman" w:hAnsi="Times New Roman" w:cs="Times New Roman"/>
          <w:color w:val="000000" w:themeColor="text1"/>
          <w:sz w:val="20"/>
          <w:szCs w:val="20"/>
          <w:bdr w:val="none" w:sz="0" w:space="0" w:color="auto" w:frame="1"/>
        </w:rPr>
        <w:t>Thetas </w:t>
      </w:r>
      <w:r w:rsidR="000775BD" w:rsidRPr="00DE065D">
        <w:rPr>
          <w:rFonts w:ascii="Times New Roman" w:eastAsia="Times New Roman" w:hAnsi="Times New Roman" w:cs="Times New Roman"/>
          <w:i/>
          <w:iCs/>
          <w:color w:val="000000" w:themeColor="text1"/>
          <w:sz w:val="20"/>
          <w:szCs w:val="20"/>
          <w:bdr w:val="none" w:sz="0" w:space="0" w:color="auto" w:frame="1"/>
        </w:rPr>
        <w:t>inside a matrix of strike prices depend on time to expiration and distance away from the money. The highest </w:t>
      </w:r>
      <w:r w:rsidR="000775BD" w:rsidRPr="00DE065D">
        <w:rPr>
          <w:rFonts w:ascii="Times New Roman" w:eastAsia="Times New Roman" w:hAnsi="Times New Roman" w:cs="Times New Roman"/>
          <w:color w:val="000000" w:themeColor="text1"/>
          <w:sz w:val="20"/>
          <w:szCs w:val="20"/>
          <w:bdr w:val="none" w:sz="0" w:space="0" w:color="auto" w:frame="1"/>
        </w:rPr>
        <w:t>Thetas</w:t>
      </w:r>
      <w:r w:rsidR="000775BD" w:rsidRPr="00DE065D">
        <w:rPr>
          <w:rFonts w:ascii="Times New Roman" w:eastAsia="Times New Roman" w:hAnsi="Times New Roman" w:cs="Times New Roman"/>
          <w:i/>
          <w:iCs/>
          <w:color w:val="000000" w:themeColor="text1"/>
          <w:sz w:val="20"/>
          <w:szCs w:val="20"/>
          <w:bdr w:val="none" w:sz="0" w:space="0" w:color="auto" w:frame="1"/>
        </w:rPr>
        <w:t> are found at-the-money and closest to expiration</w:t>
      </w:r>
      <w:proofErr w:type="gramStart"/>
      <w:r w:rsidR="000775BD" w:rsidRPr="00DE065D">
        <w:rPr>
          <w:rFonts w:ascii="Times New Roman" w:eastAsia="Times New Roman" w:hAnsi="Times New Roman" w:cs="Times New Roman"/>
          <w:i/>
          <w:iCs/>
          <w:color w:val="000000" w:themeColor="text1"/>
          <w:sz w:val="20"/>
          <w:szCs w:val="20"/>
          <w:bdr w:val="none" w:sz="0" w:space="0" w:color="auto" w:frame="1"/>
        </w:rPr>
        <w:t>.</w:t>
      </w:r>
      <w:r w:rsidR="00804B7B" w:rsidRPr="00DE065D">
        <w:rPr>
          <w:rFonts w:ascii="Times New Roman" w:eastAsia="Times New Roman" w:hAnsi="Times New Roman" w:cs="Times New Roman"/>
          <w:i/>
          <w:iCs/>
          <w:color w:val="000000" w:themeColor="text1"/>
          <w:sz w:val="20"/>
          <w:szCs w:val="20"/>
          <w:bdr w:val="none" w:sz="0" w:space="0" w:color="auto" w:frame="1"/>
        </w:rPr>
        <w:t>[</w:t>
      </w:r>
      <w:proofErr w:type="gramEnd"/>
      <w:r w:rsidR="00804B7B" w:rsidRPr="00DE065D">
        <w:rPr>
          <w:rFonts w:ascii="Times New Roman" w:eastAsia="Times New Roman" w:hAnsi="Times New Roman" w:cs="Times New Roman"/>
          <w:i/>
          <w:iCs/>
          <w:color w:val="000000" w:themeColor="text1"/>
          <w:sz w:val="20"/>
          <w:szCs w:val="20"/>
          <w:bdr w:val="none" w:sz="0" w:space="0" w:color="auto" w:frame="1"/>
        </w:rPr>
        <w:t>12]</w:t>
      </w:r>
      <w:r w:rsidR="000775BD" w:rsidRPr="00DE065D">
        <w:rPr>
          <w:rFonts w:ascii="Times New Roman" w:hAnsi="Times New Roman" w:cs="Times New Roman"/>
          <w:color w:val="000000"/>
        </w:rPr>
        <w:br/>
      </w:r>
    </w:p>
    <w:p w:rsidR="00BB3992" w:rsidRPr="00DE065D" w:rsidRDefault="00BB3992" w:rsidP="00653F5D">
      <w:pPr>
        <w:pStyle w:val="Heading3"/>
        <w:rPr>
          <w:rFonts w:ascii="Times New Roman" w:hAnsi="Times New Roman" w:cs="Times New Roman"/>
          <w:color w:val="000000" w:themeColor="text1"/>
        </w:rPr>
      </w:pPr>
      <w:bookmarkStart w:id="30" w:name="_Toc497411959"/>
      <w:r w:rsidRPr="00DE065D">
        <w:rPr>
          <w:rFonts w:ascii="Times New Roman" w:hAnsi="Times New Roman" w:cs="Times New Roman"/>
          <w:color w:val="000000" w:themeColor="text1"/>
        </w:rPr>
        <w:t>Vega</w:t>
      </w:r>
      <w:bookmarkEnd w:id="30"/>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3086100" cy="552450"/>
            <wp:effectExtent l="19050" t="0" r="0" b="0"/>
            <wp:docPr id="14" name="Picture 14" descr="Black-Scholes formula for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ack-Scholes formula for vega"/>
                    <pic:cNvPicPr>
                      <a:picLocks noChangeAspect="1" noChangeArrowheads="1"/>
                    </pic:cNvPicPr>
                  </pic:nvPicPr>
                  <pic:blipFill>
                    <a:blip r:embed="rId25"/>
                    <a:srcRect/>
                    <a:stretch>
                      <a:fillRect/>
                    </a:stretch>
                  </pic:blipFill>
                  <pic:spPr bwMode="auto">
                    <a:xfrm>
                      <a:off x="0" y="0"/>
                      <a:ext cx="3086100" cy="552450"/>
                    </a:xfrm>
                    <a:prstGeom prst="rect">
                      <a:avLst/>
                    </a:prstGeom>
                    <a:noFill/>
                    <a:ln w="9525">
                      <a:noFill/>
                      <a:miter lim="800000"/>
                      <a:headEnd/>
                      <a:tailEnd/>
                    </a:ln>
                  </pic:spPr>
                </pic:pic>
              </a:graphicData>
            </a:graphic>
          </wp:inline>
        </w:drawing>
      </w:r>
    </w:p>
    <w:p w:rsidR="00BB3992" w:rsidRPr="00DE065D" w:rsidRDefault="00BB3992" w:rsidP="00653F5D">
      <w:pPr>
        <w:pStyle w:val="Heading3"/>
        <w:rPr>
          <w:rFonts w:ascii="Times New Roman" w:hAnsi="Times New Roman" w:cs="Times New Roman"/>
          <w:color w:val="000000" w:themeColor="text1"/>
        </w:rPr>
      </w:pPr>
      <w:bookmarkStart w:id="31" w:name="_Toc497411960"/>
      <w:r w:rsidRPr="00DE065D">
        <w:rPr>
          <w:rFonts w:ascii="Times New Roman" w:hAnsi="Times New Roman" w:cs="Times New Roman"/>
          <w:color w:val="000000" w:themeColor="text1"/>
        </w:rPr>
        <w:t>Rho</w:t>
      </w:r>
      <w:bookmarkEnd w:id="31"/>
    </w:p>
    <w:p w:rsidR="00BB3992" w:rsidRPr="00DE065D" w:rsidRDefault="00BB3992" w:rsidP="00BB3992">
      <w:pPr>
        <w:pStyle w:val="Heading1"/>
        <w:rPr>
          <w:rFonts w:ascii="Times New Roman" w:hAnsi="Times New Roman" w:cs="Times New Roman"/>
          <w:noProof/>
          <w:color w:val="000000" w:themeColor="text1"/>
          <w:sz w:val="24"/>
          <w:szCs w:val="24"/>
        </w:rPr>
      </w:pPr>
      <w:r w:rsidRPr="00DE065D">
        <w:rPr>
          <w:rFonts w:ascii="Times New Roman" w:hAnsi="Times New Roman" w:cs="Times New Roman"/>
          <w:noProof/>
          <w:color w:val="000000" w:themeColor="text1"/>
          <w:sz w:val="24"/>
          <w:szCs w:val="24"/>
        </w:rPr>
        <w:drawing>
          <wp:inline distT="0" distB="0" distL="0" distR="0">
            <wp:extent cx="2543175" cy="504825"/>
            <wp:effectExtent l="19050" t="0" r="9525" b="0"/>
            <wp:docPr id="15" name="Picture 15" descr="Black-Scholes formula for call option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ack-Scholes formula for call option rho"/>
                    <pic:cNvPicPr>
                      <a:picLocks noChangeAspect="1" noChangeArrowheads="1"/>
                    </pic:cNvPicPr>
                  </pic:nvPicPr>
                  <pic:blipFill>
                    <a:blip r:embed="rId26"/>
                    <a:srcRect/>
                    <a:stretch>
                      <a:fillRect/>
                    </a:stretch>
                  </pic:blipFill>
                  <pic:spPr bwMode="auto">
                    <a:xfrm>
                      <a:off x="0" y="0"/>
                      <a:ext cx="2543175" cy="504825"/>
                    </a:xfrm>
                    <a:prstGeom prst="rect">
                      <a:avLst/>
                    </a:prstGeom>
                    <a:noFill/>
                    <a:ln w="9525">
                      <a:noFill/>
                      <a:miter lim="800000"/>
                      <a:headEnd/>
                      <a:tailEnd/>
                    </a:ln>
                  </pic:spPr>
                </pic:pic>
              </a:graphicData>
            </a:graphic>
          </wp:inline>
        </w:drawing>
      </w:r>
    </w:p>
    <w:p w:rsidR="00BB3992" w:rsidRPr="00DE065D" w:rsidRDefault="00BB3992" w:rsidP="00BB3992">
      <w:pPr>
        <w:pStyle w:val="Heading1"/>
        <w:rPr>
          <w:rFonts w:ascii="Times New Roman" w:hAnsi="Times New Roman" w:cs="Times New Roman"/>
          <w:color w:val="000000" w:themeColor="text1"/>
          <w:sz w:val="24"/>
          <w:szCs w:val="24"/>
        </w:rPr>
      </w:pPr>
      <w:r w:rsidRPr="00DE065D">
        <w:rPr>
          <w:rFonts w:ascii="Times New Roman" w:hAnsi="Times New Roman" w:cs="Times New Roman"/>
          <w:noProof/>
          <w:color w:val="000000" w:themeColor="text1"/>
          <w:sz w:val="24"/>
          <w:szCs w:val="24"/>
        </w:rPr>
        <w:drawing>
          <wp:inline distT="0" distB="0" distL="0" distR="0">
            <wp:extent cx="2819400" cy="514350"/>
            <wp:effectExtent l="19050" t="0" r="0" b="0"/>
            <wp:docPr id="16" name="Picture 16" descr="Black-Scholes formula for put option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ack-Scholes formula for put option rho"/>
                    <pic:cNvPicPr>
                      <a:picLocks noChangeAspect="1" noChangeArrowheads="1"/>
                    </pic:cNvPicPr>
                  </pic:nvPicPr>
                  <pic:blipFill>
                    <a:blip r:embed="rId27"/>
                    <a:srcRect/>
                    <a:stretch>
                      <a:fillRect/>
                    </a:stretch>
                  </pic:blipFill>
                  <pic:spPr bwMode="auto">
                    <a:xfrm>
                      <a:off x="0" y="0"/>
                      <a:ext cx="2819400" cy="514350"/>
                    </a:xfrm>
                    <a:prstGeom prst="rect">
                      <a:avLst/>
                    </a:prstGeom>
                    <a:noFill/>
                    <a:ln w="9525">
                      <a:noFill/>
                      <a:miter lim="800000"/>
                      <a:headEnd/>
                      <a:tailEnd/>
                    </a:ln>
                  </pic:spPr>
                </pic:pic>
              </a:graphicData>
            </a:graphic>
          </wp:inline>
        </w:drawing>
      </w:r>
      <w:r w:rsidRPr="00DE065D">
        <w:rPr>
          <w:rFonts w:ascii="Times New Roman" w:hAnsi="Times New Roman" w:cs="Times New Roman"/>
          <w:color w:val="000000" w:themeColor="text1"/>
          <w:sz w:val="24"/>
          <w:szCs w:val="24"/>
        </w:rPr>
        <w:t xml:space="preserve"> </w:t>
      </w:r>
    </w:p>
    <w:p w:rsidR="000775BD" w:rsidRPr="00DE065D" w:rsidRDefault="000775BD" w:rsidP="000775BD">
      <w:pPr>
        <w:rPr>
          <w:rFonts w:ascii="Times New Roman" w:hAnsi="Times New Roman" w:cs="Times New Roman"/>
        </w:rPr>
      </w:pPr>
    </w:p>
    <w:p w:rsidR="000775BD" w:rsidRPr="00DE065D" w:rsidRDefault="000775BD" w:rsidP="000775BD">
      <w:pPr>
        <w:rPr>
          <w:rFonts w:ascii="Times New Roman" w:eastAsia="Times New Roman" w:hAnsi="Times New Roman" w:cs="Times New Roman"/>
          <w:i/>
          <w:color w:val="000000" w:themeColor="text1"/>
          <w:sz w:val="20"/>
          <w:szCs w:val="20"/>
        </w:rPr>
      </w:pPr>
      <w:r w:rsidRPr="00DE065D">
        <w:rPr>
          <w:rFonts w:ascii="Times New Roman" w:eastAsia="Times New Roman" w:hAnsi="Times New Roman" w:cs="Times New Roman"/>
          <w:i/>
          <w:color w:val="000000" w:themeColor="text1"/>
          <w:sz w:val="20"/>
          <w:szCs w:val="20"/>
        </w:rPr>
        <w:lastRenderedPageBreak/>
        <w:t>Rho is the rate at which the price of a </w:t>
      </w:r>
      <w:hyperlink r:id="rId28" w:history="1">
        <w:r w:rsidRPr="00DE065D">
          <w:rPr>
            <w:rFonts w:ascii="Times New Roman" w:eastAsia="Times New Roman" w:hAnsi="Times New Roman" w:cs="Times New Roman"/>
            <w:i/>
            <w:color w:val="000000" w:themeColor="text1"/>
            <w:sz w:val="20"/>
            <w:szCs w:val="20"/>
          </w:rPr>
          <w:t>derivative</w:t>
        </w:r>
      </w:hyperlink>
      <w:r w:rsidRPr="00DE065D">
        <w:rPr>
          <w:rFonts w:ascii="Times New Roman" w:eastAsia="Times New Roman" w:hAnsi="Times New Roman" w:cs="Times New Roman"/>
          <w:i/>
          <w:color w:val="000000" w:themeColor="text1"/>
          <w:sz w:val="20"/>
          <w:szCs w:val="20"/>
        </w:rPr>
        <w:t> changes relative to a change in the risk-free rate of interest. Rho measures the sensitivity of an option or options </w:t>
      </w:r>
      <w:hyperlink r:id="rId29" w:history="1">
        <w:r w:rsidRPr="00DE065D">
          <w:rPr>
            <w:rFonts w:ascii="Times New Roman" w:eastAsia="Times New Roman" w:hAnsi="Times New Roman" w:cs="Times New Roman"/>
            <w:i/>
            <w:color w:val="000000" w:themeColor="text1"/>
            <w:sz w:val="20"/>
            <w:szCs w:val="20"/>
          </w:rPr>
          <w:t>portfolio</w:t>
        </w:r>
      </w:hyperlink>
      <w:r w:rsidRPr="00DE065D">
        <w:rPr>
          <w:rFonts w:ascii="Times New Roman" w:eastAsia="Times New Roman" w:hAnsi="Times New Roman" w:cs="Times New Roman"/>
          <w:i/>
          <w:color w:val="000000" w:themeColor="text1"/>
          <w:sz w:val="20"/>
          <w:szCs w:val="20"/>
        </w:rPr>
        <w:t> to a change in </w:t>
      </w:r>
      <w:hyperlink r:id="rId30" w:history="1">
        <w:r w:rsidRPr="00DE065D">
          <w:rPr>
            <w:rFonts w:ascii="Times New Roman" w:eastAsia="Times New Roman" w:hAnsi="Times New Roman" w:cs="Times New Roman"/>
            <w:i/>
            <w:color w:val="000000" w:themeColor="text1"/>
            <w:sz w:val="20"/>
            <w:szCs w:val="20"/>
          </w:rPr>
          <w:t>interest rate</w:t>
        </w:r>
      </w:hyperlink>
      <w:r w:rsidRPr="00DE065D">
        <w:rPr>
          <w:rFonts w:ascii="Times New Roman" w:eastAsia="Times New Roman" w:hAnsi="Times New Roman" w:cs="Times New Roman"/>
          <w:i/>
          <w:color w:val="000000" w:themeColor="text1"/>
          <w:sz w:val="20"/>
          <w:szCs w:val="20"/>
        </w:rPr>
        <w:t>.</w:t>
      </w:r>
      <w:r w:rsidRPr="00DE065D">
        <w:rPr>
          <w:rFonts w:ascii="Times New Roman" w:eastAsia="Times New Roman" w:hAnsi="Times New Roman" w:cs="Times New Roman"/>
          <w:i/>
          <w:color w:val="000000" w:themeColor="text1"/>
          <w:sz w:val="20"/>
          <w:szCs w:val="20"/>
        </w:rPr>
        <w:br/>
      </w:r>
    </w:p>
    <w:p w:rsidR="00653F5D" w:rsidRPr="00DE065D" w:rsidRDefault="006062D6" w:rsidP="00653F5D">
      <w:pPr>
        <w:pStyle w:val="Heading1"/>
        <w:rPr>
          <w:rFonts w:ascii="Times New Roman" w:hAnsi="Times New Roman" w:cs="Times New Roman"/>
          <w:color w:val="000000" w:themeColor="text1"/>
        </w:rPr>
      </w:pPr>
      <w:bookmarkStart w:id="32" w:name="_Toc497411961"/>
      <w:r w:rsidRPr="00DE065D">
        <w:rPr>
          <w:rFonts w:ascii="Times New Roman" w:hAnsi="Times New Roman" w:cs="Times New Roman"/>
          <w:color w:val="000000" w:themeColor="text1"/>
        </w:rPr>
        <w:t>Order specification</w:t>
      </w:r>
      <w:bookmarkEnd w:id="32"/>
    </w:p>
    <w:p w:rsidR="00FD286C" w:rsidRPr="00DE065D" w:rsidRDefault="000775BD" w:rsidP="00FD286C">
      <w:pPr>
        <w:rPr>
          <w:rFonts w:ascii="Times New Roman" w:hAnsi="Times New Roman" w:cs="Times New Roman"/>
          <w:sz w:val="24"/>
          <w:szCs w:val="24"/>
        </w:rPr>
      </w:pPr>
      <w:r w:rsidRPr="00DE065D">
        <w:rPr>
          <w:rFonts w:ascii="Times New Roman" w:hAnsi="Times New Roman" w:cs="Times New Roman"/>
          <w:sz w:val="24"/>
          <w:szCs w:val="24"/>
        </w:rPr>
        <w:t>Initially, AHP will list top 25 tokens in term of daily trade volume. The order placement and order cancelation will be as easy as in other trading platforms.</w:t>
      </w:r>
    </w:p>
    <w:p w:rsidR="00ED1A4E" w:rsidRPr="00DE065D" w:rsidRDefault="00ED1A4E" w:rsidP="0014578B">
      <w:pPr>
        <w:pStyle w:val="Heading2"/>
        <w:rPr>
          <w:rFonts w:ascii="Times New Roman" w:hAnsi="Times New Roman" w:cs="Times New Roman"/>
          <w:color w:val="auto"/>
        </w:rPr>
      </w:pPr>
      <w:bookmarkStart w:id="33" w:name="_Toc497411962"/>
      <w:r w:rsidRPr="00DE065D">
        <w:rPr>
          <w:rFonts w:ascii="Times New Roman" w:hAnsi="Times New Roman" w:cs="Times New Roman"/>
          <w:color w:val="auto"/>
        </w:rPr>
        <w:t>Cost and Fee</w:t>
      </w:r>
      <w:bookmarkEnd w:id="33"/>
    </w:p>
    <w:p w:rsidR="00ED1A4E" w:rsidRPr="00DE065D" w:rsidRDefault="00ED1A4E"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Exchanges normally charge a transaction fee. For instance, we assume the fee will be </w:t>
      </w:r>
    </w:p>
    <w:p w:rsidR="00ED1A4E" w:rsidRPr="00DE065D" w:rsidRDefault="00ED1A4E"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Calculated in Accord token ARD, and total fee for completing the transaction</w:t>
      </w:r>
    </w:p>
    <w:p w:rsidR="00ED1A4E" w:rsidRPr="00DE065D" w:rsidRDefault="00B34942"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Is:</w:t>
      </w:r>
    </w:p>
    <w:p w:rsidR="00B34942" w:rsidRPr="00DE065D" w:rsidRDefault="00ED1A4E" w:rsidP="00ED1A4E">
      <w:pPr>
        <w:autoSpaceDE w:val="0"/>
        <w:autoSpaceDN w:val="0"/>
        <w:adjustRightInd w:val="0"/>
        <w:spacing w:after="0" w:line="240" w:lineRule="auto"/>
        <w:rPr>
          <w:rFonts w:ascii="Times New Roman" w:eastAsiaTheme="minorEastAsia" w:hAnsi="Times New Roman" w:cs="Times New Roman"/>
          <w:sz w:val="36"/>
          <w:szCs w:val="36"/>
        </w:rPr>
      </w:pPr>
      <w:r w:rsidRPr="00DE065D">
        <w:rPr>
          <w:rFonts w:ascii="Times New Roman" w:hAnsi="Times New Roman" w:cs="Times New Roman"/>
          <w:sz w:val="20"/>
          <w:szCs w:val="20"/>
        </w:rPr>
        <w:t xml:space="preserve">                                                  </w:t>
      </w:r>
      <w:r w:rsidRPr="00DE065D">
        <w:rPr>
          <w:rFonts w:ascii="Times New Roman" w:hAnsi="Times New Roman" w:cs="Times New Roman"/>
          <w:sz w:val="36"/>
          <w:szCs w:val="36"/>
        </w:rPr>
        <w:t xml:space="preserve">  </w:t>
      </w:r>
      <m:oMath>
        <m:r>
          <w:rPr>
            <w:rFonts w:ascii="Cambria Math" w:hAnsi="Cambria Math" w:cs="Times New Roman"/>
            <w:sz w:val="36"/>
            <w:szCs w:val="36"/>
          </w:rPr>
          <m:t>fi</m:t>
        </m:r>
        <m:r>
          <w:rPr>
            <w:rFonts w:ascii="Cambria Math" w:hAnsi="Times New Roman" w:cs="Times New Roman"/>
            <w:sz w:val="36"/>
            <w:szCs w:val="36"/>
          </w:rPr>
          <m:t>=</m:t>
        </m:r>
        <m:r>
          <w:rPr>
            <w:rFonts w:ascii="Cambria Math" w:hAnsi="Cambria Math" w:cs="Times New Roman"/>
            <w:sz w:val="36"/>
            <w:szCs w:val="36"/>
          </w:rPr>
          <m:t>bi</m:t>
        </m:r>
        <m:r>
          <w:rPr>
            <w:rFonts w:ascii="Cambria Math" w:hAnsi="Times New Roman" w:cs="Times New Roman"/>
            <w:sz w:val="36"/>
            <w:szCs w:val="36"/>
          </w:rPr>
          <m:t>.</m:t>
        </m:r>
        <m:r>
          <w:rPr>
            <w:rFonts w:ascii="Cambria Math" w:eastAsiaTheme="minorEastAsia" w:hAnsi="Cambria Math" w:cs="Times New Roman"/>
            <w:sz w:val="36"/>
            <w:szCs w:val="36"/>
          </w:rPr>
          <m:t>mi</m:t>
        </m:r>
        <m:rad>
          <m:radPr>
            <m:degHide m:val="on"/>
            <m:ctrlPr>
              <w:rPr>
                <w:rFonts w:ascii="Cambria Math" w:eastAsiaTheme="minorEastAsia" w:hAnsi="Times New Roman" w:cs="Times New Roman"/>
                <w:i/>
                <w:sz w:val="36"/>
                <w:szCs w:val="36"/>
              </w:rPr>
            </m:ctrlPr>
          </m:radPr>
          <m:deg/>
          <m:e>
            <m:r>
              <w:rPr>
                <w:rFonts w:ascii="Cambria Math" w:eastAsiaTheme="minorEastAsia" w:hAnsi="Cambria Math" w:cs="Times New Roman"/>
                <w:sz w:val="36"/>
                <w:szCs w:val="36"/>
              </w:rPr>
              <m:t>bi</m:t>
            </m:r>
          </m:e>
        </m:rad>
      </m:oMath>
    </w:p>
    <w:p w:rsidR="00ED1A4E" w:rsidRPr="00DE065D" w:rsidRDefault="00B34942" w:rsidP="00ED1A4E">
      <w:pPr>
        <w:autoSpaceDE w:val="0"/>
        <w:autoSpaceDN w:val="0"/>
        <w:adjustRightInd w:val="0"/>
        <w:spacing w:after="0" w:line="240" w:lineRule="auto"/>
        <w:rPr>
          <w:rFonts w:ascii="Times New Roman" w:eastAsiaTheme="minorEastAsia" w:hAnsi="Times New Roman" w:cs="Times New Roman"/>
          <w:sz w:val="14"/>
          <w:szCs w:val="14"/>
        </w:rPr>
      </w:pPr>
      <w:r w:rsidRPr="00DE065D">
        <w:rPr>
          <w:rFonts w:ascii="Times New Roman" w:eastAsiaTheme="minorEastAsia" w:hAnsi="Times New Roman" w:cs="Times New Roman"/>
          <w:sz w:val="20"/>
          <w:szCs w:val="20"/>
        </w:rPr>
        <w:t>.</w:t>
      </w:r>
    </w:p>
    <w:p w:rsidR="00653F5D" w:rsidRPr="00DE065D" w:rsidRDefault="006062D6" w:rsidP="00653F5D">
      <w:pPr>
        <w:pStyle w:val="Heading2"/>
        <w:rPr>
          <w:rFonts w:ascii="Times New Roman" w:hAnsi="Times New Roman" w:cs="Times New Roman"/>
          <w:color w:val="000000" w:themeColor="text1"/>
        </w:rPr>
      </w:pPr>
      <w:bookmarkStart w:id="34" w:name="_Toc497411963"/>
      <w:r w:rsidRPr="00DE065D">
        <w:rPr>
          <w:rFonts w:ascii="Times New Roman" w:hAnsi="Times New Roman" w:cs="Times New Roman"/>
          <w:color w:val="000000" w:themeColor="text1"/>
        </w:rPr>
        <w:t>Order placement</w:t>
      </w:r>
      <w:bookmarkEnd w:id="34"/>
    </w:p>
    <w:p w:rsidR="0014578B" w:rsidRPr="00DE065D" w:rsidRDefault="0014578B" w:rsidP="0014578B">
      <w:pPr>
        <w:pStyle w:val="NormalWeb"/>
        <w:shd w:val="clear" w:color="auto" w:fill="FFFFFF"/>
        <w:rPr>
          <w:color w:val="000000"/>
        </w:rPr>
      </w:pPr>
      <w:r w:rsidRPr="00DE065D">
        <w:rPr>
          <w:color w:val="000000"/>
        </w:rPr>
        <w:t>A single order placement can create multiple trade positions depending on how many trades are used to fill the order. The order position consolidates all the trade positions under a single position so it's easier to see the net result of the order.</w:t>
      </w:r>
    </w:p>
    <w:p w:rsidR="00BB4414" w:rsidRPr="00DE065D" w:rsidRDefault="0014578B" w:rsidP="0014578B">
      <w:pPr>
        <w:pStyle w:val="NormalWeb"/>
        <w:shd w:val="clear" w:color="auto" w:fill="FFFFFF"/>
        <w:rPr>
          <w:color w:val="000000"/>
        </w:rPr>
      </w:pPr>
      <w:r w:rsidRPr="00DE065D">
        <w:rPr>
          <w:color w:val="000000"/>
        </w:rPr>
        <w:t>User A will generate the order with all s</w:t>
      </w:r>
      <w:r w:rsidR="00BB4414" w:rsidRPr="00DE065D">
        <w:rPr>
          <w:color w:val="000000"/>
        </w:rPr>
        <w:t>pecifications</w:t>
      </w:r>
    </w:p>
    <w:p w:rsidR="00BB4414" w:rsidRPr="00DE065D" w:rsidRDefault="00BB4414" w:rsidP="00BB4414">
      <w:pPr>
        <w:pStyle w:val="NormalWeb"/>
        <w:numPr>
          <w:ilvl w:val="0"/>
          <w:numId w:val="3"/>
        </w:numPr>
        <w:shd w:val="clear" w:color="auto" w:fill="FFFFFF"/>
        <w:rPr>
          <w:color w:val="000000"/>
        </w:rPr>
      </w:pPr>
      <w:r w:rsidRPr="00DE065D">
        <w:rPr>
          <w:color w:val="000000"/>
        </w:rPr>
        <w:t>underlying asset;</w:t>
      </w:r>
      <w:r w:rsidR="0014578B" w:rsidRPr="00DE065D">
        <w:rPr>
          <w:color w:val="000000"/>
        </w:rPr>
        <w:t xml:space="preserve"> </w:t>
      </w:r>
      <w:r w:rsidRPr="00DE065D">
        <w:rPr>
          <w:color w:val="000000"/>
        </w:rPr>
        <w:t>Bitcoin or Iota</w:t>
      </w:r>
    </w:p>
    <w:p w:rsidR="00BB4414" w:rsidRPr="00DE065D" w:rsidRDefault="00BB4414" w:rsidP="00BB4414">
      <w:pPr>
        <w:pStyle w:val="NormalWeb"/>
        <w:numPr>
          <w:ilvl w:val="0"/>
          <w:numId w:val="3"/>
        </w:numPr>
        <w:shd w:val="clear" w:color="auto" w:fill="FFFFFF"/>
        <w:rPr>
          <w:color w:val="000000"/>
        </w:rPr>
      </w:pPr>
      <w:r w:rsidRPr="00DE065D">
        <w:rPr>
          <w:color w:val="000000"/>
        </w:rPr>
        <w:t>Time specification; 2</w:t>
      </w:r>
      <w:r w:rsidR="0014578B" w:rsidRPr="00DE065D">
        <w:rPr>
          <w:color w:val="000000"/>
        </w:rPr>
        <w:t xml:space="preserve"> days or 2 weeks. </w:t>
      </w:r>
    </w:p>
    <w:p w:rsidR="0014578B" w:rsidRPr="00DE065D" w:rsidRDefault="0014578B" w:rsidP="00BB4414">
      <w:pPr>
        <w:pStyle w:val="NormalWeb"/>
        <w:numPr>
          <w:ilvl w:val="0"/>
          <w:numId w:val="3"/>
        </w:numPr>
        <w:shd w:val="clear" w:color="auto" w:fill="FFFFFF"/>
        <w:rPr>
          <w:color w:val="000000"/>
        </w:rPr>
      </w:pPr>
      <w:r w:rsidRPr="00DE065D">
        <w:rPr>
          <w:color w:val="000000"/>
        </w:rPr>
        <w:t xml:space="preserve">Option </w:t>
      </w:r>
      <w:r w:rsidR="00BB4414" w:rsidRPr="00DE065D">
        <w:rPr>
          <w:color w:val="000000"/>
        </w:rPr>
        <w:t>type;</w:t>
      </w:r>
      <w:r w:rsidRPr="00DE065D">
        <w:rPr>
          <w:color w:val="000000"/>
        </w:rPr>
        <w:t xml:space="preserve"> Call or Put. </w:t>
      </w:r>
    </w:p>
    <w:p w:rsidR="00ED3ACD" w:rsidRPr="00DE065D" w:rsidRDefault="00ED3ACD" w:rsidP="00653F5D">
      <w:pPr>
        <w:pStyle w:val="Heading2"/>
        <w:rPr>
          <w:rFonts w:ascii="Times New Roman" w:hAnsi="Times New Roman" w:cs="Times New Roman"/>
          <w:b w:val="0"/>
          <w:color w:val="000000" w:themeColor="text1"/>
        </w:rPr>
      </w:pPr>
      <w:bookmarkStart w:id="35" w:name="_Toc497411964"/>
      <w:r w:rsidRPr="00DE065D">
        <w:rPr>
          <w:rFonts w:ascii="Times New Roman" w:hAnsi="Times New Roman" w:cs="Times New Roman"/>
          <w:b w:val="0"/>
          <w:color w:val="000000" w:themeColor="text1"/>
        </w:rPr>
        <w:t>After placement of order it will match automatically with the seller’s ask, it is also a possibility the order will match partially. Following are the possible combinations of order placement between three users A, B, C though it can go beyond.</w:t>
      </w:r>
      <w:bookmarkEnd w:id="35"/>
      <w:r w:rsidRPr="00DE065D">
        <w:rPr>
          <w:rFonts w:ascii="Times New Roman" w:hAnsi="Times New Roman" w:cs="Times New Roman"/>
          <w:b w:val="0"/>
          <w:color w:val="000000" w:themeColor="text1"/>
        </w:rPr>
        <w:t xml:space="preserve">  </w:t>
      </w:r>
    </w:p>
    <w:p w:rsidR="00ED3ACD" w:rsidRPr="00DE065D" w:rsidRDefault="00ED3ACD" w:rsidP="00ED3ACD">
      <w:pPr>
        <w:rPr>
          <w:rFonts w:ascii="Times New Roman" w:hAnsi="Times New Roman" w:cs="Times New Roman"/>
        </w:rPr>
      </w:pPr>
    </w:p>
    <w:tbl>
      <w:tblPr>
        <w:tblStyle w:val="TableGrid"/>
        <w:tblW w:w="0" w:type="auto"/>
        <w:jc w:val="center"/>
        <w:tblLook w:val="04A0"/>
      </w:tblPr>
      <w:tblGrid>
        <w:gridCol w:w="1596"/>
        <w:gridCol w:w="1596"/>
        <w:gridCol w:w="1596"/>
        <w:gridCol w:w="1596"/>
      </w:tblGrid>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User</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Asset</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Quantity</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Option</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A</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4</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2</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Writer</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2</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Writer</w:t>
            </w:r>
          </w:p>
        </w:tc>
      </w:tr>
    </w:tbl>
    <w:p w:rsidR="00ED3ACD" w:rsidRPr="00DE065D" w:rsidRDefault="00ED3ACD" w:rsidP="00ED3ACD">
      <w:pPr>
        <w:rPr>
          <w:rFonts w:ascii="Times New Roman" w:hAnsi="Times New Roman" w:cs="Times New Roman"/>
        </w:rPr>
      </w:pPr>
    </w:p>
    <w:p w:rsidR="00ED3ACD" w:rsidRPr="00DE065D" w:rsidRDefault="00ED3ACD" w:rsidP="00ED3ACD">
      <w:pPr>
        <w:rPr>
          <w:rFonts w:ascii="Times New Roman" w:hAnsi="Times New Roman" w:cs="Times New Roman"/>
        </w:rPr>
      </w:pPr>
      <w:r w:rsidRPr="00DE065D">
        <w:rPr>
          <w:rFonts w:ascii="Times New Roman" w:hAnsi="Times New Roman" w:cs="Times New Roman"/>
        </w:rPr>
        <w:t xml:space="preserve">Above is an example of an order (considering all other specification like duration and interest rate are matched) with one option holder and multiple writers, it can be otherwise as following. </w:t>
      </w:r>
      <w:r w:rsidR="002F4051" w:rsidRPr="00DE065D">
        <w:rPr>
          <w:rFonts w:ascii="Times New Roman" w:hAnsi="Times New Roman" w:cs="Times New Roman"/>
        </w:rPr>
        <w:t>[11]</w:t>
      </w:r>
    </w:p>
    <w:tbl>
      <w:tblPr>
        <w:tblStyle w:val="TableGrid"/>
        <w:tblW w:w="0" w:type="auto"/>
        <w:jc w:val="center"/>
        <w:tblLook w:val="04A0"/>
      </w:tblPr>
      <w:tblGrid>
        <w:gridCol w:w="1596"/>
        <w:gridCol w:w="1596"/>
        <w:gridCol w:w="1596"/>
        <w:gridCol w:w="1596"/>
      </w:tblGrid>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User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Asset</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Quantity</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Option</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A</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50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B</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20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C</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70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Writer</w:t>
            </w:r>
          </w:p>
        </w:tc>
      </w:tr>
    </w:tbl>
    <w:p w:rsidR="006062D6" w:rsidRPr="00DE065D" w:rsidRDefault="006062D6" w:rsidP="00653F5D">
      <w:pPr>
        <w:pStyle w:val="Heading2"/>
        <w:rPr>
          <w:rFonts w:ascii="Times New Roman" w:hAnsi="Times New Roman" w:cs="Times New Roman"/>
          <w:color w:val="000000" w:themeColor="text1"/>
        </w:rPr>
      </w:pPr>
      <w:bookmarkStart w:id="36" w:name="_Toc497411965"/>
      <w:r w:rsidRPr="00DE065D">
        <w:rPr>
          <w:rFonts w:ascii="Times New Roman" w:hAnsi="Times New Roman" w:cs="Times New Roman"/>
          <w:color w:val="000000" w:themeColor="text1"/>
        </w:rPr>
        <w:lastRenderedPageBreak/>
        <w:t>Order cancelation</w:t>
      </w:r>
      <w:bookmarkEnd w:id="36"/>
      <w:r w:rsidRPr="00DE065D">
        <w:rPr>
          <w:rFonts w:ascii="Times New Roman" w:hAnsi="Times New Roman" w:cs="Times New Roman"/>
          <w:color w:val="000000" w:themeColor="text1"/>
        </w:rPr>
        <w:t xml:space="preserve"> </w:t>
      </w:r>
    </w:p>
    <w:p w:rsidR="000775BD" w:rsidRPr="00DE065D" w:rsidRDefault="002F4051" w:rsidP="000775BD">
      <w:pPr>
        <w:rPr>
          <w:rFonts w:ascii="Times New Roman" w:hAnsi="Times New Roman" w:cs="Times New Roman"/>
        </w:rPr>
      </w:pPr>
      <w:r w:rsidRPr="00DE065D">
        <w:rPr>
          <w:rFonts w:ascii="Times New Roman" w:hAnsi="Times New Roman" w:cs="Times New Roman"/>
        </w:rPr>
        <w:t xml:space="preserve">Order cancelation on the platform is not as it is in other trading platforms. </w:t>
      </w:r>
      <w:r w:rsidR="00EE7528" w:rsidRPr="00DE065D">
        <w:rPr>
          <w:rFonts w:ascii="Times New Roman" w:hAnsi="Times New Roman" w:cs="Times New Roman"/>
        </w:rPr>
        <w:t xml:space="preserve">It is based on the mutual understanding between the option writer and option holder. It is further explained graphically on the diagram below. </w:t>
      </w:r>
    </w:p>
    <w:p w:rsidR="00EE7528" w:rsidRPr="00DE065D" w:rsidRDefault="00EE7528" w:rsidP="00EE7528">
      <w:pPr>
        <w:jc w:val="center"/>
        <w:rPr>
          <w:rFonts w:ascii="Times New Roman" w:hAnsi="Times New Roman" w:cs="Times New Roman"/>
        </w:rPr>
      </w:pPr>
      <w:r w:rsidRPr="00DE065D">
        <w:rPr>
          <w:rFonts w:ascii="Times New Roman" w:hAnsi="Times New Roman" w:cs="Times New Roman"/>
          <w:noProof/>
        </w:rPr>
        <w:drawing>
          <wp:inline distT="0" distB="0" distL="0" distR="0">
            <wp:extent cx="4734586" cy="3524742"/>
            <wp:effectExtent l="19050" t="0" r="8864" b="0"/>
            <wp:docPr id="7" name="Picture 6" descr="order cancel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cancelation .png"/>
                    <pic:cNvPicPr/>
                  </pic:nvPicPr>
                  <pic:blipFill>
                    <a:blip r:embed="rId31"/>
                    <a:stretch>
                      <a:fillRect/>
                    </a:stretch>
                  </pic:blipFill>
                  <pic:spPr>
                    <a:xfrm>
                      <a:off x="0" y="0"/>
                      <a:ext cx="4734586" cy="3524742"/>
                    </a:xfrm>
                    <a:prstGeom prst="rect">
                      <a:avLst/>
                    </a:prstGeom>
                  </pic:spPr>
                </pic:pic>
              </a:graphicData>
            </a:graphic>
          </wp:inline>
        </w:drawing>
      </w:r>
    </w:p>
    <w:p w:rsidR="000775BD" w:rsidRPr="00DE065D" w:rsidRDefault="000775BD" w:rsidP="000775BD">
      <w:pPr>
        <w:rPr>
          <w:rFonts w:ascii="Times New Roman" w:hAnsi="Times New Roman" w:cs="Times New Roman"/>
        </w:rPr>
      </w:pPr>
    </w:p>
    <w:p w:rsidR="00BB3992" w:rsidRPr="00DE065D" w:rsidRDefault="00A416E6" w:rsidP="00653F5D">
      <w:pPr>
        <w:pStyle w:val="Heading1"/>
        <w:rPr>
          <w:rFonts w:ascii="Times New Roman" w:hAnsi="Times New Roman" w:cs="Times New Roman"/>
          <w:color w:val="000000" w:themeColor="text1"/>
        </w:rPr>
      </w:pPr>
      <w:bookmarkStart w:id="37" w:name="_Toc497411966"/>
      <w:r w:rsidRPr="00DE065D">
        <w:rPr>
          <w:rFonts w:ascii="Times New Roman" w:hAnsi="Times New Roman" w:cs="Times New Roman"/>
          <w:color w:val="000000" w:themeColor="text1"/>
        </w:rPr>
        <w:t>Token Specifications</w:t>
      </w:r>
      <w:bookmarkEnd w:id="37"/>
    </w:p>
    <w:p w:rsidR="00A416E6" w:rsidRPr="00DE065D" w:rsidRDefault="00A416E6" w:rsidP="00A416E6">
      <w:pPr>
        <w:rPr>
          <w:rFonts w:ascii="Times New Roman" w:hAnsi="Times New Roman" w:cs="Times New Roman"/>
          <w:color w:val="000000" w:themeColor="text1"/>
        </w:rPr>
      </w:pPr>
    </w:p>
    <w:p w:rsidR="00DA2859" w:rsidRPr="00DE065D" w:rsidRDefault="00DA2859" w:rsidP="00A416E6">
      <w:pPr>
        <w:rPr>
          <w:rFonts w:ascii="Times New Roman" w:hAnsi="Times New Roman" w:cs="Times New Roman"/>
          <w:color w:val="000000" w:themeColor="text1"/>
        </w:rPr>
        <w:sectPr w:rsidR="00DA2859" w:rsidRPr="00DE065D" w:rsidSect="00453035">
          <w:type w:val="continuous"/>
          <w:pgSz w:w="12240" w:h="15840"/>
          <w:pgMar w:top="1440" w:right="1440" w:bottom="1440" w:left="1440" w:header="720" w:footer="720" w:gutter="0"/>
          <w:cols w:space="720"/>
          <w:docGrid w:linePitch="360"/>
        </w:sectPr>
      </w:pPr>
    </w:p>
    <w:p w:rsidR="00A416E6" w:rsidRPr="00DE065D" w:rsidRDefault="00A416E6" w:rsidP="00A416E6">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lastRenderedPageBreak/>
        <w:t>There are 200,000,000 tokens of Accord (ARD) out of which total of 65% are to be distributed in the ICO.</w:t>
      </w:r>
      <w:r w:rsidR="00DA2859" w:rsidRPr="00DE065D">
        <w:rPr>
          <w:rFonts w:ascii="Times New Roman" w:hAnsi="Times New Roman" w:cs="Times New Roman"/>
          <w:color w:val="000000" w:themeColor="text1"/>
          <w:sz w:val="24"/>
          <w:szCs w:val="24"/>
        </w:rPr>
        <w:br/>
        <w:t>48% for crowd sale purpose to raise ethers for development of platform.</w:t>
      </w:r>
      <w:r w:rsidR="00DA2859" w:rsidRPr="00DE065D">
        <w:rPr>
          <w:rFonts w:ascii="Times New Roman" w:hAnsi="Times New Roman" w:cs="Times New Roman"/>
          <w:color w:val="000000" w:themeColor="text1"/>
          <w:sz w:val="24"/>
          <w:szCs w:val="24"/>
        </w:rPr>
        <w:br/>
        <w:t>2% to cover cost incurred during ICO</w:t>
      </w:r>
      <w:r w:rsidR="00DA2859" w:rsidRPr="00DE065D">
        <w:rPr>
          <w:rFonts w:ascii="Times New Roman" w:hAnsi="Times New Roman" w:cs="Times New Roman"/>
          <w:color w:val="000000" w:themeColor="text1"/>
          <w:sz w:val="24"/>
          <w:szCs w:val="24"/>
        </w:rPr>
        <w:br/>
        <w:t xml:space="preserve">15% to be distributed among early birds and left over to be distributed as referral reward. </w:t>
      </w:r>
      <w:r w:rsidR="00DA2859" w:rsidRPr="00DE065D">
        <w:rPr>
          <w:rFonts w:ascii="Times New Roman" w:hAnsi="Times New Roman" w:cs="Times New Roman"/>
          <w:color w:val="000000" w:themeColor="text1"/>
          <w:sz w:val="24"/>
          <w:szCs w:val="24"/>
        </w:rPr>
        <w:br/>
        <w:t xml:space="preserve">35% reserved for team, which will be distributed among team in the period of 5 years gradually.   </w:t>
      </w:r>
    </w:p>
    <w:p w:rsidR="00DC7E5F" w:rsidRPr="00DE065D" w:rsidRDefault="00DC7E5F" w:rsidP="00A416E6">
      <w:pPr>
        <w:rPr>
          <w:rFonts w:ascii="Times New Roman" w:hAnsi="Times New Roman" w:cs="Times New Roman"/>
          <w:color w:val="000000" w:themeColor="text1"/>
          <w:sz w:val="24"/>
          <w:szCs w:val="24"/>
        </w:rPr>
      </w:pPr>
    </w:p>
    <w:p w:rsidR="00DC7E5F" w:rsidRPr="00DE065D" w:rsidRDefault="00A416E6" w:rsidP="00A416E6">
      <w:pPr>
        <w:rPr>
          <w:rFonts w:ascii="Times New Roman" w:hAnsi="Times New Roman" w:cs="Times New Roman"/>
          <w:color w:val="000000" w:themeColor="text1"/>
          <w:sz w:val="24"/>
          <w:szCs w:val="24"/>
        </w:rPr>
      </w:pPr>
      <w:r w:rsidRPr="00DE065D">
        <w:rPr>
          <w:rFonts w:ascii="Times New Roman" w:hAnsi="Times New Roman" w:cs="Times New Roman"/>
          <w:noProof/>
          <w:color w:val="000000" w:themeColor="text1"/>
          <w:sz w:val="24"/>
          <w:szCs w:val="24"/>
        </w:rPr>
        <w:lastRenderedPageBreak/>
        <w:drawing>
          <wp:inline distT="0" distB="0" distL="0" distR="0">
            <wp:extent cx="3495675" cy="2419350"/>
            <wp:effectExtent l="1905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2859" w:rsidRPr="00DE065D" w:rsidRDefault="00DA2859" w:rsidP="0060665D">
      <w:pPr>
        <w:pStyle w:val="Heading1"/>
        <w:rPr>
          <w:rFonts w:ascii="Times New Roman" w:eastAsiaTheme="minorHAnsi" w:hAnsi="Times New Roman" w:cs="Times New Roman"/>
          <w:b w:val="0"/>
          <w:bCs w:val="0"/>
          <w:color w:val="000000" w:themeColor="text1"/>
          <w:sz w:val="24"/>
          <w:szCs w:val="24"/>
        </w:rPr>
        <w:sectPr w:rsidR="00DA2859" w:rsidRPr="00DE065D" w:rsidSect="00DA2859">
          <w:type w:val="continuous"/>
          <w:pgSz w:w="12240" w:h="15840"/>
          <w:pgMar w:top="1440" w:right="1440" w:bottom="1440" w:left="1440" w:header="720" w:footer="720" w:gutter="0"/>
          <w:cols w:num="2" w:space="720"/>
          <w:docGrid w:linePitch="360"/>
        </w:sectPr>
      </w:pPr>
    </w:p>
    <w:p w:rsidR="00E5125B" w:rsidRPr="00DE065D" w:rsidRDefault="00E5125B" w:rsidP="00E5125B">
      <w:pPr>
        <w:rPr>
          <w:rFonts w:ascii="Times New Roman" w:hAnsi="Times New Roman" w:cs="Times New Roman"/>
          <w:color w:val="000000" w:themeColor="text1"/>
          <w:sz w:val="24"/>
          <w:szCs w:val="24"/>
        </w:rPr>
      </w:pPr>
    </w:p>
    <w:p w:rsidR="00E5125B" w:rsidRPr="00DE065D" w:rsidRDefault="00E5125B" w:rsidP="00E5125B">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Each token priced at USD $0.1, Thus, Crowdsale will raise the sum of USD $10 million. Crowdsale raised sum will finance the following activities described in the Image below. </w:t>
      </w:r>
    </w:p>
    <w:p w:rsidR="00E5125B" w:rsidRPr="00DE065D" w:rsidRDefault="00E5125B" w:rsidP="00E5125B">
      <w:pPr>
        <w:rPr>
          <w:rFonts w:ascii="Times New Roman" w:hAnsi="Times New Roman" w:cs="Times New Roman"/>
        </w:rPr>
      </w:pPr>
    </w:p>
    <w:p w:rsidR="00E5125B" w:rsidRPr="00DE065D" w:rsidRDefault="00E5125B" w:rsidP="000775BD">
      <w:pPr>
        <w:jc w:val="center"/>
        <w:rPr>
          <w:rFonts w:ascii="Times New Roman" w:hAnsi="Times New Roman" w:cs="Times New Roman"/>
        </w:rPr>
      </w:pPr>
      <w:r w:rsidRPr="00DE065D">
        <w:rPr>
          <w:rFonts w:ascii="Times New Roman" w:hAnsi="Times New Roman" w:cs="Times New Roman"/>
          <w:noProof/>
        </w:rPr>
        <w:drawing>
          <wp:inline distT="0" distB="0" distL="0" distR="0">
            <wp:extent cx="4457700" cy="2419350"/>
            <wp:effectExtent l="19050" t="0" r="19050" b="0"/>
            <wp:docPr id="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E7528" w:rsidRPr="00DE065D" w:rsidRDefault="00EE7528" w:rsidP="000775BD">
      <w:pPr>
        <w:jc w:val="center"/>
        <w:rPr>
          <w:rFonts w:ascii="Times New Roman" w:hAnsi="Times New Roman" w:cs="Times New Roman"/>
        </w:rPr>
      </w:pPr>
    </w:p>
    <w:p w:rsidR="00DA2859" w:rsidRPr="00DE065D" w:rsidRDefault="002778F6" w:rsidP="00653F5D">
      <w:pPr>
        <w:pStyle w:val="Heading2"/>
        <w:rPr>
          <w:rFonts w:ascii="Times New Roman" w:hAnsi="Times New Roman" w:cs="Times New Roman"/>
          <w:color w:val="000000" w:themeColor="text1"/>
        </w:rPr>
      </w:pPr>
      <w:bookmarkStart w:id="38" w:name="_Toc497411967"/>
      <w:r w:rsidRPr="00DE065D">
        <w:rPr>
          <w:rFonts w:ascii="Times New Roman" w:hAnsi="Times New Roman" w:cs="Times New Roman"/>
          <w:color w:val="000000" w:themeColor="text1"/>
        </w:rPr>
        <w:t>Buy back guarantee</w:t>
      </w:r>
      <w:bookmarkEnd w:id="38"/>
      <w:r w:rsidR="000775BD" w:rsidRPr="00DE065D">
        <w:rPr>
          <w:rFonts w:ascii="Times New Roman" w:hAnsi="Times New Roman" w:cs="Times New Roman"/>
          <w:color w:val="000000" w:themeColor="text1"/>
        </w:rPr>
        <w:t xml:space="preserve"> </w:t>
      </w:r>
    </w:p>
    <w:p w:rsidR="00743BE4" w:rsidRPr="00DE065D" w:rsidRDefault="00743BE4" w:rsidP="00743BE4">
      <w:pPr>
        <w:rPr>
          <w:rFonts w:ascii="Times New Roman" w:hAnsi="Times New Roman" w:cs="Times New Roman"/>
        </w:rPr>
      </w:pPr>
    </w:p>
    <w:p w:rsidR="00653F5D" w:rsidRPr="00DE065D" w:rsidRDefault="00E5125B" w:rsidP="002778F6">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We believe in adding value i</w:t>
      </w:r>
      <w:r w:rsidR="00FD286C" w:rsidRPr="00DE065D">
        <w:rPr>
          <w:rFonts w:ascii="Times New Roman" w:hAnsi="Times New Roman" w:cs="Times New Roman"/>
          <w:color w:val="000000" w:themeColor="text1"/>
          <w:sz w:val="24"/>
          <w:szCs w:val="24"/>
        </w:rPr>
        <w:t>n the crypto ecosystem, the Implementation of AHP</w:t>
      </w:r>
      <w:r w:rsidRPr="00DE065D">
        <w:rPr>
          <w:rFonts w:ascii="Times New Roman" w:hAnsi="Times New Roman" w:cs="Times New Roman"/>
          <w:color w:val="000000" w:themeColor="text1"/>
          <w:sz w:val="24"/>
          <w:szCs w:val="24"/>
        </w:rPr>
        <w:t xml:space="preserve"> itself will provide the</w:t>
      </w:r>
      <w:r w:rsidR="00FD286C" w:rsidRPr="00DE065D">
        <w:rPr>
          <w:rFonts w:ascii="Times New Roman" w:hAnsi="Times New Roman" w:cs="Times New Roman"/>
          <w:color w:val="000000" w:themeColor="text1"/>
          <w:sz w:val="24"/>
          <w:szCs w:val="24"/>
        </w:rPr>
        <w:t xml:space="preserve"> financial trading instrument in the crypto ecosystem for the very first time. So we believe, not just to raise sum but to deliver is our main goal. So we will buy back our token any time </w:t>
      </w:r>
      <w:r w:rsidR="00F51979" w:rsidRPr="00DE065D">
        <w:rPr>
          <w:rFonts w:ascii="Times New Roman" w:hAnsi="Times New Roman" w:cs="Times New Roman"/>
          <w:color w:val="000000" w:themeColor="text1"/>
          <w:sz w:val="24"/>
          <w:szCs w:val="24"/>
        </w:rPr>
        <w:t>holder believes</w:t>
      </w:r>
      <w:r w:rsidR="00FD286C" w:rsidRPr="00DE065D">
        <w:rPr>
          <w:rFonts w:ascii="Times New Roman" w:hAnsi="Times New Roman" w:cs="Times New Roman"/>
          <w:color w:val="000000" w:themeColor="text1"/>
          <w:sz w:val="24"/>
          <w:szCs w:val="24"/>
        </w:rPr>
        <w:t xml:space="preserve"> he</w:t>
      </w:r>
      <w:r w:rsidR="00F51979" w:rsidRPr="00DE065D">
        <w:rPr>
          <w:rFonts w:ascii="Times New Roman" w:hAnsi="Times New Roman" w:cs="Times New Roman"/>
          <w:color w:val="000000" w:themeColor="text1"/>
          <w:sz w:val="24"/>
          <w:szCs w:val="24"/>
        </w:rPr>
        <w:t xml:space="preserve"> or she want to</w:t>
      </w:r>
      <w:r w:rsidR="00FD286C" w:rsidRPr="00DE065D">
        <w:rPr>
          <w:rFonts w:ascii="Times New Roman" w:hAnsi="Times New Roman" w:cs="Times New Roman"/>
          <w:color w:val="000000" w:themeColor="text1"/>
          <w:sz w:val="24"/>
          <w:szCs w:val="24"/>
        </w:rPr>
        <w:t xml:space="preserve">. We are liable to give their investment back. </w:t>
      </w:r>
    </w:p>
    <w:p w:rsidR="00EE7528" w:rsidRPr="00DE065D" w:rsidRDefault="00EE7528" w:rsidP="00743BE4">
      <w:pPr>
        <w:pStyle w:val="Heading2"/>
        <w:rPr>
          <w:rFonts w:ascii="Times New Roman" w:hAnsi="Times New Roman" w:cs="Times New Roman"/>
          <w:color w:val="auto"/>
        </w:rPr>
      </w:pPr>
      <w:bookmarkStart w:id="39" w:name="_Toc497411968"/>
      <w:r w:rsidRPr="00DE065D">
        <w:rPr>
          <w:rFonts w:ascii="Times New Roman" w:hAnsi="Times New Roman" w:cs="Times New Roman"/>
          <w:color w:val="auto"/>
        </w:rPr>
        <w:t>Token's Liquidity</w:t>
      </w:r>
      <w:bookmarkEnd w:id="39"/>
    </w:p>
    <w:p w:rsidR="00EE7528" w:rsidRPr="00DE065D" w:rsidRDefault="000C05EE" w:rsidP="00EE7528">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 </w:t>
      </w:r>
    </w:p>
    <w:p w:rsidR="00EE7528" w:rsidRPr="00DE065D" w:rsidRDefault="000C05EE" w:rsidP="00EE7528">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Accord token</w:t>
      </w:r>
      <w:r w:rsidR="00EE7528" w:rsidRPr="00DE065D">
        <w:rPr>
          <w:rFonts w:ascii="Times New Roman" w:hAnsi="Times New Roman" w:cs="Times New Roman"/>
          <w:sz w:val="24"/>
          <w:szCs w:val="24"/>
        </w:rPr>
        <w:t xml:space="preserve"> is based on ERC20 Ethereum Token Standard and can be liquidated</w:t>
      </w:r>
    </w:p>
    <w:p w:rsidR="00653F5D" w:rsidRPr="00DE065D" w:rsidRDefault="000C05EE" w:rsidP="000C05E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Through an Accord</w:t>
      </w:r>
      <w:r w:rsidR="00DE065D">
        <w:rPr>
          <w:rFonts w:ascii="Times New Roman" w:hAnsi="Times New Roman" w:cs="Times New Roman"/>
          <w:sz w:val="24"/>
          <w:szCs w:val="24"/>
        </w:rPr>
        <w:t xml:space="preserve"> </w:t>
      </w:r>
      <w:r w:rsidRPr="00DE065D">
        <w:rPr>
          <w:rFonts w:ascii="Times New Roman" w:hAnsi="Times New Roman" w:cs="Times New Roman"/>
          <w:sz w:val="24"/>
          <w:szCs w:val="24"/>
        </w:rPr>
        <w:t>token</w:t>
      </w:r>
      <w:r w:rsidR="00EE7528" w:rsidRPr="00DE065D">
        <w:rPr>
          <w:rFonts w:ascii="Times New Roman" w:hAnsi="Times New Roman" w:cs="Times New Roman"/>
          <w:sz w:val="24"/>
          <w:szCs w:val="24"/>
        </w:rPr>
        <w:t xml:space="preserve"> sma</w:t>
      </w:r>
      <w:r w:rsidRPr="00DE065D">
        <w:rPr>
          <w:rFonts w:ascii="Times New Roman" w:hAnsi="Times New Roman" w:cs="Times New Roman"/>
          <w:sz w:val="24"/>
          <w:szCs w:val="24"/>
        </w:rPr>
        <w:t>rt contract. This means that ARD</w:t>
      </w:r>
      <w:r w:rsidR="00EE7528" w:rsidRPr="00DE065D">
        <w:rPr>
          <w:rFonts w:ascii="Times New Roman" w:hAnsi="Times New Roman" w:cs="Times New Roman"/>
          <w:sz w:val="24"/>
          <w:szCs w:val="24"/>
        </w:rPr>
        <w:t xml:space="preserve"> trading can be done through</w:t>
      </w:r>
      <w:r w:rsidRPr="00DE065D">
        <w:rPr>
          <w:rFonts w:ascii="Times New Roman" w:hAnsi="Times New Roman" w:cs="Times New Roman"/>
          <w:sz w:val="24"/>
          <w:szCs w:val="24"/>
        </w:rPr>
        <w:t xml:space="preserve"> a </w:t>
      </w:r>
      <w:r w:rsidR="00EE7528" w:rsidRPr="00DE065D">
        <w:rPr>
          <w:rFonts w:ascii="Times New Roman" w:hAnsi="Times New Roman" w:cs="Times New Roman"/>
          <w:sz w:val="24"/>
          <w:szCs w:val="24"/>
        </w:rPr>
        <w:t>centralized exchange. All the ERC20 Ethereum tokens can be exch</w:t>
      </w:r>
      <w:r w:rsidRPr="00DE065D">
        <w:rPr>
          <w:rFonts w:ascii="Times New Roman" w:hAnsi="Times New Roman" w:cs="Times New Roman"/>
          <w:sz w:val="24"/>
          <w:szCs w:val="24"/>
        </w:rPr>
        <w:t>anged to ARD</w:t>
      </w:r>
      <w:r w:rsidR="00EE7528" w:rsidRPr="00DE065D">
        <w:rPr>
          <w:rFonts w:ascii="Times New Roman" w:hAnsi="Times New Roman" w:cs="Times New Roman"/>
          <w:sz w:val="24"/>
          <w:szCs w:val="24"/>
        </w:rPr>
        <w:t xml:space="preserve"> </w:t>
      </w:r>
      <w:r w:rsidRPr="00DE065D">
        <w:rPr>
          <w:rFonts w:ascii="Times New Roman" w:hAnsi="Times New Roman" w:cs="Times New Roman"/>
          <w:sz w:val="24"/>
          <w:szCs w:val="24"/>
        </w:rPr>
        <w:t xml:space="preserve">token. Accord token will be listed on renowned exchanges and on Accord Hedging platform too. </w:t>
      </w:r>
    </w:p>
    <w:p w:rsidR="004B62D0" w:rsidRPr="00DE065D" w:rsidRDefault="004B62D0" w:rsidP="000C05EE">
      <w:pPr>
        <w:autoSpaceDE w:val="0"/>
        <w:autoSpaceDN w:val="0"/>
        <w:adjustRightInd w:val="0"/>
        <w:spacing w:after="0" w:line="240" w:lineRule="auto"/>
        <w:rPr>
          <w:rFonts w:ascii="Times New Roman" w:hAnsi="Times New Roman" w:cs="Times New Roman"/>
          <w:sz w:val="24"/>
          <w:szCs w:val="24"/>
        </w:rPr>
      </w:pPr>
    </w:p>
    <w:p w:rsidR="00804B7B" w:rsidRPr="00DE065D" w:rsidRDefault="00804B7B" w:rsidP="00743BE4">
      <w:pPr>
        <w:pStyle w:val="Heading1"/>
        <w:rPr>
          <w:rFonts w:ascii="Times New Roman" w:hAnsi="Times New Roman" w:cs="Times New Roman"/>
          <w:color w:val="auto"/>
        </w:rPr>
      </w:pPr>
      <w:bookmarkStart w:id="40" w:name="_Toc497411969"/>
    </w:p>
    <w:p w:rsidR="00804B7B" w:rsidRDefault="00804B7B" w:rsidP="00804B7B">
      <w:pPr>
        <w:rPr>
          <w:rFonts w:ascii="Times New Roman" w:hAnsi="Times New Roman" w:cs="Times New Roman"/>
        </w:rPr>
      </w:pPr>
    </w:p>
    <w:p w:rsidR="00DE065D" w:rsidRPr="00DE065D" w:rsidRDefault="00DE065D" w:rsidP="00804B7B">
      <w:pPr>
        <w:rPr>
          <w:rFonts w:ascii="Times New Roman" w:hAnsi="Times New Roman" w:cs="Times New Roman"/>
        </w:rPr>
      </w:pPr>
    </w:p>
    <w:p w:rsidR="00653F5D" w:rsidRPr="00DE065D" w:rsidRDefault="000775BD" w:rsidP="00743BE4">
      <w:pPr>
        <w:pStyle w:val="Heading1"/>
        <w:rPr>
          <w:rFonts w:ascii="Times New Roman" w:hAnsi="Times New Roman" w:cs="Times New Roman"/>
          <w:color w:val="auto"/>
        </w:rPr>
      </w:pPr>
      <w:r w:rsidRPr="00DE065D">
        <w:rPr>
          <w:rFonts w:ascii="Times New Roman" w:hAnsi="Times New Roman" w:cs="Times New Roman"/>
          <w:color w:val="auto"/>
        </w:rPr>
        <w:lastRenderedPageBreak/>
        <w:t>Summary</w:t>
      </w:r>
      <w:bookmarkEnd w:id="40"/>
      <w:r w:rsidRPr="00DE065D">
        <w:rPr>
          <w:rFonts w:ascii="Times New Roman" w:hAnsi="Times New Roman" w:cs="Times New Roman"/>
          <w:color w:val="auto"/>
        </w:rPr>
        <w:t xml:space="preserve"> </w:t>
      </w:r>
    </w:p>
    <w:p w:rsidR="000C05EE" w:rsidRPr="00DE065D" w:rsidRDefault="000C05EE"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Accord token is introducing first ever Crypto Hedging platform to reduce the market risk for the Crypto investors. The regulatory currency to be used on Accord Hedging Platform (AHP) is Accord (ARD) an ERC20 token developed on Ethereum blockchain. AHP will be the first platform to give Crypto traders with Hedging instruments. ARD has limited token supply of 200 million ARD 50% of which are to be distributed in the crowd sale. 15 % of token are to be distributed as incentives among early investors. </w:t>
      </w: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sz w:val="24"/>
          <w:szCs w:val="24"/>
        </w:rPr>
      </w:pPr>
    </w:p>
    <w:p w:rsidR="007E5853" w:rsidRPr="00DE065D" w:rsidRDefault="007E5853" w:rsidP="004B62D0">
      <w:pPr>
        <w:autoSpaceDE w:val="0"/>
        <w:autoSpaceDN w:val="0"/>
        <w:adjustRightInd w:val="0"/>
        <w:spacing w:after="0" w:line="240" w:lineRule="auto"/>
        <w:rPr>
          <w:rFonts w:ascii="Times New Roman" w:hAnsi="Times New Roman" w:cs="Times New Roman"/>
          <w:b/>
          <w:sz w:val="24"/>
          <w:szCs w:val="24"/>
        </w:rPr>
      </w:pPr>
      <w:r w:rsidRPr="00DE065D">
        <w:rPr>
          <w:rFonts w:ascii="Times New Roman" w:hAnsi="Times New Roman" w:cs="Times New Roman"/>
          <w:sz w:val="24"/>
          <w:szCs w:val="24"/>
        </w:rPr>
        <w:t xml:space="preserve">      </w:t>
      </w:r>
    </w:p>
    <w:p w:rsidR="00804B7B" w:rsidRPr="00DE065D" w:rsidRDefault="00804B7B" w:rsidP="00743BE4">
      <w:pPr>
        <w:pStyle w:val="Heading1"/>
        <w:rPr>
          <w:rFonts w:ascii="Times New Roman" w:eastAsiaTheme="minorHAnsi" w:hAnsi="Times New Roman" w:cs="Times New Roman"/>
          <w:color w:val="auto"/>
        </w:rPr>
      </w:pPr>
      <w:bookmarkStart w:id="41" w:name="_Toc497411970"/>
    </w:p>
    <w:p w:rsidR="00804B7B" w:rsidRPr="00DE065D" w:rsidRDefault="00804B7B" w:rsidP="00804B7B">
      <w:pPr>
        <w:rPr>
          <w:rFonts w:ascii="Times New Roman" w:hAnsi="Times New Roman" w:cs="Times New Roman"/>
        </w:rPr>
      </w:pPr>
    </w:p>
    <w:p w:rsidR="00653F5D" w:rsidRPr="00DE065D" w:rsidRDefault="000775BD" w:rsidP="00743BE4">
      <w:pPr>
        <w:pStyle w:val="Heading1"/>
        <w:rPr>
          <w:rFonts w:ascii="Times New Roman" w:eastAsiaTheme="minorHAnsi" w:hAnsi="Times New Roman" w:cs="Times New Roman"/>
          <w:color w:val="auto"/>
        </w:rPr>
      </w:pPr>
      <w:r w:rsidRPr="00DE065D">
        <w:rPr>
          <w:rFonts w:ascii="Times New Roman" w:eastAsiaTheme="minorHAnsi" w:hAnsi="Times New Roman" w:cs="Times New Roman"/>
          <w:color w:val="auto"/>
        </w:rPr>
        <w:lastRenderedPageBreak/>
        <w:t>Acknowledgement</w:t>
      </w:r>
      <w:bookmarkEnd w:id="41"/>
      <w:r w:rsidR="007E5853" w:rsidRPr="00DE065D">
        <w:rPr>
          <w:rFonts w:ascii="Times New Roman" w:eastAsiaTheme="minorHAnsi" w:hAnsi="Times New Roman" w:cs="Times New Roman"/>
          <w:color w:val="auto"/>
        </w:rPr>
        <w:t xml:space="preserve"> </w:t>
      </w:r>
    </w:p>
    <w:p w:rsidR="00743BE4" w:rsidRPr="00DE065D" w:rsidRDefault="00743BE4" w:rsidP="00743BE4">
      <w:pPr>
        <w:rPr>
          <w:rFonts w:ascii="Times New Roman" w:hAnsi="Times New Roman" w:cs="Times New Roman"/>
        </w:rPr>
      </w:pPr>
    </w:p>
    <w:p w:rsidR="002778F6" w:rsidRPr="00DE065D" w:rsidRDefault="000C05EE" w:rsidP="00743BE4">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We would like to express our gratitude to our mentors, advisors and to the many people in the Ethereum community that have been so welcoming and generous with their knowledge. In particular, we would like to thank </w:t>
      </w:r>
      <w:r w:rsidR="00DE065D">
        <w:rPr>
          <w:rFonts w:ascii="Times New Roman" w:hAnsi="Times New Roman" w:cs="Times New Roman"/>
          <w:sz w:val="24"/>
          <w:szCs w:val="24"/>
        </w:rPr>
        <w:t xml:space="preserve">DR. </w:t>
      </w:r>
      <w:proofErr w:type="spellStart"/>
      <w:r w:rsidR="00DE065D">
        <w:rPr>
          <w:rFonts w:ascii="Times New Roman" w:hAnsi="Times New Roman" w:cs="Times New Roman"/>
          <w:sz w:val="24"/>
          <w:szCs w:val="24"/>
        </w:rPr>
        <w:t>Sajid</w:t>
      </w:r>
      <w:proofErr w:type="spellEnd"/>
      <w:r w:rsidR="00DE065D">
        <w:rPr>
          <w:rFonts w:ascii="Times New Roman" w:hAnsi="Times New Roman" w:cs="Times New Roman"/>
          <w:sz w:val="24"/>
          <w:szCs w:val="24"/>
        </w:rPr>
        <w:t xml:space="preserve"> </w:t>
      </w:r>
      <w:proofErr w:type="spellStart"/>
      <w:r w:rsidR="00DE065D">
        <w:rPr>
          <w:rFonts w:ascii="Times New Roman" w:hAnsi="Times New Roman" w:cs="Times New Roman"/>
          <w:sz w:val="24"/>
          <w:szCs w:val="24"/>
        </w:rPr>
        <w:t>Nazir</w:t>
      </w:r>
      <w:proofErr w:type="spellEnd"/>
      <w:r w:rsidR="009C5075" w:rsidRPr="00DE065D">
        <w:rPr>
          <w:rFonts w:ascii="Times New Roman" w:hAnsi="Times New Roman" w:cs="Times New Roman"/>
          <w:sz w:val="24"/>
          <w:szCs w:val="24"/>
        </w:rPr>
        <w:t>,</w:t>
      </w:r>
      <w:r w:rsidR="009C5075">
        <w:rPr>
          <w:rFonts w:ascii="Times New Roman" w:hAnsi="Times New Roman" w:cs="Times New Roman"/>
          <w:sz w:val="24"/>
          <w:szCs w:val="24"/>
        </w:rPr>
        <w:t xml:space="preserve"> </w:t>
      </w:r>
      <w:r w:rsidR="009C5075" w:rsidRPr="00DE065D">
        <w:rPr>
          <w:rFonts w:ascii="Times New Roman" w:hAnsi="Times New Roman" w:cs="Times New Roman"/>
          <w:sz w:val="24"/>
          <w:szCs w:val="24"/>
        </w:rPr>
        <w:t>for</w:t>
      </w:r>
      <w:r w:rsidR="00743BE4" w:rsidRPr="00DE065D">
        <w:rPr>
          <w:rFonts w:ascii="Times New Roman" w:hAnsi="Times New Roman" w:cs="Times New Roman"/>
          <w:sz w:val="24"/>
          <w:szCs w:val="24"/>
        </w:rPr>
        <w:t xml:space="preserve"> </w:t>
      </w:r>
      <w:r w:rsidRPr="00DE065D">
        <w:rPr>
          <w:rFonts w:ascii="Times New Roman" w:hAnsi="Times New Roman" w:cs="Times New Roman"/>
          <w:sz w:val="24"/>
          <w:szCs w:val="24"/>
        </w:rPr>
        <w:t xml:space="preserve">editing and providing feedback on this work. We would also like to thank </w:t>
      </w:r>
      <w:r w:rsidR="00743BE4" w:rsidRPr="00DE065D">
        <w:rPr>
          <w:rFonts w:ascii="Times New Roman" w:hAnsi="Times New Roman" w:cs="Times New Roman"/>
          <w:sz w:val="24"/>
          <w:szCs w:val="24"/>
        </w:rPr>
        <w:t xml:space="preserve">people who have helped us on this project improvisation DR. </w:t>
      </w:r>
      <w:proofErr w:type="spellStart"/>
      <w:r w:rsidR="00743BE4" w:rsidRPr="00DE065D">
        <w:rPr>
          <w:rFonts w:ascii="Times New Roman" w:hAnsi="Times New Roman" w:cs="Times New Roman"/>
          <w:sz w:val="24"/>
          <w:szCs w:val="24"/>
        </w:rPr>
        <w:t>Zeeshan</w:t>
      </w:r>
      <w:proofErr w:type="spellEnd"/>
      <w:r w:rsidR="00743BE4" w:rsidRPr="00DE065D">
        <w:rPr>
          <w:rFonts w:ascii="Times New Roman" w:hAnsi="Times New Roman" w:cs="Times New Roman"/>
          <w:sz w:val="24"/>
          <w:szCs w:val="24"/>
        </w:rPr>
        <w:t xml:space="preserve"> Ahmed, Prof. Herman </w:t>
      </w:r>
      <w:proofErr w:type="spellStart"/>
      <w:r w:rsidR="00743BE4" w:rsidRPr="00DE065D">
        <w:rPr>
          <w:rFonts w:ascii="Times New Roman" w:hAnsi="Times New Roman" w:cs="Times New Roman"/>
          <w:sz w:val="24"/>
          <w:szCs w:val="24"/>
        </w:rPr>
        <w:t>alam</w:t>
      </w:r>
      <w:proofErr w:type="spellEnd"/>
      <w:r w:rsidR="00743BE4" w:rsidRPr="00DE065D">
        <w:rPr>
          <w:rFonts w:ascii="Times New Roman" w:hAnsi="Times New Roman" w:cs="Times New Roman"/>
          <w:sz w:val="24"/>
          <w:szCs w:val="24"/>
        </w:rPr>
        <w:t xml:space="preserve"> and </w:t>
      </w:r>
      <w:proofErr w:type="spellStart"/>
      <w:r w:rsidR="00743BE4" w:rsidRPr="00DE065D">
        <w:rPr>
          <w:rFonts w:ascii="Times New Roman" w:hAnsi="Times New Roman" w:cs="Times New Roman"/>
          <w:sz w:val="24"/>
          <w:szCs w:val="24"/>
        </w:rPr>
        <w:t>Cuchif</w:t>
      </w:r>
      <w:proofErr w:type="spellEnd"/>
      <w:r w:rsidR="00743BE4" w:rsidRPr="00DE065D">
        <w:rPr>
          <w:rFonts w:ascii="Times New Roman" w:hAnsi="Times New Roman" w:cs="Times New Roman"/>
          <w:sz w:val="24"/>
          <w:szCs w:val="24"/>
        </w:rPr>
        <w:t xml:space="preserve"> </w:t>
      </w:r>
      <w:proofErr w:type="spellStart"/>
      <w:r w:rsidR="00743BE4" w:rsidRPr="00DE065D">
        <w:rPr>
          <w:rFonts w:ascii="Times New Roman" w:hAnsi="Times New Roman" w:cs="Times New Roman"/>
          <w:sz w:val="24"/>
          <w:szCs w:val="24"/>
        </w:rPr>
        <w:t>lateef</w:t>
      </w:r>
      <w:proofErr w:type="spellEnd"/>
      <w:r w:rsidR="00743BE4" w:rsidRPr="00DE065D">
        <w:rPr>
          <w:rFonts w:ascii="Times New Roman" w:hAnsi="Times New Roman" w:cs="Times New Roman"/>
          <w:sz w:val="24"/>
          <w:szCs w:val="24"/>
        </w:rPr>
        <w:t xml:space="preserve"> for reviewing and providing feedback on this work. We will also welcome any feedback from the community.  </w:t>
      </w: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7E5853">
      <w:pPr>
        <w:rPr>
          <w:rFonts w:ascii="Times New Roman" w:hAnsi="Times New Roman" w:cs="Times New Roman"/>
        </w:rPr>
      </w:pPr>
    </w:p>
    <w:p w:rsidR="007E5853" w:rsidRPr="00DE065D" w:rsidRDefault="007E5853"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60665D" w:rsidRPr="00DE065D" w:rsidRDefault="0060665D" w:rsidP="00653F5D">
      <w:pPr>
        <w:pStyle w:val="Heading1"/>
        <w:rPr>
          <w:rFonts w:ascii="Times New Roman" w:hAnsi="Times New Roman" w:cs="Times New Roman"/>
          <w:color w:val="000000" w:themeColor="text1"/>
        </w:rPr>
      </w:pPr>
      <w:bookmarkStart w:id="42" w:name="_Toc497411971"/>
      <w:r w:rsidRPr="00DE065D">
        <w:rPr>
          <w:rFonts w:ascii="Times New Roman" w:hAnsi="Times New Roman" w:cs="Times New Roman"/>
          <w:color w:val="000000" w:themeColor="text1"/>
        </w:rPr>
        <w:lastRenderedPageBreak/>
        <w:t>References</w:t>
      </w:r>
      <w:bookmarkEnd w:id="42"/>
      <w:r w:rsidRPr="00DE065D">
        <w:rPr>
          <w:rFonts w:ascii="Times New Roman" w:hAnsi="Times New Roman" w:cs="Times New Roman"/>
          <w:color w:val="000000" w:themeColor="text1"/>
        </w:rPr>
        <w:t xml:space="preserve"> </w:t>
      </w:r>
    </w:p>
    <w:p w:rsidR="0060665D" w:rsidRPr="00DE065D" w:rsidRDefault="0060665D" w:rsidP="0060665D">
      <w:pPr>
        <w:rPr>
          <w:rFonts w:ascii="Times New Roman" w:hAnsi="Times New Roman" w:cs="Times New Roman"/>
          <w:color w:val="000000" w:themeColor="text1"/>
        </w:rPr>
      </w:pPr>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rPr>
        <w:t>[</w:t>
      </w:r>
      <w:r w:rsidRPr="00DE065D">
        <w:rPr>
          <w:rFonts w:ascii="Times New Roman" w:hAnsi="Times New Roman" w:cs="Times New Roman"/>
          <w:color w:val="000000" w:themeColor="text1"/>
          <w:sz w:val="18"/>
          <w:szCs w:val="18"/>
        </w:rPr>
        <w:t xml:space="preserve">1] </w:t>
      </w:r>
      <w:r w:rsidRPr="00DE065D">
        <w:rPr>
          <w:rFonts w:ascii="Times New Roman" w:hAnsi="Times New Roman" w:cs="Times New Roman"/>
          <w:b/>
          <w:color w:val="000000" w:themeColor="text1"/>
          <w:sz w:val="18"/>
          <w:szCs w:val="18"/>
        </w:rPr>
        <w:t xml:space="preserve">Paul </w:t>
      </w:r>
      <w:proofErr w:type="spellStart"/>
      <w:r w:rsidRPr="00DE065D">
        <w:rPr>
          <w:rFonts w:ascii="Times New Roman" w:hAnsi="Times New Roman" w:cs="Times New Roman"/>
          <w:b/>
          <w:color w:val="000000" w:themeColor="text1"/>
          <w:sz w:val="18"/>
          <w:szCs w:val="18"/>
        </w:rPr>
        <w:t>Tak</w:t>
      </w:r>
      <w:proofErr w:type="spellEnd"/>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Shing</w:t>
      </w:r>
      <w:proofErr w:type="spellEnd"/>
      <w:r w:rsidRPr="00DE065D">
        <w:rPr>
          <w:rFonts w:ascii="Times New Roman" w:hAnsi="Times New Roman" w:cs="Times New Roman"/>
          <w:b/>
          <w:color w:val="000000" w:themeColor="text1"/>
          <w:sz w:val="18"/>
          <w:szCs w:val="18"/>
        </w:rPr>
        <w:t xml:space="preserve"> Liu</w:t>
      </w:r>
      <w:r w:rsidRPr="00DE065D">
        <w:rPr>
          <w:rFonts w:ascii="Times New Roman" w:hAnsi="Times New Roman" w:cs="Times New Roman"/>
          <w:color w:val="000000" w:themeColor="text1"/>
          <w:sz w:val="18"/>
          <w:szCs w:val="18"/>
        </w:rPr>
        <w:t xml:space="preserve">. </w:t>
      </w:r>
      <w:proofErr w:type="gramStart"/>
      <w:r w:rsidRPr="00DE065D">
        <w:rPr>
          <w:rFonts w:ascii="Times New Roman" w:hAnsi="Times New Roman" w:cs="Times New Roman"/>
          <w:color w:val="000000" w:themeColor="text1"/>
          <w:sz w:val="18"/>
          <w:szCs w:val="18"/>
        </w:rPr>
        <w:t>Medical record system using blockchain, big data and tokenization.</w:t>
      </w:r>
      <w:proofErr w:type="gramEnd"/>
      <w:r w:rsidRPr="00DE065D">
        <w:rPr>
          <w:rFonts w:ascii="Times New Roman" w:hAnsi="Times New Roman" w:cs="Times New Roman"/>
          <w:color w:val="000000" w:themeColor="text1"/>
          <w:sz w:val="18"/>
          <w:szCs w:val="18"/>
        </w:rPr>
        <w:t xml:space="preserve"> In Information and Communications Security, pages 254–261. </w:t>
      </w:r>
      <w:proofErr w:type="gramStart"/>
      <w:r w:rsidRPr="00DE065D">
        <w:rPr>
          <w:rFonts w:ascii="Times New Roman" w:hAnsi="Times New Roman" w:cs="Times New Roman"/>
          <w:color w:val="000000" w:themeColor="text1"/>
          <w:sz w:val="18"/>
          <w:szCs w:val="18"/>
        </w:rPr>
        <w:t>Springer, 2016.</w:t>
      </w:r>
      <w:proofErr w:type="gramEnd"/>
    </w:p>
    <w:p w:rsidR="0060665D" w:rsidRPr="00DE065D" w:rsidRDefault="0060665D" w:rsidP="0060665D">
      <w:pPr>
        <w:rPr>
          <w:rFonts w:ascii="Times New Roman" w:hAnsi="Times New Roman" w:cs="Times New Roman"/>
          <w:color w:val="000000" w:themeColor="text1"/>
          <w:sz w:val="18"/>
          <w:szCs w:val="18"/>
        </w:rPr>
      </w:pPr>
      <w:proofErr w:type="gramStart"/>
      <w:r w:rsidRPr="00DE065D">
        <w:rPr>
          <w:rFonts w:ascii="Times New Roman" w:hAnsi="Times New Roman" w:cs="Times New Roman"/>
          <w:color w:val="000000" w:themeColor="text1"/>
          <w:sz w:val="18"/>
          <w:szCs w:val="18"/>
        </w:rPr>
        <w:t>[2]</w:t>
      </w:r>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Konstantinos</w:t>
      </w:r>
      <w:proofErr w:type="spellEnd"/>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Christidis</w:t>
      </w:r>
      <w:proofErr w:type="spellEnd"/>
      <w:r w:rsidRPr="00DE065D">
        <w:rPr>
          <w:rFonts w:ascii="Times New Roman" w:hAnsi="Times New Roman" w:cs="Times New Roman"/>
          <w:b/>
          <w:color w:val="000000" w:themeColor="text1"/>
          <w:sz w:val="18"/>
          <w:szCs w:val="18"/>
        </w:rPr>
        <w:t xml:space="preserve"> and Michael </w:t>
      </w:r>
      <w:proofErr w:type="spellStart"/>
      <w:r w:rsidRPr="00DE065D">
        <w:rPr>
          <w:rFonts w:ascii="Times New Roman" w:hAnsi="Times New Roman" w:cs="Times New Roman"/>
          <w:b/>
          <w:color w:val="000000" w:themeColor="text1"/>
          <w:sz w:val="18"/>
          <w:szCs w:val="18"/>
        </w:rPr>
        <w:t>Devetsikiotis</w:t>
      </w:r>
      <w:proofErr w:type="spellEnd"/>
      <w:r w:rsidRPr="00DE065D">
        <w:rPr>
          <w:rFonts w:ascii="Times New Roman" w:hAnsi="Times New Roman" w:cs="Times New Roman"/>
          <w:b/>
          <w:color w:val="000000" w:themeColor="text1"/>
          <w:sz w:val="18"/>
          <w:szCs w:val="18"/>
        </w:rPr>
        <w:t>.</w:t>
      </w:r>
      <w:proofErr w:type="gramEnd"/>
      <w:r w:rsidRPr="00DE065D">
        <w:rPr>
          <w:rFonts w:ascii="Times New Roman" w:hAnsi="Times New Roman" w:cs="Times New Roman"/>
          <w:b/>
          <w:color w:val="000000" w:themeColor="text1"/>
          <w:sz w:val="18"/>
          <w:szCs w:val="18"/>
        </w:rPr>
        <w:t xml:space="preserve"> </w:t>
      </w:r>
      <w:proofErr w:type="gramStart"/>
      <w:r w:rsidRPr="00DE065D">
        <w:rPr>
          <w:rFonts w:ascii="Times New Roman" w:hAnsi="Times New Roman" w:cs="Times New Roman"/>
          <w:color w:val="000000" w:themeColor="text1"/>
          <w:sz w:val="18"/>
          <w:szCs w:val="18"/>
        </w:rPr>
        <w:t>Blockchains and smart contracts for the internet of things.</w:t>
      </w:r>
      <w:proofErr w:type="gramEnd"/>
      <w:r w:rsidRPr="00DE065D">
        <w:rPr>
          <w:rFonts w:ascii="Times New Roman" w:hAnsi="Times New Roman" w:cs="Times New Roman"/>
          <w:color w:val="000000" w:themeColor="text1"/>
          <w:sz w:val="18"/>
          <w:szCs w:val="18"/>
        </w:rPr>
        <w:t xml:space="preserve"> IEEE Access, 4:2292–2303, 2016.</w:t>
      </w:r>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[3] </w:t>
      </w:r>
      <w:proofErr w:type="spellStart"/>
      <w:proofErr w:type="gramStart"/>
      <w:r w:rsidRPr="00DE065D">
        <w:rPr>
          <w:rFonts w:ascii="Times New Roman" w:hAnsi="Times New Roman" w:cs="Times New Roman"/>
          <w:b/>
          <w:color w:val="000000" w:themeColor="text1"/>
          <w:sz w:val="18"/>
          <w:szCs w:val="18"/>
        </w:rPr>
        <w:t>coinmarketcap</w:t>
      </w:r>
      <w:proofErr w:type="spellEnd"/>
      <w:proofErr w:type="gramEnd"/>
      <w:r w:rsidRPr="00DE065D">
        <w:rPr>
          <w:rFonts w:ascii="Times New Roman" w:hAnsi="Times New Roman" w:cs="Times New Roman"/>
          <w:b/>
          <w:color w:val="000000" w:themeColor="text1"/>
          <w:sz w:val="18"/>
          <w:szCs w:val="18"/>
        </w:rPr>
        <w:t>.</w:t>
      </w:r>
      <w:r w:rsidRPr="00DE065D">
        <w:rPr>
          <w:rFonts w:ascii="Times New Roman" w:hAnsi="Times New Roman" w:cs="Times New Roman"/>
          <w:color w:val="000000" w:themeColor="text1"/>
          <w:sz w:val="18"/>
          <w:szCs w:val="18"/>
        </w:rPr>
        <w:t xml:space="preserve"> https://coinmarketcap.com/all/views/all/. </w:t>
      </w:r>
      <w:proofErr w:type="gramStart"/>
      <w:r w:rsidRPr="00DE065D">
        <w:rPr>
          <w:rFonts w:ascii="Times New Roman" w:hAnsi="Times New Roman" w:cs="Times New Roman"/>
          <w:color w:val="000000" w:themeColor="text1"/>
          <w:sz w:val="18"/>
          <w:szCs w:val="18"/>
        </w:rPr>
        <w:t>Accessed: 2017-02-016.</w:t>
      </w:r>
      <w:proofErr w:type="gramEnd"/>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[4] </w:t>
      </w:r>
      <w:r w:rsidR="00F914AC" w:rsidRPr="00DE065D">
        <w:rPr>
          <w:rFonts w:ascii="Times New Roman" w:hAnsi="Times New Roman" w:cs="Times New Roman"/>
          <w:b/>
          <w:color w:val="000000" w:themeColor="text1"/>
          <w:sz w:val="18"/>
          <w:szCs w:val="18"/>
        </w:rPr>
        <w:t>An Illustrated History 0f Bitcoin Crashes https://</w:t>
      </w:r>
      <w:r w:rsidR="00F914AC" w:rsidRPr="00DE065D">
        <w:rPr>
          <w:rFonts w:ascii="Times New Roman" w:hAnsi="Times New Roman" w:cs="Times New Roman"/>
          <w:color w:val="000000" w:themeColor="text1"/>
          <w:sz w:val="18"/>
          <w:szCs w:val="18"/>
        </w:rPr>
        <w:t>www.forbes.com/sites/timothylee/2013/04/11/an-illustrated-history-of-bitcoin-crashes/#5104689f4039</w:t>
      </w:r>
    </w:p>
    <w:p w:rsidR="009611D2" w:rsidRPr="00DE065D" w:rsidRDefault="004114F5"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[5</w:t>
      </w:r>
      <w:proofErr w:type="gramStart"/>
      <w:r w:rsidRPr="00DE065D">
        <w:rPr>
          <w:rFonts w:ascii="Times New Roman" w:hAnsi="Times New Roman" w:cs="Times New Roman"/>
          <w:color w:val="000000" w:themeColor="text1"/>
          <w:sz w:val="18"/>
          <w:szCs w:val="18"/>
        </w:rPr>
        <w:t>]</w:t>
      </w:r>
      <w:proofErr w:type="gramEnd"/>
      <w:r w:rsidR="003C17B1" w:rsidRPr="00DE065D">
        <w:rPr>
          <w:rFonts w:ascii="Times New Roman" w:hAnsi="Times New Roman" w:cs="Times New Roman"/>
          <w:b/>
          <w:color w:val="000000" w:themeColor="text1"/>
          <w:sz w:val="18"/>
          <w:szCs w:val="18"/>
        </w:rPr>
        <w:fldChar w:fldCharType="begin"/>
      </w:r>
      <w:r w:rsidR="008125A7" w:rsidRPr="00DE065D">
        <w:rPr>
          <w:rFonts w:ascii="Times New Roman" w:hAnsi="Times New Roman" w:cs="Times New Roman"/>
          <w:b/>
          <w:color w:val="000000" w:themeColor="text1"/>
          <w:sz w:val="18"/>
          <w:szCs w:val="18"/>
        </w:rPr>
        <w:instrText>HYPERLINK "FinancialConcepts:TheRisk/ReturnTradeoff"</w:instrText>
      </w:r>
      <w:r w:rsidR="003C17B1" w:rsidRPr="00DE065D">
        <w:rPr>
          <w:rFonts w:ascii="Times New Roman" w:hAnsi="Times New Roman" w:cs="Times New Roman"/>
          <w:b/>
          <w:color w:val="000000" w:themeColor="text1"/>
          <w:sz w:val="18"/>
          <w:szCs w:val="18"/>
        </w:rPr>
        <w:fldChar w:fldCharType="separate"/>
      </w:r>
      <w:r w:rsidRPr="00DE065D">
        <w:rPr>
          <w:rStyle w:val="Hyperlink"/>
          <w:rFonts w:ascii="Times New Roman" w:hAnsi="Times New Roman" w:cs="Times New Roman"/>
          <w:b/>
          <w:color w:val="000000" w:themeColor="text1"/>
          <w:sz w:val="18"/>
          <w:szCs w:val="18"/>
          <w:u w:val="none"/>
        </w:rPr>
        <w:t>FinancialConcepts:TheRisk/ReturnTradeoff</w:t>
      </w:r>
      <w:r w:rsidR="003C17B1" w:rsidRPr="00DE065D">
        <w:rPr>
          <w:rFonts w:ascii="Times New Roman" w:hAnsi="Times New Roman" w:cs="Times New Roman"/>
          <w:b/>
          <w:color w:val="000000" w:themeColor="text1"/>
          <w:sz w:val="18"/>
          <w:szCs w:val="18"/>
        </w:rPr>
        <w:fldChar w:fldCharType="end"/>
      </w:r>
      <w:r w:rsidRPr="00DE065D">
        <w:rPr>
          <w:rFonts w:ascii="Times New Roman" w:hAnsi="Times New Roman" w:cs="Times New Roman"/>
          <w:color w:val="000000" w:themeColor="text1"/>
          <w:sz w:val="18"/>
          <w:szCs w:val="18"/>
        </w:rPr>
        <w:t> </w:t>
      </w:r>
      <w:hyperlink r:id="rId34" w:anchor="ixzz4vbMgu1ER" w:history="1">
        <w:r w:rsidRPr="00DE065D">
          <w:rPr>
            <w:rFonts w:ascii="Times New Roman" w:hAnsi="Times New Roman" w:cs="Times New Roman"/>
            <w:color w:val="000000" w:themeColor="text1"/>
            <w:sz w:val="18"/>
            <w:szCs w:val="18"/>
          </w:rPr>
          <w:t>http://www.investopedia.com/university/concepts/concepts1.asp#ixzz4vbMgu1ER</w:t>
        </w:r>
      </w:hyperlink>
      <w:r w:rsidRPr="00DE065D">
        <w:rPr>
          <w:rFonts w:ascii="Times New Roman" w:hAnsi="Times New Roman" w:cs="Times New Roman"/>
          <w:color w:val="000000" w:themeColor="text1"/>
          <w:sz w:val="18"/>
          <w:szCs w:val="18"/>
        </w:rPr>
        <w:t> </w:t>
      </w:r>
    </w:p>
    <w:p w:rsidR="0060665D" w:rsidRPr="00DE065D" w:rsidRDefault="009611D2"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[6] </w:t>
      </w:r>
      <w:r w:rsidRPr="00DE065D">
        <w:rPr>
          <w:rFonts w:ascii="Times New Roman" w:hAnsi="Times New Roman" w:cs="Times New Roman"/>
          <w:b/>
          <w:color w:val="000000" w:themeColor="text1"/>
          <w:sz w:val="18"/>
          <w:szCs w:val="18"/>
        </w:rPr>
        <w:t>5 major crashes in Bitcoin history</w:t>
      </w:r>
      <w:r w:rsidRPr="00DE065D">
        <w:rPr>
          <w:rFonts w:ascii="Times New Roman" w:hAnsi="Times New Roman" w:cs="Times New Roman"/>
          <w:color w:val="000000" w:themeColor="text1"/>
          <w:sz w:val="18"/>
          <w:szCs w:val="18"/>
        </w:rPr>
        <w:t>. http://fortune.com/2017/09/18/bitcoin-crash-history</w:t>
      </w:r>
      <w:proofErr w:type="gramStart"/>
      <w:r w:rsidRPr="00DE065D">
        <w:rPr>
          <w:rFonts w:ascii="Times New Roman" w:hAnsi="Times New Roman" w:cs="Times New Roman"/>
          <w:color w:val="000000" w:themeColor="text1"/>
          <w:sz w:val="18"/>
          <w:szCs w:val="18"/>
        </w:rPr>
        <w:t>/</w:t>
      </w:r>
      <w:proofErr w:type="gramEnd"/>
      <w:r w:rsidR="00653F5D" w:rsidRPr="00DE065D">
        <w:rPr>
          <w:rFonts w:ascii="Times New Roman" w:hAnsi="Times New Roman" w:cs="Times New Roman"/>
          <w:color w:val="000000" w:themeColor="text1"/>
          <w:sz w:val="18"/>
          <w:szCs w:val="18"/>
        </w:rPr>
        <w:br/>
      </w:r>
      <w:r w:rsidR="004114F5" w:rsidRPr="00DE065D">
        <w:rPr>
          <w:rFonts w:ascii="Times New Roman" w:hAnsi="Times New Roman" w:cs="Times New Roman"/>
          <w:color w:val="000000" w:themeColor="text1"/>
          <w:sz w:val="18"/>
          <w:szCs w:val="18"/>
        </w:rPr>
        <w:br/>
      </w:r>
      <w:r w:rsidR="005F0AA4" w:rsidRPr="00DE065D">
        <w:rPr>
          <w:rFonts w:ascii="Times New Roman" w:eastAsia="Times New Roman" w:hAnsi="Times New Roman" w:cs="Times New Roman"/>
          <w:color w:val="000000" w:themeColor="text1"/>
          <w:sz w:val="18"/>
          <w:szCs w:val="18"/>
        </w:rPr>
        <w:t xml:space="preserve">[7] </w:t>
      </w:r>
      <w:r w:rsidR="005F0AA4" w:rsidRPr="00DE065D">
        <w:rPr>
          <w:rFonts w:ascii="Times New Roman" w:hAnsi="Times New Roman" w:cs="Times New Roman"/>
          <w:b/>
          <w:color w:val="000000" w:themeColor="text1"/>
          <w:sz w:val="18"/>
          <w:szCs w:val="18"/>
        </w:rPr>
        <w:t>Options: Calls and Puts</w:t>
      </w:r>
      <w:r w:rsidR="005F0AA4" w:rsidRPr="00DE065D">
        <w:rPr>
          <w:rFonts w:ascii="Times New Roman" w:hAnsi="Times New Roman" w:cs="Times New Roman"/>
          <w:color w:val="000000" w:themeColor="text1"/>
          <w:sz w:val="18"/>
          <w:szCs w:val="18"/>
        </w:rPr>
        <w:t xml:space="preserve"> </w:t>
      </w:r>
      <w:hyperlink r:id="rId35" w:anchor="ixzz4vakZ5vf0" w:history="1">
        <w:r w:rsidR="00BB3992" w:rsidRPr="00DE065D">
          <w:rPr>
            <w:rStyle w:val="Hyperlink"/>
            <w:rFonts w:ascii="Times New Roman" w:hAnsi="Times New Roman" w:cs="Times New Roman"/>
            <w:color w:val="000000" w:themeColor="text1"/>
            <w:sz w:val="18"/>
            <w:szCs w:val="18"/>
            <w:u w:val="none"/>
          </w:rPr>
          <w:t>http://www.investopedia.com/exam-guide/cfa-level-1/derivatives/options-calls-puts.asp#ixzz4vakZ5vf0</w:t>
        </w:r>
      </w:hyperlink>
    </w:p>
    <w:p w:rsidR="006062D6" w:rsidRPr="00DE065D" w:rsidRDefault="006062D6"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[8]</w:t>
      </w:r>
      <w:r w:rsidRPr="00DE065D">
        <w:rPr>
          <w:rFonts w:ascii="Times New Roman" w:hAnsi="Times New Roman" w:cs="Times New Roman"/>
          <w:b/>
          <w:color w:val="000000" w:themeColor="text1"/>
          <w:sz w:val="18"/>
          <w:szCs w:val="18"/>
        </w:rPr>
        <w:t>Call premium calculation</w:t>
      </w:r>
      <w:r w:rsidRPr="00DE065D">
        <w:rPr>
          <w:rFonts w:ascii="Times New Roman" w:hAnsi="Times New Roman" w:cs="Times New Roman"/>
          <w:color w:val="000000" w:themeColor="text1"/>
          <w:sz w:val="18"/>
          <w:szCs w:val="18"/>
        </w:rPr>
        <w:t>: http://www.macroption.com/black-scholes-formula/</w:t>
      </w:r>
    </w:p>
    <w:p w:rsidR="00BB3992"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[9</w:t>
      </w:r>
      <w:r w:rsidR="00BB3992" w:rsidRPr="00DE065D">
        <w:rPr>
          <w:rFonts w:ascii="Times New Roman" w:hAnsi="Times New Roman" w:cs="Times New Roman"/>
          <w:color w:val="000000" w:themeColor="text1"/>
          <w:sz w:val="18"/>
          <w:szCs w:val="18"/>
        </w:rPr>
        <w:t xml:space="preserve">] </w:t>
      </w:r>
      <w:r w:rsidR="00BB3992" w:rsidRPr="00DE065D">
        <w:rPr>
          <w:rFonts w:ascii="Times New Roman" w:hAnsi="Times New Roman" w:cs="Times New Roman"/>
          <w:b/>
          <w:bCs/>
          <w:color w:val="000000" w:themeColor="text1"/>
          <w:sz w:val="18"/>
          <w:szCs w:val="18"/>
        </w:rPr>
        <w:t>The Bell Journal of Economics and Management Science</w:t>
      </w:r>
      <w:r w:rsidR="00BB3992" w:rsidRPr="00DE065D">
        <w:rPr>
          <w:rFonts w:ascii="Times New Roman" w:hAnsi="Times New Roman" w:cs="Times New Roman"/>
          <w:color w:val="000000" w:themeColor="text1"/>
          <w:sz w:val="18"/>
          <w:szCs w:val="18"/>
        </w:rPr>
        <w:t>, Vol. 4, No. 1. (</w:t>
      </w:r>
      <w:proofErr w:type="gramStart"/>
      <w:r w:rsidR="00BB3992" w:rsidRPr="00DE065D">
        <w:rPr>
          <w:rFonts w:ascii="Times New Roman" w:hAnsi="Times New Roman" w:cs="Times New Roman"/>
          <w:color w:val="000000" w:themeColor="text1"/>
          <w:sz w:val="18"/>
          <w:szCs w:val="18"/>
        </w:rPr>
        <w:t>Spring</w:t>
      </w:r>
      <w:proofErr w:type="gramEnd"/>
      <w:r w:rsidR="00BB3992" w:rsidRPr="00DE065D">
        <w:rPr>
          <w:rFonts w:ascii="Times New Roman" w:hAnsi="Times New Roman" w:cs="Times New Roman"/>
          <w:color w:val="000000" w:themeColor="text1"/>
          <w:sz w:val="18"/>
          <w:szCs w:val="18"/>
        </w:rPr>
        <w:t>, 1973), pp. 141-183</w:t>
      </w:r>
    </w:p>
    <w:p w:rsidR="005923E2"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[10</w:t>
      </w:r>
      <w:r w:rsidR="005923E2" w:rsidRPr="00DE065D">
        <w:rPr>
          <w:rFonts w:ascii="Times New Roman" w:hAnsi="Times New Roman" w:cs="Times New Roman"/>
          <w:color w:val="000000" w:themeColor="text1"/>
          <w:sz w:val="18"/>
          <w:szCs w:val="18"/>
        </w:rPr>
        <w:t xml:space="preserve">] </w:t>
      </w:r>
      <w:r w:rsidR="005923E2" w:rsidRPr="00DE065D">
        <w:rPr>
          <w:rFonts w:ascii="Times New Roman" w:hAnsi="Times New Roman" w:cs="Times New Roman"/>
          <w:b/>
          <w:color w:val="000000" w:themeColor="text1"/>
          <w:sz w:val="18"/>
          <w:szCs w:val="18"/>
        </w:rPr>
        <w:t>Delta breakdown</w:t>
      </w:r>
      <w:r w:rsidR="005923E2" w:rsidRPr="00DE065D">
        <w:rPr>
          <w:rFonts w:ascii="Times New Roman" w:hAnsi="Times New Roman" w:cs="Times New Roman"/>
          <w:color w:val="000000" w:themeColor="text1"/>
          <w:sz w:val="18"/>
          <w:szCs w:val="18"/>
        </w:rPr>
        <w:t xml:space="preserve">: </w:t>
      </w:r>
      <w:hyperlink r:id="rId36" w:anchor="ixzz4wxENfJf7" w:history="1">
        <w:r w:rsidR="005923E2" w:rsidRPr="00DE065D">
          <w:rPr>
            <w:rStyle w:val="Hyperlink"/>
            <w:rFonts w:ascii="Times New Roman" w:hAnsi="Times New Roman" w:cs="Times New Roman"/>
            <w:color w:val="000000" w:themeColor="text1"/>
            <w:sz w:val="18"/>
            <w:szCs w:val="18"/>
            <w:u w:val="none"/>
          </w:rPr>
          <w:t>Delta</w:t>
        </w:r>
      </w:hyperlink>
      <w:r w:rsidR="005923E2" w:rsidRPr="00DE065D">
        <w:rPr>
          <w:rFonts w:ascii="Times New Roman" w:hAnsi="Times New Roman" w:cs="Times New Roman"/>
          <w:color w:val="000000" w:themeColor="text1"/>
          <w:sz w:val="18"/>
          <w:szCs w:val="18"/>
        </w:rPr>
        <w:t> </w:t>
      </w:r>
      <w:hyperlink r:id="rId37" w:anchor="ixzz4wxENfJf7" w:history="1">
        <w:r w:rsidR="005923E2" w:rsidRPr="00DE065D">
          <w:rPr>
            <w:rStyle w:val="Hyperlink"/>
            <w:rFonts w:ascii="Times New Roman" w:hAnsi="Times New Roman" w:cs="Times New Roman"/>
            <w:color w:val="000000" w:themeColor="text1"/>
            <w:sz w:val="18"/>
            <w:szCs w:val="18"/>
            <w:u w:val="none"/>
          </w:rPr>
          <w:t>http://www.investopedia.com/terms/d/delta.asp#ixzz4wxENfJf7</w:t>
        </w:r>
      </w:hyperlink>
    </w:p>
    <w:p w:rsidR="003543D0"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shd w:val="clear" w:color="auto" w:fill="FFFFFF"/>
        </w:rPr>
        <w:t>[11</w:t>
      </w:r>
      <w:r w:rsidRPr="00DE065D">
        <w:rPr>
          <w:rFonts w:ascii="Times New Roman" w:hAnsi="Times New Roman" w:cs="Times New Roman"/>
          <w:b/>
          <w:color w:val="000000" w:themeColor="text1"/>
          <w:sz w:val="18"/>
          <w:szCs w:val="18"/>
          <w:shd w:val="clear" w:color="auto" w:fill="FFFFFF"/>
        </w:rPr>
        <w:t xml:space="preserve">] </w:t>
      </w:r>
      <w:r w:rsidR="003543D0" w:rsidRPr="00DE065D">
        <w:rPr>
          <w:rFonts w:ascii="Times New Roman" w:hAnsi="Times New Roman" w:cs="Times New Roman"/>
          <w:b/>
          <w:color w:val="000000" w:themeColor="text1"/>
          <w:sz w:val="18"/>
          <w:szCs w:val="18"/>
          <w:shd w:val="clear" w:color="auto" w:fill="FFFFFF"/>
        </w:rPr>
        <w:t xml:space="preserve">Madura, J. (1984). </w:t>
      </w:r>
      <w:r w:rsidR="003543D0" w:rsidRPr="00DE065D">
        <w:rPr>
          <w:rFonts w:ascii="Times New Roman" w:hAnsi="Times New Roman" w:cs="Times New Roman"/>
          <w:color w:val="000000" w:themeColor="text1"/>
          <w:sz w:val="18"/>
          <w:szCs w:val="18"/>
          <w:shd w:val="clear" w:color="auto" w:fill="FFFFFF"/>
        </w:rPr>
        <w:t>The Real Costs of Hedging in the Forward Exchange Market: An Empirical Investigation. </w:t>
      </w:r>
      <w:r w:rsidR="003543D0" w:rsidRPr="00DE065D">
        <w:rPr>
          <w:rFonts w:ascii="Times New Roman" w:hAnsi="Times New Roman" w:cs="Times New Roman"/>
          <w:i/>
          <w:iCs/>
          <w:color w:val="000000" w:themeColor="text1"/>
          <w:sz w:val="18"/>
          <w:szCs w:val="18"/>
          <w:shd w:val="clear" w:color="auto" w:fill="FFFFFF"/>
        </w:rPr>
        <w:t>Management International Review,</w:t>
      </w:r>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24</w:t>
      </w:r>
      <w:r w:rsidR="003543D0" w:rsidRPr="00DE065D">
        <w:rPr>
          <w:rFonts w:ascii="Times New Roman" w:hAnsi="Times New Roman" w:cs="Times New Roman"/>
          <w:color w:val="000000" w:themeColor="text1"/>
          <w:sz w:val="18"/>
          <w:szCs w:val="18"/>
          <w:shd w:val="clear" w:color="auto" w:fill="FFFFFF"/>
        </w:rPr>
        <w:t>(2), 24-27</w:t>
      </w:r>
    </w:p>
    <w:p w:rsidR="0060665D" w:rsidRPr="00DE065D" w:rsidRDefault="00F914AC" w:rsidP="003543D0">
      <w:pPr>
        <w:rPr>
          <w:rFonts w:ascii="Times New Roman" w:hAnsi="Times New Roman" w:cs="Times New Roman"/>
          <w:color w:val="000000" w:themeColor="text1"/>
          <w:sz w:val="18"/>
          <w:szCs w:val="18"/>
          <w:shd w:val="clear" w:color="auto" w:fill="FFFFFF"/>
        </w:rPr>
      </w:pPr>
      <w:r w:rsidRPr="00DE065D">
        <w:rPr>
          <w:rFonts w:ascii="Times New Roman" w:hAnsi="Times New Roman" w:cs="Times New Roman"/>
          <w:color w:val="000000" w:themeColor="text1"/>
          <w:sz w:val="18"/>
          <w:szCs w:val="18"/>
          <w:shd w:val="clear" w:color="auto" w:fill="FFFFFF"/>
        </w:rPr>
        <w:t xml:space="preserve">[12] </w:t>
      </w:r>
      <w:r w:rsidR="006062D6" w:rsidRPr="00DE065D">
        <w:rPr>
          <w:rFonts w:ascii="Times New Roman" w:hAnsi="Times New Roman" w:cs="Times New Roman"/>
          <w:b/>
          <w:color w:val="000000" w:themeColor="text1"/>
          <w:sz w:val="18"/>
          <w:szCs w:val="18"/>
          <w:shd w:val="clear" w:color="auto" w:fill="FFFFFF"/>
        </w:rPr>
        <w:t xml:space="preserve">Kim, H., </w:t>
      </w:r>
      <w:proofErr w:type="spellStart"/>
      <w:r w:rsidR="006062D6" w:rsidRPr="00DE065D">
        <w:rPr>
          <w:rFonts w:ascii="Times New Roman" w:hAnsi="Times New Roman" w:cs="Times New Roman"/>
          <w:b/>
          <w:color w:val="000000" w:themeColor="text1"/>
          <w:sz w:val="18"/>
          <w:szCs w:val="18"/>
          <w:shd w:val="clear" w:color="auto" w:fill="FFFFFF"/>
        </w:rPr>
        <w:t>Brorsen</w:t>
      </w:r>
      <w:proofErr w:type="spellEnd"/>
      <w:r w:rsidR="006062D6" w:rsidRPr="00DE065D">
        <w:rPr>
          <w:rFonts w:ascii="Times New Roman" w:hAnsi="Times New Roman" w:cs="Times New Roman"/>
          <w:b/>
          <w:color w:val="000000" w:themeColor="text1"/>
          <w:sz w:val="18"/>
          <w:szCs w:val="18"/>
          <w:shd w:val="clear" w:color="auto" w:fill="FFFFFF"/>
        </w:rPr>
        <w:t>, B., &amp; Anderson, K. (2010).</w:t>
      </w:r>
      <w:r w:rsidR="006062D6" w:rsidRPr="00DE065D">
        <w:rPr>
          <w:rFonts w:ascii="Times New Roman" w:hAnsi="Times New Roman" w:cs="Times New Roman"/>
          <w:color w:val="000000" w:themeColor="text1"/>
          <w:sz w:val="18"/>
          <w:szCs w:val="18"/>
          <w:shd w:val="clear" w:color="auto" w:fill="FFFFFF"/>
        </w:rPr>
        <w:t xml:space="preserve"> </w:t>
      </w:r>
      <w:proofErr w:type="gramStart"/>
      <w:r w:rsidR="006062D6" w:rsidRPr="00DE065D">
        <w:rPr>
          <w:rFonts w:ascii="Times New Roman" w:hAnsi="Times New Roman" w:cs="Times New Roman"/>
          <w:color w:val="000000" w:themeColor="text1"/>
          <w:sz w:val="18"/>
          <w:szCs w:val="18"/>
          <w:shd w:val="clear" w:color="auto" w:fill="FFFFFF"/>
        </w:rPr>
        <w:t>Profit Margin Hedging.</w:t>
      </w:r>
      <w:proofErr w:type="gramEnd"/>
      <w:r w:rsidR="006062D6" w:rsidRPr="00DE065D">
        <w:rPr>
          <w:rFonts w:ascii="Times New Roman" w:hAnsi="Times New Roman" w:cs="Times New Roman"/>
          <w:color w:val="000000" w:themeColor="text1"/>
          <w:sz w:val="18"/>
          <w:szCs w:val="18"/>
          <w:shd w:val="clear" w:color="auto" w:fill="FFFFFF"/>
        </w:rPr>
        <w:t> </w:t>
      </w:r>
      <w:r w:rsidR="006062D6" w:rsidRPr="00DE065D">
        <w:rPr>
          <w:rFonts w:ascii="Times New Roman" w:hAnsi="Times New Roman" w:cs="Times New Roman"/>
          <w:i/>
          <w:iCs/>
          <w:color w:val="000000" w:themeColor="text1"/>
          <w:sz w:val="18"/>
          <w:szCs w:val="18"/>
          <w:shd w:val="clear" w:color="auto" w:fill="FFFFFF"/>
        </w:rPr>
        <w:t>American Journal of Agricultural Economics,</w:t>
      </w:r>
      <w:r w:rsidR="006062D6" w:rsidRPr="00DE065D">
        <w:rPr>
          <w:rFonts w:ascii="Times New Roman" w:hAnsi="Times New Roman" w:cs="Times New Roman"/>
          <w:color w:val="000000" w:themeColor="text1"/>
          <w:sz w:val="18"/>
          <w:szCs w:val="18"/>
          <w:shd w:val="clear" w:color="auto" w:fill="FFFFFF"/>
        </w:rPr>
        <w:t> </w:t>
      </w:r>
      <w:r w:rsidR="006062D6" w:rsidRPr="00DE065D">
        <w:rPr>
          <w:rFonts w:ascii="Times New Roman" w:hAnsi="Times New Roman" w:cs="Times New Roman"/>
          <w:i/>
          <w:iCs/>
          <w:color w:val="000000" w:themeColor="text1"/>
          <w:sz w:val="18"/>
          <w:szCs w:val="18"/>
          <w:shd w:val="clear" w:color="auto" w:fill="FFFFFF"/>
        </w:rPr>
        <w:t>92</w:t>
      </w:r>
      <w:r w:rsidR="006062D6" w:rsidRPr="00DE065D">
        <w:rPr>
          <w:rFonts w:ascii="Times New Roman" w:hAnsi="Times New Roman" w:cs="Times New Roman"/>
          <w:color w:val="000000" w:themeColor="text1"/>
          <w:sz w:val="18"/>
          <w:szCs w:val="18"/>
          <w:shd w:val="clear" w:color="auto" w:fill="FFFFFF"/>
        </w:rPr>
        <w:t>(3), 638-653.</w:t>
      </w:r>
    </w:p>
    <w:p w:rsidR="006062D6" w:rsidRPr="00DE065D" w:rsidRDefault="00F914AC" w:rsidP="003543D0">
      <w:pPr>
        <w:rPr>
          <w:rFonts w:ascii="Times New Roman" w:hAnsi="Times New Roman" w:cs="Times New Roman"/>
          <w:color w:val="000000" w:themeColor="text1"/>
          <w:sz w:val="18"/>
          <w:szCs w:val="18"/>
          <w:shd w:val="clear" w:color="auto" w:fill="FFFFFF"/>
        </w:rPr>
      </w:pPr>
      <w:r w:rsidRPr="00DE065D">
        <w:rPr>
          <w:rFonts w:ascii="Times New Roman" w:hAnsi="Times New Roman" w:cs="Times New Roman"/>
          <w:color w:val="000000" w:themeColor="text1"/>
          <w:sz w:val="18"/>
          <w:szCs w:val="18"/>
          <w:shd w:val="clear" w:color="auto" w:fill="FFFFFF"/>
        </w:rPr>
        <w:t xml:space="preserve">[13] </w:t>
      </w:r>
      <w:r w:rsidR="003543D0" w:rsidRPr="00DE065D">
        <w:rPr>
          <w:rFonts w:ascii="Times New Roman" w:hAnsi="Times New Roman" w:cs="Times New Roman"/>
          <w:b/>
          <w:color w:val="000000" w:themeColor="text1"/>
          <w:sz w:val="18"/>
          <w:szCs w:val="18"/>
          <w:shd w:val="clear" w:color="auto" w:fill="FFFFFF"/>
        </w:rPr>
        <w:t>CAMPELLO, M., LIN, C., MA, Y., &amp; ZOU, H. (2011).</w:t>
      </w:r>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The Real and Financial Implications of Corporate Hedging.</w:t>
      </w:r>
      <w:proofErr w:type="gramEnd"/>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The Journal of Finance,</w:t>
      </w:r>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66</w:t>
      </w:r>
      <w:r w:rsidR="003543D0" w:rsidRPr="00DE065D">
        <w:rPr>
          <w:rFonts w:ascii="Times New Roman" w:hAnsi="Times New Roman" w:cs="Times New Roman"/>
          <w:color w:val="000000" w:themeColor="text1"/>
          <w:sz w:val="18"/>
          <w:szCs w:val="18"/>
          <w:shd w:val="clear" w:color="auto" w:fill="FFFFFF"/>
        </w:rPr>
        <w:t>(5), 1615-1647.</w:t>
      </w:r>
    </w:p>
    <w:p w:rsidR="003543D0" w:rsidRPr="00DE065D" w:rsidRDefault="00F914AC" w:rsidP="003543D0">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shd w:val="clear" w:color="auto" w:fill="FFFFFF"/>
        </w:rPr>
        <w:t xml:space="preserve">[14] </w:t>
      </w:r>
      <w:proofErr w:type="spellStart"/>
      <w:r w:rsidR="003543D0" w:rsidRPr="00DE065D">
        <w:rPr>
          <w:rFonts w:ascii="Times New Roman" w:hAnsi="Times New Roman" w:cs="Times New Roman"/>
          <w:b/>
          <w:color w:val="000000" w:themeColor="text1"/>
          <w:sz w:val="18"/>
          <w:szCs w:val="18"/>
          <w:shd w:val="clear" w:color="auto" w:fill="FFFFFF"/>
        </w:rPr>
        <w:t>Rustem</w:t>
      </w:r>
      <w:proofErr w:type="spellEnd"/>
      <w:r w:rsidR="003543D0" w:rsidRPr="00DE065D">
        <w:rPr>
          <w:rFonts w:ascii="Times New Roman" w:hAnsi="Times New Roman" w:cs="Times New Roman"/>
          <w:b/>
          <w:color w:val="000000" w:themeColor="text1"/>
          <w:sz w:val="18"/>
          <w:szCs w:val="18"/>
          <w:shd w:val="clear" w:color="auto" w:fill="FFFFFF"/>
        </w:rPr>
        <w:t>, B., &amp; Howe, M. (2002).</w:t>
      </w:r>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 xml:space="preserve">A continuous </w:t>
      </w:r>
      <w:proofErr w:type="spellStart"/>
      <w:r w:rsidR="003543D0" w:rsidRPr="00DE065D">
        <w:rPr>
          <w:rFonts w:ascii="Times New Roman" w:hAnsi="Times New Roman" w:cs="Times New Roman"/>
          <w:color w:val="000000" w:themeColor="text1"/>
          <w:sz w:val="18"/>
          <w:szCs w:val="18"/>
          <w:shd w:val="clear" w:color="auto" w:fill="FFFFFF"/>
        </w:rPr>
        <w:t>minimax</w:t>
      </w:r>
      <w:proofErr w:type="spellEnd"/>
      <w:r w:rsidR="003543D0" w:rsidRPr="00DE065D">
        <w:rPr>
          <w:rFonts w:ascii="Times New Roman" w:hAnsi="Times New Roman" w:cs="Times New Roman"/>
          <w:color w:val="000000" w:themeColor="text1"/>
          <w:sz w:val="18"/>
          <w:szCs w:val="18"/>
          <w:shd w:val="clear" w:color="auto" w:fill="FFFFFF"/>
        </w:rPr>
        <w:t xml:space="preserve"> strategy for options hedging.</w:t>
      </w:r>
      <w:proofErr w:type="gramEnd"/>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In </w:t>
      </w:r>
      <w:r w:rsidR="003543D0" w:rsidRPr="00DE065D">
        <w:rPr>
          <w:rFonts w:ascii="Times New Roman" w:hAnsi="Times New Roman" w:cs="Times New Roman"/>
          <w:i/>
          <w:iCs/>
          <w:color w:val="000000" w:themeColor="text1"/>
          <w:sz w:val="18"/>
          <w:szCs w:val="18"/>
          <w:shd w:val="clear" w:color="auto" w:fill="FFFFFF"/>
        </w:rPr>
        <w:t>Algorithms for Worst-Case Design and Applications to Risk Management</w:t>
      </w:r>
      <w:r w:rsidR="003543D0" w:rsidRPr="00DE065D">
        <w:rPr>
          <w:rFonts w:ascii="Times New Roman" w:hAnsi="Times New Roman" w:cs="Times New Roman"/>
          <w:color w:val="000000" w:themeColor="text1"/>
          <w:sz w:val="18"/>
          <w:szCs w:val="18"/>
          <w:shd w:val="clear" w:color="auto" w:fill="FFFFFF"/>
        </w:rPr>
        <w:t> (pp. 179-246).</w:t>
      </w:r>
      <w:proofErr w:type="gramEnd"/>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Princeton University Press.</w:t>
      </w:r>
      <w:proofErr w:type="gramEnd"/>
    </w:p>
    <w:sectPr w:rsidR="003543D0" w:rsidRPr="00DE065D" w:rsidSect="0045303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2243"/>
    <w:multiLevelType w:val="hybridMultilevel"/>
    <w:tmpl w:val="EA9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A4AE8"/>
    <w:multiLevelType w:val="hybridMultilevel"/>
    <w:tmpl w:val="12C6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A2367"/>
    <w:multiLevelType w:val="hybridMultilevel"/>
    <w:tmpl w:val="CE1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5BD"/>
    <w:rsid w:val="00054B17"/>
    <w:rsid w:val="00074985"/>
    <w:rsid w:val="000775BD"/>
    <w:rsid w:val="000C05EE"/>
    <w:rsid w:val="00101363"/>
    <w:rsid w:val="00132944"/>
    <w:rsid w:val="00133B03"/>
    <w:rsid w:val="0014578B"/>
    <w:rsid w:val="00152EB1"/>
    <w:rsid w:val="00210D09"/>
    <w:rsid w:val="002518CC"/>
    <w:rsid w:val="002576A6"/>
    <w:rsid w:val="002778F6"/>
    <w:rsid w:val="002F4051"/>
    <w:rsid w:val="0031208A"/>
    <w:rsid w:val="003543D0"/>
    <w:rsid w:val="00387CB7"/>
    <w:rsid w:val="003C17B1"/>
    <w:rsid w:val="003D246C"/>
    <w:rsid w:val="003F4D53"/>
    <w:rsid w:val="0041144F"/>
    <w:rsid w:val="004114F5"/>
    <w:rsid w:val="00453035"/>
    <w:rsid w:val="00473EDB"/>
    <w:rsid w:val="004B62D0"/>
    <w:rsid w:val="00523CA0"/>
    <w:rsid w:val="00562470"/>
    <w:rsid w:val="005923E2"/>
    <w:rsid w:val="005C152D"/>
    <w:rsid w:val="005D5070"/>
    <w:rsid w:val="005F0AA4"/>
    <w:rsid w:val="006062D6"/>
    <w:rsid w:val="0060665D"/>
    <w:rsid w:val="0063079A"/>
    <w:rsid w:val="00653F5D"/>
    <w:rsid w:val="00691C15"/>
    <w:rsid w:val="006B6ACF"/>
    <w:rsid w:val="007003AA"/>
    <w:rsid w:val="00742CC4"/>
    <w:rsid w:val="00743BE4"/>
    <w:rsid w:val="007D0599"/>
    <w:rsid w:val="007D1434"/>
    <w:rsid w:val="007D30E5"/>
    <w:rsid w:val="007E5853"/>
    <w:rsid w:val="007E72BC"/>
    <w:rsid w:val="00804B7B"/>
    <w:rsid w:val="008125A7"/>
    <w:rsid w:val="0081278A"/>
    <w:rsid w:val="00836B6E"/>
    <w:rsid w:val="0086584E"/>
    <w:rsid w:val="0088295A"/>
    <w:rsid w:val="008835BD"/>
    <w:rsid w:val="008C2E30"/>
    <w:rsid w:val="009004AF"/>
    <w:rsid w:val="00943B8A"/>
    <w:rsid w:val="0094446F"/>
    <w:rsid w:val="009611D2"/>
    <w:rsid w:val="009C5075"/>
    <w:rsid w:val="00A416E6"/>
    <w:rsid w:val="00A64AA2"/>
    <w:rsid w:val="00AA060C"/>
    <w:rsid w:val="00AB1ECD"/>
    <w:rsid w:val="00AE58F4"/>
    <w:rsid w:val="00B34942"/>
    <w:rsid w:val="00BB3992"/>
    <w:rsid w:val="00BB4414"/>
    <w:rsid w:val="00C77C03"/>
    <w:rsid w:val="00D0328F"/>
    <w:rsid w:val="00D361AA"/>
    <w:rsid w:val="00D372B5"/>
    <w:rsid w:val="00D570A8"/>
    <w:rsid w:val="00DA2859"/>
    <w:rsid w:val="00DC7E5F"/>
    <w:rsid w:val="00DE065D"/>
    <w:rsid w:val="00DE27A8"/>
    <w:rsid w:val="00E27E28"/>
    <w:rsid w:val="00E45DD8"/>
    <w:rsid w:val="00E5125B"/>
    <w:rsid w:val="00E73F3E"/>
    <w:rsid w:val="00EA46F6"/>
    <w:rsid w:val="00EC5F9B"/>
    <w:rsid w:val="00ED1A4E"/>
    <w:rsid w:val="00ED3ACD"/>
    <w:rsid w:val="00EE4C81"/>
    <w:rsid w:val="00EE7528"/>
    <w:rsid w:val="00F51979"/>
    <w:rsid w:val="00F914AC"/>
    <w:rsid w:val="00F94F27"/>
    <w:rsid w:val="00FD2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9A"/>
  </w:style>
  <w:style w:type="paragraph" w:styleId="Heading1">
    <w:name w:val="heading 1"/>
    <w:basedOn w:val="Normal"/>
    <w:next w:val="Normal"/>
    <w:link w:val="Heading1Char"/>
    <w:uiPriority w:val="9"/>
    <w:qFormat/>
    <w:rsid w:val="00F94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3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D09"/>
    <w:rPr>
      <w:color w:val="0000FF" w:themeColor="hyperlink"/>
      <w:u w:val="single"/>
    </w:rPr>
  </w:style>
  <w:style w:type="character" w:customStyle="1" w:styleId="Heading1Char">
    <w:name w:val="Heading 1 Char"/>
    <w:basedOn w:val="DefaultParagraphFont"/>
    <w:link w:val="Heading1"/>
    <w:uiPriority w:val="9"/>
    <w:rsid w:val="00F94F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3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530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035"/>
    <w:rPr>
      <w:rFonts w:ascii="Tahoma" w:hAnsi="Tahoma" w:cs="Tahoma"/>
      <w:sz w:val="16"/>
      <w:szCs w:val="16"/>
    </w:rPr>
  </w:style>
  <w:style w:type="character" w:customStyle="1" w:styleId="Heading3Char">
    <w:name w:val="Heading 3 Char"/>
    <w:basedOn w:val="DefaultParagraphFont"/>
    <w:link w:val="Heading3"/>
    <w:uiPriority w:val="9"/>
    <w:rsid w:val="00BB39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3992"/>
    <w:rPr>
      <w:b/>
      <w:bCs/>
    </w:rPr>
  </w:style>
  <w:style w:type="table" w:styleId="TableGrid">
    <w:name w:val="Table Grid"/>
    <w:basedOn w:val="TableNormal"/>
    <w:uiPriority w:val="59"/>
    <w:rsid w:val="00A416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F5D"/>
    <w:pPr>
      <w:ind w:left="720"/>
      <w:contextualSpacing/>
    </w:pPr>
  </w:style>
  <w:style w:type="paragraph" w:styleId="TOCHeading">
    <w:name w:val="TOC Heading"/>
    <w:basedOn w:val="Heading1"/>
    <w:next w:val="Normal"/>
    <w:uiPriority w:val="39"/>
    <w:semiHidden/>
    <w:unhideWhenUsed/>
    <w:qFormat/>
    <w:rsid w:val="005D5070"/>
    <w:pPr>
      <w:outlineLvl w:val="9"/>
    </w:pPr>
  </w:style>
  <w:style w:type="paragraph" w:styleId="TOC1">
    <w:name w:val="toc 1"/>
    <w:basedOn w:val="Normal"/>
    <w:next w:val="Normal"/>
    <w:autoRedefine/>
    <w:uiPriority w:val="39"/>
    <w:unhideWhenUsed/>
    <w:rsid w:val="005D5070"/>
    <w:pPr>
      <w:spacing w:after="100"/>
    </w:pPr>
  </w:style>
  <w:style w:type="paragraph" w:styleId="TOC2">
    <w:name w:val="toc 2"/>
    <w:basedOn w:val="Normal"/>
    <w:next w:val="Normal"/>
    <w:autoRedefine/>
    <w:uiPriority w:val="39"/>
    <w:unhideWhenUsed/>
    <w:rsid w:val="005D5070"/>
    <w:pPr>
      <w:spacing w:after="100"/>
      <w:ind w:left="220"/>
    </w:pPr>
  </w:style>
  <w:style w:type="paragraph" w:styleId="TOC3">
    <w:name w:val="toc 3"/>
    <w:basedOn w:val="Normal"/>
    <w:next w:val="Normal"/>
    <w:autoRedefine/>
    <w:uiPriority w:val="39"/>
    <w:unhideWhenUsed/>
    <w:rsid w:val="005D5070"/>
    <w:pPr>
      <w:spacing w:after="100"/>
      <w:ind w:left="440"/>
    </w:pPr>
  </w:style>
  <w:style w:type="character" w:styleId="Emphasis">
    <w:name w:val="Emphasis"/>
    <w:basedOn w:val="DefaultParagraphFont"/>
    <w:uiPriority w:val="20"/>
    <w:qFormat/>
    <w:rsid w:val="000775BD"/>
    <w:rPr>
      <w:i/>
      <w:iCs/>
    </w:rPr>
  </w:style>
  <w:style w:type="character" w:styleId="PlaceholderText">
    <w:name w:val="Placeholder Text"/>
    <w:basedOn w:val="DefaultParagraphFont"/>
    <w:uiPriority w:val="99"/>
    <w:semiHidden/>
    <w:rsid w:val="00ED1A4E"/>
    <w:rPr>
      <w:color w:val="808080"/>
    </w:rPr>
  </w:style>
</w:styles>
</file>

<file path=word/webSettings.xml><?xml version="1.0" encoding="utf-8"?>
<w:webSettings xmlns:r="http://schemas.openxmlformats.org/officeDocument/2006/relationships" xmlns:w="http://schemas.openxmlformats.org/wordprocessingml/2006/main">
  <w:divs>
    <w:div w:id="130904577">
      <w:bodyDiv w:val="1"/>
      <w:marLeft w:val="0"/>
      <w:marRight w:val="0"/>
      <w:marTop w:val="0"/>
      <w:marBottom w:val="0"/>
      <w:divBdr>
        <w:top w:val="none" w:sz="0" w:space="0" w:color="auto"/>
        <w:left w:val="none" w:sz="0" w:space="0" w:color="auto"/>
        <w:bottom w:val="none" w:sz="0" w:space="0" w:color="auto"/>
        <w:right w:val="none" w:sz="0" w:space="0" w:color="auto"/>
      </w:divBdr>
    </w:div>
    <w:div w:id="388111955">
      <w:bodyDiv w:val="1"/>
      <w:marLeft w:val="0"/>
      <w:marRight w:val="0"/>
      <w:marTop w:val="0"/>
      <w:marBottom w:val="0"/>
      <w:divBdr>
        <w:top w:val="none" w:sz="0" w:space="0" w:color="auto"/>
        <w:left w:val="none" w:sz="0" w:space="0" w:color="auto"/>
        <w:bottom w:val="none" w:sz="0" w:space="0" w:color="auto"/>
        <w:right w:val="none" w:sz="0" w:space="0" w:color="auto"/>
      </w:divBdr>
    </w:div>
    <w:div w:id="896743724">
      <w:bodyDiv w:val="1"/>
      <w:marLeft w:val="0"/>
      <w:marRight w:val="0"/>
      <w:marTop w:val="0"/>
      <w:marBottom w:val="0"/>
      <w:divBdr>
        <w:top w:val="none" w:sz="0" w:space="0" w:color="auto"/>
        <w:left w:val="none" w:sz="0" w:space="0" w:color="auto"/>
        <w:bottom w:val="none" w:sz="0" w:space="0" w:color="auto"/>
        <w:right w:val="none" w:sz="0" w:space="0" w:color="auto"/>
      </w:divBdr>
    </w:div>
    <w:div w:id="954019168">
      <w:bodyDiv w:val="1"/>
      <w:marLeft w:val="0"/>
      <w:marRight w:val="0"/>
      <w:marTop w:val="0"/>
      <w:marBottom w:val="0"/>
      <w:divBdr>
        <w:top w:val="none" w:sz="0" w:space="0" w:color="auto"/>
        <w:left w:val="none" w:sz="0" w:space="0" w:color="auto"/>
        <w:bottom w:val="none" w:sz="0" w:space="0" w:color="auto"/>
        <w:right w:val="none" w:sz="0" w:space="0" w:color="auto"/>
      </w:divBdr>
    </w:div>
    <w:div w:id="1092237827">
      <w:bodyDiv w:val="1"/>
      <w:marLeft w:val="0"/>
      <w:marRight w:val="0"/>
      <w:marTop w:val="0"/>
      <w:marBottom w:val="0"/>
      <w:divBdr>
        <w:top w:val="none" w:sz="0" w:space="0" w:color="auto"/>
        <w:left w:val="none" w:sz="0" w:space="0" w:color="auto"/>
        <w:bottom w:val="none" w:sz="0" w:space="0" w:color="auto"/>
        <w:right w:val="none" w:sz="0" w:space="0" w:color="auto"/>
      </w:divBdr>
    </w:div>
    <w:div w:id="1175460429">
      <w:bodyDiv w:val="1"/>
      <w:marLeft w:val="0"/>
      <w:marRight w:val="0"/>
      <w:marTop w:val="0"/>
      <w:marBottom w:val="0"/>
      <w:divBdr>
        <w:top w:val="none" w:sz="0" w:space="0" w:color="auto"/>
        <w:left w:val="none" w:sz="0" w:space="0" w:color="auto"/>
        <w:bottom w:val="none" w:sz="0" w:space="0" w:color="auto"/>
        <w:right w:val="none" w:sz="0" w:space="0" w:color="auto"/>
      </w:divBdr>
    </w:div>
    <w:div w:id="1227372203">
      <w:bodyDiv w:val="1"/>
      <w:marLeft w:val="0"/>
      <w:marRight w:val="0"/>
      <w:marTop w:val="0"/>
      <w:marBottom w:val="0"/>
      <w:divBdr>
        <w:top w:val="none" w:sz="0" w:space="0" w:color="auto"/>
        <w:left w:val="none" w:sz="0" w:space="0" w:color="auto"/>
        <w:bottom w:val="none" w:sz="0" w:space="0" w:color="auto"/>
        <w:right w:val="none" w:sz="0" w:space="0" w:color="auto"/>
      </w:divBdr>
    </w:div>
    <w:div w:id="16194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s/standarddeviation.asp"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vestopedia.com/terms/p/putoption.asp" TargetMode="External"/><Relationship Id="rId34" Type="http://schemas.openxmlformats.org/officeDocument/2006/relationships/hyperlink" Target="http://www.investopedia.com/university/concepts/concepts1.asp" TargetMode="External"/><Relationship Id="rId7" Type="http://schemas.openxmlformats.org/officeDocument/2006/relationships/hyperlink" Target="http://www.investopedia.com/terms/r/risk.asp"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croption.com/volatility/" TargetMode="External"/><Relationship Id="rId20" Type="http://schemas.openxmlformats.org/officeDocument/2006/relationships/hyperlink" Target="http://www.investopedia.com/terms/u/underlying-security.asp" TargetMode="External"/><Relationship Id="rId29" Type="http://schemas.openxmlformats.org/officeDocument/2006/relationships/hyperlink" Target="http://www.investopedia.com/terms/p/portfolio.asp" TargetMode="External"/><Relationship Id="rId1" Type="http://schemas.openxmlformats.org/officeDocument/2006/relationships/customXml" Target="../customXml/item1.xml"/><Relationship Id="rId6" Type="http://schemas.openxmlformats.org/officeDocument/2006/relationships/hyperlink" Target="https://Accordtoken.com" TargetMode="External"/><Relationship Id="rId11" Type="http://schemas.openxmlformats.org/officeDocument/2006/relationships/hyperlink" Target="http://www.investopedia.com/terms/f/futurescontract.asp" TargetMode="External"/><Relationship Id="rId24" Type="http://schemas.openxmlformats.org/officeDocument/2006/relationships/image" Target="media/image10.png"/><Relationship Id="rId32" Type="http://schemas.openxmlformats.org/officeDocument/2006/relationships/chart" Target="charts/chart1.xml"/><Relationship Id="rId37" Type="http://schemas.openxmlformats.org/officeDocument/2006/relationships/hyperlink" Target="http://www.investopedia.com/terms/d/delta.as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investopedia.com/terms/d/derivative.asp" TargetMode="External"/><Relationship Id="rId36" Type="http://schemas.openxmlformats.org/officeDocument/2006/relationships/hyperlink" Target="http://www.investopedia.com/terms/d/delta.asp" TargetMode="External"/><Relationship Id="rId10" Type="http://schemas.openxmlformats.org/officeDocument/2006/relationships/hyperlink" Target="http://www.investopedia.com/terms/r/riskreturntradeoff.asp" TargetMode="External"/><Relationship Id="rId19" Type="http://schemas.openxmlformats.org/officeDocument/2006/relationships/hyperlink" Target="http://www.investopedia.com/terms/c/calloption.a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investopedia.com/terms/i/interestrate.asp" TargetMode="External"/><Relationship Id="rId35" Type="http://schemas.openxmlformats.org/officeDocument/2006/relationships/hyperlink" Target="http://www.investopedia.com/exam-guide/cfa-level-1/derivatives/options-calls-puts.as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pieChart>
        <c:varyColors val="1"/>
        <c:ser>
          <c:idx val="0"/>
          <c:order val="0"/>
          <c:tx>
            <c:strRef>
              <c:f>Sheet1!$B$1</c:f>
              <c:strCache>
                <c:ptCount val="1"/>
                <c:pt idx="0">
                  <c:v>Token Distribution</c:v>
                </c:pt>
              </c:strCache>
            </c:strRef>
          </c:tx>
          <c:explosion val="28"/>
          <c:dPt>
            <c:idx val="0"/>
            <c:explosion val="10"/>
          </c:dPt>
          <c:dLbls>
            <c:showPercent val="1"/>
          </c:dLbls>
          <c:cat>
            <c:strRef>
              <c:f>Sheet1!$A$2:$A$5</c:f>
              <c:strCache>
                <c:ptCount val="4"/>
                <c:pt idx="0">
                  <c:v>Token sale</c:v>
                </c:pt>
                <c:pt idx="1">
                  <c:v>ICO cost</c:v>
                </c:pt>
                <c:pt idx="2">
                  <c:v>Incentives</c:v>
                </c:pt>
                <c:pt idx="3">
                  <c:v>Reserved token</c:v>
                </c:pt>
              </c:strCache>
            </c:strRef>
          </c:cat>
          <c:val>
            <c:numRef>
              <c:f>Sheet1!$B$2:$B$5</c:f>
              <c:numCache>
                <c:formatCode>0%</c:formatCode>
                <c:ptCount val="4"/>
                <c:pt idx="0">
                  <c:v>0.48000000000000032</c:v>
                </c:pt>
                <c:pt idx="1">
                  <c:v>2.0000000000000028E-2</c:v>
                </c:pt>
                <c:pt idx="2">
                  <c:v>0.15000000000000024</c:v>
                </c:pt>
                <c:pt idx="3">
                  <c:v>0.35000000000000031</c:v>
                </c:pt>
              </c:numCache>
            </c:numRef>
          </c:val>
        </c:ser>
        <c:dLbls>
          <c:showPercent val="1"/>
        </c:dLbls>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pieChart>
        <c:varyColors val="1"/>
        <c:ser>
          <c:idx val="0"/>
          <c:order val="0"/>
          <c:tx>
            <c:strRef>
              <c:f>Sheet1!$B$1</c:f>
              <c:strCache>
                <c:ptCount val="1"/>
                <c:pt idx="0">
                  <c:v>Distribution of crowd sale</c:v>
                </c:pt>
              </c:strCache>
            </c:strRef>
          </c:tx>
          <c:explosion val="17"/>
          <c:dLbls>
            <c:showPercent val="1"/>
          </c:dLbls>
          <c:cat>
            <c:strRef>
              <c:f>Sheet1!$A$2:$A$7</c:f>
              <c:strCache>
                <c:ptCount val="6"/>
                <c:pt idx="0">
                  <c:v>Development cost</c:v>
                </c:pt>
                <c:pt idx="1">
                  <c:v>Ether reserve for buy back</c:v>
                </c:pt>
                <c:pt idx="2">
                  <c:v>Network security</c:v>
                </c:pt>
                <c:pt idx="3">
                  <c:v>Marketing</c:v>
                </c:pt>
                <c:pt idx="4">
                  <c:v>Misc Activities</c:v>
                </c:pt>
                <c:pt idx="5">
                  <c:v>Cyber Insurance</c:v>
                </c:pt>
              </c:strCache>
            </c:strRef>
          </c:cat>
          <c:val>
            <c:numRef>
              <c:f>Sheet1!$B$2:$B$7</c:f>
              <c:numCache>
                <c:formatCode>0%</c:formatCode>
                <c:ptCount val="6"/>
                <c:pt idx="0">
                  <c:v>0.5</c:v>
                </c:pt>
                <c:pt idx="1">
                  <c:v>0.30000000000000032</c:v>
                </c:pt>
                <c:pt idx="2">
                  <c:v>8.0000000000000043E-2</c:v>
                </c:pt>
                <c:pt idx="3">
                  <c:v>7.0000000000000021E-2</c:v>
                </c:pt>
                <c:pt idx="4">
                  <c:v>1.0000000000000005E-2</c:v>
                </c:pt>
                <c:pt idx="5">
                  <c:v>4.0000000000000022E-2</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10A3-904B-49C7-BF66-57555782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2017-11-02T13:57:00Z</dcterms:created>
  <dcterms:modified xsi:type="dcterms:W3CDTF">2017-11-17T13:12:00Z</dcterms:modified>
</cp:coreProperties>
</file>