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33C131" w14:textId="2D4F746E" w:rsidR="00473CA5" w:rsidRDefault="00473CA5" w:rsidP="00473CA5">
      <w:pPr>
        <w:pStyle w:val="Heading1"/>
      </w:pPr>
      <w:bookmarkStart w:id="0" w:name="_mbh30j810jms" w:colFirst="0" w:colLast="0"/>
      <w:bookmarkEnd w:id="0"/>
      <w:r>
        <w:t xml:space="preserve">Title: Limits to </w:t>
      </w:r>
      <w:r w:rsidR="00846312">
        <w:t xml:space="preserve">bioinvasions in the </w:t>
      </w:r>
      <w:r>
        <w:t xml:space="preserve">Bering Sea: predicting suitable </w:t>
      </w:r>
      <w:r w:rsidR="00C95579">
        <w:t xml:space="preserve">conditions </w:t>
      </w:r>
      <w:r>
        <w:t>from regional ocean models</w:t>
      </w:r>
    </w:p>
    <w:p w14:paraId="44828EED" w14:textId="77777777" w:rsidR="00B541E3" w:rsidRDefault="00B541E3" w:rsidP="00B541E3"/>
    <w:p w14:paraId="18004908" w14:textId="7E7FBA40" w:rsidR="00B541E3" w:rsidRPr="00B541E3" w:rsidRDefault="00B541E3" w:rsidP="00B541E3">
      <w:pPr>
        <w:rPr>
          <w:sz w:val="24"/>
        </w:rPr>
      </w:pPr>
      <w:r w:rsidRPr="00B541E3">
        <w:rPr>
          <w:sz w:val="24"/>
        </w:rPr>
        <w:t>Running title: Limits to bioinvasions in the Bering Sea</w:t>
      </w:r>
    </w:p>
    <w:p w14:paraId="1A876738" w14:textId="1F619ABE" w:rsidR="00473CA5" w:rsidRDefault="00473CA5" w:rsidP="00473CA5">
      <w:pPr>
        <w:pStyle w:val="Heading1"/>
      </w:pPr>
      <w:bookmarkStart w:id="1" w:name="_27lcjapmvgdv" w:colFirst="0" w:colLast="0"/>
      <w:bookmarkEnd w:id="1"/>
      <w:r>
        <w:t>Authors: A. Droghini</w:t>
      </w:r>
      <w:r>
        <w:rPr>
          <w:vertAlign w:val="superscript"/>
        </w:rPr>
        <w:t>1</w:t>
      </w:r>
      <w:r>
        <w:t>, A. Fischbach</w:t>
      </w:r>
      <w:r>
        <w:rPr>
          <w:vertAlign w:val="superscript"/>
        </w:rPr>
        <w:t>2</w:t>
      </w:r>
      <w:r>
        <w:t>, J. Watson</w:t>
      </w:r>
      <w:r>
        <w:rPr>
          <w:vertAlign w:val="superscript"/>
        </w:rPr>
        <w:t>3</w:t>
      </w:r>
      <w:r>
        <w:t>, J.P. Reimer</w:t>
      </w:r>
      <w:r>
        <w:rPr>
          <w:vertAlign w:val="superscript"/>
        </w:rPr>
        <w:t>1</w:t>
      </w:r>
    </w:p>
    <w:p w14:paraId="578F90D4" w14:textId="77777777" w:rsidR="00473CA5" w:rsidRDefault="00473CA5" w:rsidP="00473CA5">
      <w:pPr>
        <w:rPr>
          <w:b/>
        </w:rPr>
      </w:pPr>
    </w:p>
    <w:p w14:paraId="39B40BC7" w14:textId="77777777" w:rsidR="00473CA5" w:rsidRDefault="00473CA5" w:rsidP="00473CA5">
      <w:r>
        <w:rPr>
          <w:b/>
        </w:rPr>
        <w:t>Affiliations:</w:t>
      </w:r>
      <w:r>
        <w:t xml:space="preserve"> 1. Alaska Center for Conservation Science, University of Alaska Anchorage, 2400 W Campus Drive, Anchorage, AK 99508. 2. U.S. Geological Service, Alaska Science Center, Walrus Research Program, 4210 University Drive, Anchorage, AK 99508. 3. NOAA Alaska Fisheries Science Center, Auke Bay Laboratories, Ted Stevens Marine Research Institute, 17109 Pt. Lena Loop Rd., Juneau, AK 99801</w:t>
      </w:r>
    </w:p>
    <w:p w14:paraId="4B34A74F" w14:textId="09CF3526" w:rsidR="00473CA5" w:rsidRDefault="00B541E3" w:rsidP="00473CA5">
      <w:r>
        <w:rPr>
          <w:b/>
        </w:rPr>
        <w:t>Contact information</w:t>
      </w:r>
      <w:r w:rsidR="00473CA5">
        <w:rPr>
          <w:b/>
        </w:rPr>
        <w:t xml:space="preserve">: </w:t>
      </w:r>
      <w:r w:rsidR="0031494B">
        <w:t>J</w:t>
      </w:r>
      <w:r w:rsidR="00473CA5">
        <w:t>.</w:t>
      </w:r>
      <w:r w:rsidR="0031494B">
        <w:t>P.</w:t>
      </w:r>
      <w:r w:rsidR="00473CA5">
        <w:t xml:space="preserve"> </w:t>
      </w:r>
      <w:r w:rsidR="0031494B">
        <w:t>Reimer</w:t>
      </w:r>
      <w:r w:rsidR="00473CA5">
        <w:t xml:space="preserve">, </w:t>
      </w:r>
      <w:r>
        <w:t xml:space="preserve">tel: </w:t>
      </w:r>
      <w:r w:rsidRPr="00B541E3">
        <w:t>907-786-6349</w:t>
      </w:r>
      <w:r>
        <w:t>, email:</w:t>
      </w:r>
      <w:r w:rsidRPr="00B541E3">
        <w:t xml:space="preserve"> </w:t>
      </w:r>
      <w:hyperlink r:id="rId8" w:history="1">
        <w:r w:rsidR="0031494B" w:rsidRPr="002B0EFE">
          <w:rPr>
            <w:rStyle w:val="Hyperlink"/>
          </w:rPr>
          <w:t>jpreimer@alaska.edu</w:t>
        </w:r>
      </w:hyperlink>
    </w:p>
    <w:p w14:paraId="3E036F9F" w14:textId="77777777" w:rsidR="00473CA5" w:rsidRDefault="00473CA5" w:rsidP="00473CA5">
      <w:pPr>
        <w:pStyle w:val="Heading1"/>
        <w:spacing w:before="0"/>
      </w:pPr>
      <w:r>
        <w:t>Abstract</w:t>
      </w:r>
    </w:p>
    <w:p w14:paraId="24DDEC26" w14:textId="5ED0B242" w:rsidR="00473CA5" w:rsidRDefault="00473CA5" w:rsidP="00473CA5">
      <w:r>
        <w:t xml:space="preserve">Cold water temperatures and minimal </w:t>
      </w:r>
      <w:r w:rsidR="00282CCC">
        <w:t>vessel</w:t>
      </w:r>
      <w:r>
        <w:t xml:space="preserve"> traffic are expected to limit biological introductions to polar ecosystems; however, to date, these expectations have not been </w:t>
      </w:r>
      <w:r w:rsidRPr="009E6799">
        <w:t>comprehensively evaluated for a large marine ecosystem</w:t>
      </w:r>
      <w:r>
        <w:t xml:space="preserve">. </w:t>
      </w:r>
      <w:r w:rsidR="00846312">
        <w:t>W</w:t>
      </w:r>
      <w:r>
        <w:t xml:space="preserve">e evaluated </w:t>
      </w:r>
      <w:r w:rsidR="00846312">
        <w:t>whether</w:t>
      </w:r>
      <w:r>
        <w:t xml:space="preserve"> suitable </w:t>
      </w:r>
      <w:r w:rsidR="00C95579">
        <w:t xml:space="preserve">conditions </w:t>
      </w:r>
      <w:r w:rsidR="00846312">
        <w:t xml:space="preserve">exist </w:t>
      </w:r>
      <w:r w:rsidR="000541CE">
        <w:t xml:space="preserve">in the Bering Sea </w:t>
      </w:r>
      <w:r>
        <w:t xml:space="preserve">for </w:t>
      </w:r>
      <w:r w:rsidR="00846312">
        <w:t xml:space="preserve">the </w:t>
      </w:r>
      <w:r>
        <w:t xml:space="preserve">survival and reproduction </w:t>
      </w:r>
      <w:r w:rsidR="000541CE">
        <w:t>of</w:t>
      </w:r>
      <w:r>
        <w:t xml:space="preserve"> </w:t>
      </w:r>
      <w:r w:rsidR="0031494B">
        <w:t>42</w:t>
      </w:r>
      <w:r w:rsidR="00846312">
        <w:t xml:space="preserve"> </w:t>
      </w:r>
      <w:r>
        <w:t xml:space="preserve">non-indigenous species (NIS). </w:t>
      </w:r>
      <w:r w:rsidR="00C95579">
        <w:t>To do so, w</w:t>
      </w:r>
      <w:r>
        <w:t>e compar</w:t>
      </w:r>
      <w:r w:rsidR="00C95579">
        <w:t>ed</w:t>
      </w:r>
      <w:r>
        <w:t xml:space="preserve"> species-specific temperature and salinity thresholds to conditions projected by three regional ocean models during two </w:t>
      </w:r>
      <w:r w:rsidR="009B2514">
        <w:t>study</w:t>
      </w:r>
      <w:r>
        <w:t xml:space="preserve"> periods: recent (2003-2012) and mid-century (2030-2039). </w:t>
      </w:r>
      <w:r w:rsidR="00846312">
        <w:t>In addition, w</w:t>
      </w:r>
      <w:r>
        <w:t xml:space="preserve">e explored the intersection between </w:t>
      </w:r>
      <w:r w:rsidR="00282CCC">
        <w:t>vessel</w:t>
      </w:r>
      <w:r>
        <w:t xml:space="preserve"> traffic and suitable </w:t>
      </w:r>
      <w:r w:rsidR="00C95579">
        <w:t xml:space="preserve">environmental conditions </w:t>
      </w:r>
      <w:r>
        <w:t xml:space="preserve">among Bering Sea ports. We found that </w:t>
      </w:r>
      <w:r w:rsidR="00846312">
        <w:t>the southeastern Bering Sea was highly suitable for the year-round survival of 8</w:t>
      </w:r>
      <w:r w:rsidR="00847E59">
        <w:t>0</w:t>
      </w:r>
      <w:r w:rsidR="00846312">
        <w:t xml:space="preserve">% NIS assessed, but that </w:t>
      </w:r>
      <w:r>
        <w:t xml:space="preserve">cold water may limit NIS in areas with seasonal sea ice (i.e. north of 58°N). Although we found suitable reproductive </w:t>
      </w:r>
      <w:r w:rsidR="00C95579">
        <w:t xml:space="preserve">conditions </w:t>
      </w:r>
      <w:r>
        <w:t>for many taxa, short summers may limit t</w:t>
      </w:r>
      <w:r w:rsidR="00846312">
        <w:t>hose</w:t>
      </w:r>
      <w:r>
        <w:t xml:space="preserve"> that require temperatures above 10ºC for reproduction. Predicted ocean warming is expected to expand suitable </w:t>
      </w:r>
      <w:r w:rsidR="00C95579">
        <w:t xml:space="preserve">conditions </w:t>
      </w:r>
      <w:r>
        <w:t xml:space="preserve">northward, largely favoring taxa that already have the ability to survive year-round within the study area. Traffic patterns apparent from ballast water discharge and fishing vessel records reveal a network of coast-wise and transoceanic traffic centered on Dutch Harbor, with connectivity throughout the Bering Sea. Areas predicted to support the highest number of NIS were also the most likely points of </w:t>
      </w:r>
      <w:r w:rsidR="00296C15">
        <w:t xml:space="preserve">human-mediated </w:t>
      </w:r>
      <w:r>
        <w:t>introduction</w:t>
      </w:r>
      <w:r w:rsidR="00296C15">
        <w:t>s</w:t>
      </w:r>
      <w:r>
        <w:t>.</w:t>
      </w:r>
      <w:r w:rsidR="00846312">
        <w:t xml:space="preserve"> </w:t>
      </w:r>
      <w:commentRangeStart w:id="2"/>
      <w:r w:rsidR="00846312">
        <w:t xml:space="preserve">Results from this study </w:t>
      </w:r>
      <w:r w:rsidR="00C95579">
        <w:t xml:space="preserve">can </w:t>
      </w:r>
      <w:r w:rsidR="001850BD">
        <w:t xml:space="preserve">provide support for </w:t>
      </w:r>
      <w:r w:rsidR="00C95579">
        <w:t xml:space="preserve">invasive species management </w:t>
      </w:r>
      <w:r w:rsidR="001850BD">
        <w:t xml:space="preserve">by identifying </w:t>
      </w:r>
      <w:r w:rsidR="00846312">
        <w:t xml:space="preserve">high-risk areas </w:t>
      </w:r>
      <w:r w:rsidR="001850BD">
        <w:t xml:space="preserve">and NIS of concern </w:t>
      </w:r>
      <w:r w:rsidR="00846312">
        <w:t xml:space="preserve">in </w:t>
      </w:r>
      <w:r w:rsidR="001850BD">
        <w:t>a commercially important Arctic system.</w:t>
      </w:r>
      <w:r w:rsidR="00846312">
        <w:t xml:space="preserve"> </w:t>
      </w:r>
      <w:r>
        <w:t xml:space="preserve"> </w:t>
      </w:r>
      <w:commentRangeEnd w:id="2"/>
      <w:r w:rsidR="00B541E3">
        <w:rPr>
          <w:rStyle w:val="CommentReference"/>
        </w:rPr>
        <w:commentReference w:id="2"/>
      </w:r>
    </w:p>
    <w:p w14:paraId="3C81DF6C" w14:textId="77777777" w:rsidR="00B541E3" w:rsidRDefault="00B541E3" w:rsidP="00473CA5"/>
    <w:p w14:paraId="7A87BED6" w14:textId="5B6CD130" w:rsidR="00B541E3" w:rsidRDefault="00B541E3" w:rsidP="00473CA5">
      <w:r>
        <w:rPr>
          <w:b/>
          <w:bCs/>
          <w:color w:val="000000"/>
        </w:rPr>
        <w:t xml:space="preserve">Key words: </w:t>
      </w:r>
      <w:r>
        <w:rPr>
          <w:color w:val="000000"/>
        </w:rPr>
        <w:t>Arctic, climate change, physiological thresholds, habitat suitability, biological invasion, non-native species, North Pacific, Alaska, risk assessment</w:t>
      </w:r>
    </w:p>
    <w:p w14:paraId="005A6091" w14:textId="77777777" w:rsidR="00253237" w:rsidRDefault="00253237">
      <w:pPr>
        <w:rPr>
          <w:rFonts w:eastAsiaTheme="majorEastAsia" w:cstheme="majorBidi"/>
          <w:b/>
          <w:sz w:val="24"/>
          <w:szCs w:val="32"/>
        </w:rPr>
      </w:pPr>
      <w:r>
        <w:br w:type="page"/>
      </w:r>
    </w:p>
    <w:p w14:paraId="70B928EC" w14:textId="31901AA1" w:rsidR="00473CA5" w:rsidRDefault="00473CA5" w:rsidP="00473CA5">
      <w:pPr>
        <w:pStyle w:val="Heading1"/>
      </w:pPr>
      <w:r>
        <w:lastRenderedPageBreak/>
        <w:t>Introduction</w:t>
      </w:r>
    </w:p>
    <w:p w14:paraId="2172D294" w14:textId="4208993A" w:rsidR="00567E40" w:rsidRPr="002150DD" w:rsidRDefault="008E2AA7" w:rsidP="00567E40">
      <w:r w:rsidRPr="00E733EF">
        <w:t>Marine non-indigenous species (NIS)</w:t>
      </w:r>
      <w:r w:rsidR="00473CA5" w:rsidRPr="00E733EF">
        <w:t xml:space="preserve"> are a global concern </w:t>
      </w:r>
      <w:r w:rsidR="00B20BF1" w:rsidRPr="00E733EF">
        <w:t>because of</w:t>
      </w:r>
      <w:r w:rsidRPr="00D1740B">
        <w:t xml:space="preserve"> their potential to become invasive and to</w:t>
      </w:r>
      <w:r w:rsidR="00473CA5" w:rsidRPr="00D1740B">
        <w:t xml:space="preserve"> impact</w:t>
      </w:r>
      <w:r w:rsidR="00473CA5" w:rsidRPr="009A4A8F">
        <w:t xml:space="preserve"> aquatic systems, commercial fisheries, and native biodiversity. </w:t>
      </w:r>
      <w:r w:rsidR="0027753F" w:rsidRPr="00E733EF">
        <w:rPr>
          <w:rFonts w:eastAsia="Times New Roman" w:cs="Times New Roman"/>
          <w:color w:val="000000"/>
          <w:lang w:val="en-CA"/>
        </w:rPr>
        <w:t>This concern is increasing as warming ocean temperatures and marine transport fuel rapid range expansions of NIS around the world</w:t>
      </w:r>
      <w:r w:rsidR="00056765" w:rsidRPr="00E733EF">
        <w:rPr>
          <w:rFonts w:eastAsia="Times New Roman" w:cs="Times New Roman"/>
          <w:lang w:val="en-CA"/>
        </w:rPr>
        <w:t xml:space="preserve"> (Seebens et al. 2017). </w:t>
      </w:r>
      <w:r w:rsidR="00756D99" w:rsidRPr="00E733EF">
        <w:t>NIS are transported to new regions primarily through v</w:t>
      </w:r>
      <w:r w:rsidR="00B20BF1" w:rsidRPr="00E733EF">
        <w:t xml:space="preserve">essels (Ruiz et al. </w:t>
      </w:r>
      <w:r w:rsidR="0027753F" w:rsidRPr="00E733EF">
        <w:t>1997</w:t>
      </w:r>
      <w:r w:rsidR="00B20BF1" w:rsidRPr="00E733EF">
        <w:t>, Molnar et al. 200</w:t>
      </w:r>
      <w:r w:rsidR="0027753F" w:rsidRPr="002150DD">
        <w:t>8</w:t>
      </w:r>
      <w:r w:rsidR="00B20BF1" w:rsidRPr="002150DD">
        <w:t>)</w:t>
      </w:r>
      <w:r w:rsidR="00756D99" w:rsidRPr="002150DD">
        <w:t>; as a result,</w:t>
      </w:r>
      <w:r w:rsidR="00B20BF1" w:rsidRPr="002150DD">
        <w:t xml:space="preserve"> p</w:t>
      </w:r>
      <w:r w:rsidR="00985132" w:rsidRPr="002150DD">
        <w:t xml:space="preserve">orts that receive high levels of vessel traffic </w:t>
      </w:r>
      <w:r w:rsidR="00B20BF1" w:rsidRPr="002150DD">
        <w:t xml:space="preserve">are more </w:t>
      </w:r>
      <w:r w:rsidR="00056765" w:rsidRPr="002150DD">
        <w:t>at-risk of</w:t>
      </w:r>
      <w:r w:rsidR="00985132" w:rsidRPr="002150DD">
        <w:t xml:space="preserve"> </w:t>
      </w:r>
      <w:r w:rsidR="00056765" w:rsidRPr="002150DD">
        <w:t>biological introductions</w:t>
      </w:r>
      <w:r w:rsidR="00985132" w:rsidRPr="002150DD">
        <w:t xml:space="preserve"> </w:t>
      </w:r>
      <w:r w:rsidR="00473CA5" w:rsidRPr="002150DD">
        <w:t xml:space="preserve">(Seebens et al. 2013, Lord et al. 2015). </w:t>
      </w:r>
      <w:r w:rsidR="00056765" w:rsidRPr="002150DD">
        <w:t>This relationship</w:t>
      </w:r>
      <w:r w:rsidR="00756D99" w:rsidRPr="002150DD">
        <w:t>, though not without its nuances (e.g. Verling et al. 2005),</w:t>
      </w:r>
      <w:r w:rsidR="00056765" w:rsidRPr="002150DD">
        <w:t xml:space="preserve"> is especially true for mid-latitude, saline ports, </w:t>
      </w:r>
      <w:r w:rsidR="00DE7EDB" w:rsidRPr="002150DD">
        <w:t>whose</w:t>
      </w:r>
      <w:r w:rsidR="00056765" w:rsidRPr="002150DD">
        <w:t xml:space="preserve"> mild water temperatures and salinity levels </w:t>
      </w:r>
      <w:r w:rsidR="00DE7EDB" w:rsidRPr="002150DD">
        <w:t xml:space="preserve">are </w:t>
      </w:r>
      <w:r w:rsidR="00056765" w:rsidRPr="002150DD">
        <w:t xml:space="preserve">well within the thresholds of most marine species. </w:t>
      </w:r>
      <w:r w:rsidR="00767673" w:rsidRPr="002150DD">
        <w:t>Temperature and salinity become increasingly limiting for NIS as the difference between environmental conditions at the port of origin and port of arrival increase (Herborg et al. 2007, Iacarella et al. 2015), and may result in some geographic regions (e.g. Arctic waters) being relatively ‘safe’ from the arrival and establishment of NIS. Suitable t</w:t>
      </w:r>
      <w:r w:rsidR="00DE7EDB" w:rsidRPr="002150DD">
        <w:t xml:space="preserve">emperature and salinity are crucial to the survival and establishment of aquatic species. Values above or below an organism’s physiological threshold can have </w:t>
      </w:r>
      <w:r w:rsidR="00567E40" w:rsidRPr="002150DD">
        <w:t>negative impact</w:t>
      </w:r>
      <w:r w:rsidR="00DE7EDB" w:rsidRPr="002150DD">
        <w:t>s on</w:t>
      </w:r>
      <w:r w:rsidR="00056765" w:rsidRPr="002150DD">
        <w:t xml:space="preserve"> </w:t>
      </w:r>
      <w:r w:rsidR="00567E40" w:rsidRPr="002150DD">
        <w:t>behavioral, metabolic, and cellular processes</w:t>
      </w:r>
      <w:r w:rsidR="00DE7EDB" w:rsidRPr="002150DD">
        <w:t xml:space="preserve">, and values that exceed an organism’s </w:t>
      </w:r>
      <w:r w:rsidR="00FD7489" w:rsidRPr="002150DD">
        <w:t>critical thresholds</w:t>
      </w:r>
      <w:r w:rsidR="00DE7EDB" w:rsidRPr="002150DD">
        <w:t xml:space="preserve"> are fatal</w:t>
      </w:r>
      <w:r w:rsidR="00567E40" w:rsidRPr="002150DD">
        <w:t xml:space="preserve"> (Portner 2001, Kassahn et al. 2009). </w:t>
      </w:r>
      <w:r w:rsidR="00DE7EDB" w:rsidRPr="002150DD">
        <w:t>Moreover, because optimal temperature and salinity ranges are typically narrower for reproduction, development, and growth, e</w:t>
      </w:r>
      <w:r w:rsidR="00567E40" w:rsidRPr="002150DD">
        <w:t xml:space="preserve">ven </w:t>
      </w:r>
      <w:r w:rsidR="00DE7EDB" w:rsidRPr="002150DD">
        <w:t>organisms</w:t>
      </w:r>
      <w:r w:rsidR="00567E40" w:rsidRPr="002150DD">
        <w:t xml:space="preserve"> that survive </w:t>
      </w:r>
      <w:r w:rsidR="00DE7EDB" w:rsidRPr="002150DD">
        <w:t xml:space="preserve">in a new region </w:t>
      </w:r>
      <w:r w:rsidR="00567E40" w:rsidRPr="002150DD">
        <w:t xml:space="preserve">may not be able to establish self-sustaining populations (Woodin et al. 2013). </w:t>
      </w:r>
    </w:p>
    <w:p w14:paraId="4A8B16B0" w14:textId="12D15F66" w:rsidR="00473CA5" w:rsidRDefault="00473CA5" w:rsidP="00567E40">
      <w:r>
        <w:t xml:space="preserve">Compared to most marine ecosystems, Arctic oceans receive relatively little vessel traffic and have cold water temperatures </w:t>
      </w:r>
      <w:r w:rsidRPr="00641FB4">
        <w:t xml:space="preserve">nearly year-round. These factors have been proposed </w:t>
      </w:r>
      <w:r w:rsidR="00B77F40" w:rsidRPr="00641FB4">
        <w:t>to</w:t>
      </w:r>
      <w:r w:rsidRPr="00641FB4">
        <w:t xml:space="preserve"> expla</w:t>
      </w:r>
      <w:r w:rsidR="00B77F40" w:rsidRPr="00641FB4">
        <w:t xml:space="preserve">in </w:t>
      </w:r>
      <w:r w:rsidRPr="00641FB4">
        <w:t>the low rates of NIS introductions to the Arctic</w:t>
      </w:r>
      <w:r w:rsidR="00811BC9" w:rsidRPr="00641FB4">
        <w:t xml:space="preserve"> (</w:t>
      </w:r>
      <w:r w:rsidR="00641FB4" w:rsidRPr="00641FB4">
        <w:t>Ruiz and Hewitt 2009, de Rivera et al. 2011</w:t>
      </w:r>
      <w:r w:rsidR="00811BC9" w:rsidRPr="00641FB4">
        <w:t>)</w:t>
      </w:r>
      <w:r w:rsidRPr="00641FB4">
        <w:t>,</w:t>
      </w:r>
      <w:r>
        <w:t xml:space="preserve"> </w:t>
      </w:r>
      <w:r w:rsidR="00B77F40">
        <w:t xml:space="preserve">yet studies have shown that NIS are being transported on vessels </w:t>
      </w:r>
      <w:r w:rsidR="00767673">
        <w:t xml:space="preserve">from temperate to Arctic regions </w:t>
      </w:r>
      <w:r w:rsidR="00B77F40">
        <w:t>and are surviving the voyage (Chan et al. 2014, 2016, Ware et al. 2016). F</w:t>
      </w:r>
      <w:r>
        <w:t>ew studies</w:t>
      </w:r>
      <w:r w:rsidR="00B77F40">
        <w:t>, however,</w:t>
      </w:r>
      <w:r>
        <w:t xml:space="preserve"> have examined whether </w:t>
      </w:r>
      <w:r w:rsidR="00B77F40">
        <w:t xml:space="preserve">ocean temperatures </w:t>
      </w:r>
      <w:r>
        <w:t xml:space="preserve">are </w:t>
      </w:r>
      <w:r w:rsidR="00B77F40">
        <w:t>low</w:t>
      </w:r>
      <w:r>
        <w:t xml:space="preserve"> enough to limit the survival </w:t>
      </w:r>
      <w:r w:rsidR="00B77F40">
        <w:t xml:space="preserve">of NIS </w:t>
      </w:r>
      <w:r>
        <w:t xml:space="preserve">and </w:t>
      </w:r>
      <w:r w:rsidR="00B77F40">
        <w:t xml:space="preserve">the </w:t>
      </w:r>
      <w:r>
        <w:t xml:space="preserve">establishment </w:t>
      </w:r>
      <w:r w:rsidR="00B77F40">
        <w:t>of self-sustaining populations</w:t>
      </w:r>
      <w:r>
        <w:t>. Previous studies looking at a small subset of potential NIS found that suitable habitat for survival exi</w:t>
      </w:r>
      <w:r w:rsidR="00B77F40">
        <w:t>s</w:t>
      </w:r>
      <w:r>
        <w:t xml:space="preserve">ts for at least some, but </w:t>
      </w:r>
      <w:r w:rsidR="00B77F40">
        <w:t xml:space="preserve">these studies </w:t>
      </w:r>
      <w:r>
        <w:t xml:space="preserve">have disagreed as to whether suitable habitat is extensive (de Rivera et al. 2011) or limited (Ware et al. 2016, Goldsmith et al. 2018). </w:t>
      </w:r>
      <w:r w:rsidR="00B77F40">
        <w:t>O</w:t>
      </w:r>
      <w:r>
        <w:t>nly one study evaluated suitable reproductive habitat for NIS in Arctic systems, and only for a limited number of species (n = 8; Ware et al. 2016).</w:t>
      </w:r>
    </w:p>
    <w:p w14:paraId="54F2421E" w14:textId="007B80FA" w:rsidR="00473CA5" w:rsidRDefault="00473CA5" w:rsidP="00473CA5">
      <w:r>
        <w:t xml:space="preserve">Understanding the factors that limit invasions in the Arctic is </w:t>
      </w:r>
      <w:r w:rsidRPr="000B744F">
        <w:t xml:space="preserve">becoming increasingly </w:t>
      </w:r>
      <w:r>
        <w:t xml:space="preserve">important given the rapid oceanographic and socioeconomic changes that </w:t>
      </w:r>
      <w:r w:rsidR="00767673">
        <w:t>Arctic</w:t>
      </w:r>
      <w:r>
        <w:t xml:space="preserve"> systems are experiencing. </w:t>
      </w:r>
      <w:r w:rsidR="00D7141A">
        <w:t xml:space="preserve">Warming sea temperatures and </w:t>
      </w:r>
      <w:r w:rsidR="00767673">
        <w:t xml:space="preserve">reductions in </w:t>
      </w:r>
      <w:r w:rsidR="00D7141A">
        <w:t>sea ice have already facilitated range expansions and introductions to Arctic systems (Reid et al. 2007, Renaud et al. 2015), and models predict that Arctic waters will become even more suitable to invasions over the next century (de Rivera et al. 2011, Ware et al. 2014, 2016). Moreover, r</w:t>
      </w:r>
      <w:r>
        <w:t xml:space="preserve">eductions in sea ice extent and lengthening of the ice-free season have contributed to an increase in </w:t>
      </w:r>
      <w:r w:rsidR="00282CCC">
        <w:t>vessel</w:t>
      </w:r>
      <w:r>
        <w:t xml:space="preserve"> traffic (Miller and Ruiz 2014, Eguíluz et al. 2016), which is expected to increase the number and diversity of organisms transported to Arctic regions.</w:t>
      </w:r>
    </w:p>
    <w:p w14:paraId="6CDF4D1E" w14:textId="664E376C" w:rsidR="00E56693" w:rsidRDefault="00473CA5">
      <w:r>
        <w:t>In this paper</w:t>
      </w:r>
      <w:r w:rsidR="00641FB4">
        <w:t>,</w:t>
      </w:r>
      <w:r>
        <w:t xml:space="preserve"> we explore whether </w:t>
      </w:r>
      <w:r w:rsidR="008D5D9A">
        <w:t xml:space="preserve">suitable conditions (temperature and salinity) currently exist for the survival and establishment of NIS in the Bering Sea, </w:t>
      </w:r>
      <w:r w:rsidR="008D5D9A" w:rsidRPr="00641FB4">
        <w:t>a high-latitude marine ecosystem characterized by a strong latitudinal gradient in water temperature and sea ice formation (Stabeno et al. 1999).</w:t>
      </w:r>
      <w:r w:rsidR="008D5D9A">
        <w:t xml:space="preserve"> We also examined w</w:t>
      </w:r>
      <w:r w:rsidR="008D5D9A" w:rsidRPr="00EC6FC5">
        <w:t xml:space="preserve">hether </w:t>
      </w:r>
      <w:r w:rsidR="008D5D9A">
        <w:t>predicted ocean warming will</w:t>
      </w:r>
      <w:r w:rsidR="008D5D9A" w:rsidRPr="00EC6FC5">
        <w:t xml:space="preserve"> facilitate NIS</w:t>
      </w:r>
      <w:r w:rsidR="008D5D9A">
        <w:t xml:space="preserve"> survival and/or establishment</w:t>
      </w:r>
      <w:r w:rsidR="00641FB4">
        <w:t xml:space="preserve">. </w:t>
      </w:r>
      <w:r w:rsidR="008D5D9A">
        <w:t>To do so, w</w:t>
      </w:r>
      <w:r w:rsidR="00641FB4">
        <w:t xml:space="preserve">e </w:t>
      </w:r>
      <w:r>
        <w:t>compar</w:t>
      </w:r>
      <w:r w:rsidR="00641FB4">
        <w:t>e</w:t>
      </w:r>
      <w:r w:rsidR="008D5D9A">
        <w:t>d</w:t>
      </w:r>
      <w:r>
        <w:t xml:space="preserve"> physiological </w:t>
      </w:r>
      <w:r w:rsidRPr="00641FB4">
        <w:t>thresholds of NIS with modeled temperature and salinity values for the Bering Sea</w:t>
      </w:r>
      <w:r w:rsidR="008D5D9A">
        <w:t xml:space="preserve"> </w:t>
      </w:r>
      <w:del w:id="3" w:author="Amanda Droghini [2]" w:date="2018-12-05T08:48:00Z">
        <w:r w:rsidR="008D5D9A" w:rsidDel="008D5D9A">
          <w:delText>and</w:delText>
        </w:r>
        <w:r w:rsidRPr="00641FB4" w:rsidDel="008D5D9A">
          <w:delText xml:space="preserve"> </w:delText>
        </w:r>
        <w:r w:rsidR="008D5D9A" w:rsidDel="008D5D9A">
          <w:delText>w</w:delText>
        </w:r>
        <w:r w:rsidDel="008D5D9A">
          <w:delText xml:space="preserve">e </w:delText>
        </w:r>
        <w:r w:rsidR="00EE29D9" w:rsidDel="008D5D9A">
          <w:delText>evaluated</w:delText>
        </w:r>
        <w:r w:rsidDel="008D5D9A">
          <w:delText xml:space="preserve"> whether suitable </w:delText>
        </w:r>
        <w:r w:rsidR="00EE29D9" w:rsidDel="008D5D9A">
          <w:delText>conditions</w:delText>
        </w:r>
        <w:r w:rsidDel="008D5D9A">
          <w:delText xml:space="preserve"> exist for year-round survival, weekly survival, and annual reproduction of NIS </w:delText>
        </w:r>
      </w:del>
      <w:r>
        <w:t xml:space="preserve">under recent (2003 – 2012) and mid-century (2030-2039) conditions. </w:t>
      </w:r>
      <w:r w:rsidR="008D5D9A">
        <w:t>Lastly, w</w:t>
      </w:r>
      <w:r>
        <w:t xml:space="preserve">e quantified vessel traffic and ballast water discharge for U.S. ports in the Bering Sea to explore the intersection between areas of high traffic and NIS </w:t>
      </w:r>
      <w:r w:rsidR="00EE29D9">
        <w:t>s</w:t>
      </w:r>
      <w:r>
        <w:t>uitability. Since relatively few NIS have been documented in the Bering Sea (see Reimer et al. 201</w:t>
      </w:r>
      <w:r w:rsidR="00EE29D9">
        <w:t>7</w:t>
      </w:r>
      <w:r>
        <w:t xml:space="preserve">), we predicted that </w:t>
      </w:r>
      <w:r w:rsidR="00EE29D9">
        <w:t xml:space="preserve">survival and establishment of NIS would be limited </w:t>
      </w:r>
      <w:r>
        <w:lastRenderedPageBreak/>
        <w:t xml:space="preserve">under </w:t>
      </w:r>
      <w:r w:rsidR="00C22610">
        <w:t>current</w:t>
      </w:r>
      <w:r>
        <w:t xml:space="preserve"> conditions. Given projections for increased sea temperatures and receding sea ice, we predicted that there would be an increase in suitable </w:t>
      </w:r>
      <w:r w:rsidR="00A33ACE">
        <w:t xml:space="preserve">conditions by mid-century, which would be reflected in </w:t>
      </w:r>
      <w:r w:rsidR="00B54E15">
        <w:t xml:space="preserve">increased suitability for </w:t>
      </w:r>
      <w:r>
        <w:t>a larger number of NIS</w:t>
      </w:r>
      <w:r w:rsidR="0007769C">
        <w:t xml:space="preserve"> and for a longer </w:t>
      </w:r>
      <w:commentRangeStart w:id="4"/>
      <w:r w:rsidR="0007769C">
        <w:t>annual-period</w:t>
      </w:r>
      <w:commentRangeEnd w:id="4"/>
      <w:r w:rsidR="00706950">
        <w:rPr>
          <w:rStyle w:val="CommentReference"/>
        </w:rPr>
        <w:commentReference w:id="4"/>
      </w:r>
      <w:r w:rsidR="0007769C">
        <w:t xml:space="preserve"> of time</w:t>
      </w:r>
      <w:r>
        <w:t xml:space="preserve">. </w:t>
      </w:r>
    </w:p>
    <w:p w14:paraId="39F9E790" w14:textId="1A75EEBD" w:rsidR="00725003" w:rsidRDefault="00725003" w:rsidP="00725003">
      <w:pPr>
        <w:pStyle w:val="Heading1"/>
      </w:pPr>
      <w:r>
        <w:t>M</w:t>
      </w:r>
      <w:r w:rsidR="00B541E3">
        <w:t>aterials and m</w:t>
      </w:r>
      <w:r>
        <w:t>ethods</w:t>
      </w:r>
    </w:p>
    <w:p w14:paraId="433558ED" w14:textId="6271FAB5" w:rsidR="00725003" w:rsidRDefault="00725003" w:rsidP="00725003">
      <w:pPr>
        <w:pStyle w:val="Heading2"/>
      </w:pPr>
      <w:bookmarkStart w:id="5" w:name="_2s8eyo1" w:colFirst="0" w:colLast="0"/>
      <w:bookmarkEnd w:id="5"/>
      <w:r>
        <w:t>Study area and taxa</w:t>
      </w:r>
    </w:p>
    <w:p w14:paraId="2EA1AFF1" w14:textId="3A9953ED" w:rsidR="0058772B" w:rsidRDefault="00725003" w:rsidP="00725003">
      <w:bookmarkStart w:id="6" w:name="_17dp8vu" w:colFirst="0" w:colLast="0"/>
      <w:bookmarkEnd w:id="6"/>
      <w:r>
        <w:t>The Bering Sea lies between the temperate North Pacific Ocean and the arctic waters of the Chukchi Sea</w:t>
      </w:r>
      <w:r w:rsidR="00F865CC">
        <w:t>. It</w:t>
      </w:r>
      <w:r>
        <w:t xml:space="preserve"> span</w:t>
      </w:r>
      <w:r w:rsidR="00F865CC">
        <w:t>s</w:t>
      </w:r>
      <w:r>
        <w:t xml:space="preserve"> 14 degrees </w:t>
      </w:r>
      <w:r w:rsidRPr="004E03AC">
        <w:t>of latitude and extend</w:t>
      </w:r>
      <w:r w:rsidR="00F865CC" w:rsidRPr="004E03AC">
        <w:t>s</w:t>
      </w:r>
      <w:r w:rsidRPr="004E03AC">
        <w:t xml:space="preserve"> more than 1,500 kilometers from Alaska (U.S.) to Russia (Figure 1).</w:t>
      </w:r>
      <w:r w:rsidR="0031494B" w:rsidRPr="004E03AC">
        <w:t xml:space="preserve"> </w:t>
      </w:r>
      <w:r w:rsidR="004E03AC" w:rsidRPr="004E03AC">
        <w:t xml:space="preserve">The Bering Sea marks a transition zone between arctic and subarctic ocean systems. </w:t>
      </w:r>
      <w:r w:rsidR="0031494B" w:rsidRPr="004E03AC">
        <w:t>Sea ice forms seasonally in the</w:t>
      </w:r>
      <w:r w:rsidR="004E03AC" w:rsidRPr="004E03AC">
        <w:t xml:space="preserve"> north, reaching its maximum extent in April, though the location of the ice boundary shifts from year to year (Grebmeier et al. 2006a). </w:t>
      </w:r>
      <w:r w:rsidRPr="004E03AC">
        <w:t>It</w:t>
      </w:r>
      <w:r>
        <w:t xml:space="preserve"> is comprised of a deep-water basin in the southwest, an extensive eastern continental shelf, and a narrow western shelf. The Bering Sea’s eastern shelf </w:t>
      </w:r>
      <w:r w:rsidR="00F865CC">
        <w:t>has</w:t>
      </w:r>
      <w:r>
        <w:t xml:space="preserve"> some of the highest level</w:t>
      </w:r>
      <w:r w:rsidR="00F865CC">
        <w:t>s</w:t>
      </w:r>
      <w:r>
        <w:t xml:space="preserve"> of marine productivity in the world, </w:t>
      </w:r>
      <w:r w:rsidR="004E4CD3">
        <w:t>supporting</w:t>
      </w:r>
      <w:r>
        <w:t xml:space="preserve"> </w:t>
      </w:r>
      <w:r w:rsidR="004E4CD3">
        <w:t xml:space="preserve">a </w:t>
      </w:r>
      <w:r>
        <w:t xml:space="preserve">USD $1 billion commercial </w:t>
      </w:r>
      <w:commentRangeStart w:id="7"/>
      <w:commentRangeStart w:id="8"/>
      <w:r>
        <w:t>fis</w:t>
      </w:r>
      <w:commentRangeEnd w:id="7"/>
      <w:commentRangeEnd w:id="8"/>
      <w:r w:rsidR="004E4CD3">
        <w:t>hing industry</w:t>
      </w:r>
      <w:r>
        <w:commentReference w:id="7"/>
      </w:r>
      <w:r w:rsidR="004E4CD3">
        <w:t xml:space="preserve"> (NMFS 2017)</w:t>
      </w:r>
      <w:r w:rsidR="004E4CD3">
        <w:rPr>
          <w:rStyle w:val="CommentReference"/>
        </w:rPr>
        <w:commentReference w:id="8"/>
      </w:r>
      <w:r>
        <w:t xml:space="preserve">. The Bering Sea is also a hub for international and regional </w:t>
      </w:r>
      <w:r w:rsidR="00282CCC">
        <w:t>vessel</w:t>
      </w:r>
      <w:r>
        <w:t xml:space="preserve"> traffic (McGee et al. 2006). To date, only four NIS have been reported in the Bering Sea: </w:t>
      </w:r>
      <w:r>
        <w:rPr>
          <w:i/>
        </w:rPr>
        <w:t>Alosa sapidissima</w:t>
      </w:r>
      <w:r>
        <w:t xml:space="preserve">, </w:t>
      </w:r>
      <w:r>
        <w:rPr>
          <w:i/>
        </w:rPr>
        <w:t>Caprella mutica</w:t>
      </w:r>
      <w:r>
        <w:t xml:space="preserve">, </w:t>
      </w:r>
      <w:r>
        <w:rPr>
          <w:i/>
        </w:rPr>
        <w:t>Mya arenaria</w:t>
      </w:r>
      <w:r>
        <w:t xml:space="preserve">, and </w:t>
      </w:r>
      <w:r>
        <w:rPr>
          <w:i/>
        </w:rPr>
        <w:t>Salmo salar</w:t>
      </w:r>
      <w:r>
        <w:t xml:space="preserve"> (</w:t>
      </w:r>
      <w:r w:rsidR="00B541E3">
        <w:t>Fofonoff et al. 2018</w:t>
      </w:r>
      <w:r>
        <w:t xml:space="preserve">; see Powers et al. (2006) for a discussion on the history of </w:t>
      </w:r>
      <w:r>
        <w:rPr>
          <w:i/>
        </w:rPr>
        <w:t xml:space="preserve">M. arenaria </w:t>
      </w:r>
      <w:r>
        <w:t xml:space="preserve">in Alaska). Of these, only </w:t>
      </w:r>
      <w:r>
        <w:rPr>
          <w:i/>
        </w:rPr>
        <w:t xml:space="preserve">C. mutica </w:t>
      </w:r>
      <w:r>
        <w:t xml:space="preserve">and </w:t>
      </w:r>
      <w:r>
        <w:rPr>
          <w:i/>
        </w:rPr>
        <w:t xml:space="preserve">M. arenaria </w:t>
      </w:r>
      <w:r>
        <w:t xml:space="preserve">have established </w:t>
      </w:r>
      <w:r w:rsidR="009306A4">
        <w:t xml:space="preserve">self-sustaining </w:t>
      </w:r>
      <w:r>
        <w:t>populations (Ashton et al. 2008).</w:t>
      </w:r>
    </w:p>
    <w:p w14:paraId="101A33E4" w14:textId="4C08B38C" w:rsidR="00725003" w:rsidRDefault="00725003" w:rsidP="00725003">
      <w:r>
        <w:t xml:space="preserve">We selected </w:t>
      </w:r>
      <w:r w:rsidR="009306A4">
        <w:t>NIS to include in our analysis</w:t>
      </w:r>
      <w:r>
        <w:t xml:space="preserve"> based on occurrence records from </w:t>
      </w:r>
      <w:r w:rsidR="009306A4">
        <w:t xml:space="preserve">two national databases: </w:t>
      </w:r>
      <w:r>
        <w:t xml:space="preserve">the National Exotic Marine and Estuarine Species Information System (NEMESIS; </w:t>
      </w:r>
      <w:r w:rsidR="00B541E3">
        <w:t>Fofonoff et al. 2018</w:t>
      </w:r>
      <w:r>
        <w:t xml:space="preserve">) and the Nonindigenous Aquatic Species Database (Fuller and Benson 2013). </w:t>
      </w:r>
      <w:r w:rsidR="009306A4">
        <w:t>We</w:t>
      </w:r>
      <w:r>
        <w:t xml:space="preserve"> included</w:t>
      </w:r>
      <w:r w:rsidR="009306A4">
        <w:t xml:space="preserve"> only NIS</w:t>
      </w:r>
      <w:r>
        <w:t xml:space="preserve"> </w:t>
      </w:r>
      <w:r w:rsidR="009306A4">
        <w:t>that had</w:t>
      </w:r>
      <w:r>
        <w:t xml:space="preserve"> occurrence records either within the Bering Sea, or that have been reported no farther than the Washington-Oregon border in the east Pacific and the Sea of Japan to the west. We considered only </w:t>
      </w:r>
      <w:r w:rsidR="009306A4">
        <w:t xml:space="preserve">euhaline </w:t>
      </w:r>
      <w:r>
        <w:t>taxa that can tolerate salinities</w:t>
      </w:r>
      <w:r>
        <w:rPr>
          <w:rFonts w:ascii="Gungsuh" w:eastAsia="Gungsuh" w:hAnsi="Gungsuh" w:cs="Gungsuh"/>
        </w:rPr>
        <w:t xml:space="preserve"> </w:t>
      </w:r>
      <w:r w:rsidRPr="00725003">
        <w:t>≥30 parts per trillion (ppt)</w:t>
      </w:r>
      <w:r>
        <w:t xml:space="preserve"> (as per the Venice system of classification, Anonymous 1958). </w:t>
      </w:r>
      <w:r w:rsidR="009306A4">
        <w:t>Of the NIS we included, t</w:t>
      </w:r>
      <w:r>
        <w:t>he most common taxonomic groups were Crustacea (</w:t>
      </w:r>
      <w:r>
        <w:rPr>
          <w:i/>
        </w:rPr>
        <w:t>n</w:t>
      </w:r>
      <w:r>
        <w:t>=15), Mollusca (</w:t>
      </w:r>
      <w:r>
        <w:rPr>
          <w:i/>
        </w:rPr>
        <w:t>n</w:t>
      </w:r>
      <w:r>
        <w:t>=11), and Tunicata (</w:t>
      </w:r>
      <w:r>
        <w:rPr>
          <w:i/>
        </w:rPr>
        <w:t>n</w:t>
      </w:r>
      <w:r>
        <w:t>=8). All taxa included have been documented to spread via at least one anthropogenic vector (e.g. ballast water, biofouling, intentional introductions; see Reimer et al. 2017).</w:t>
      </w:r>
    </w:p>
    <w:p w14:paraId="6CDF7A73" w14:textId="77777777" w:rsidR="009A4A8F" w:rsidRDefault="009A4A8F" w:rsidP="009A4A8F">
      <w:pPr>
        <w:pStyle w:val="Heading2"/>
      </w:pPr>
      <w:r>
        <w:t>Modeling suitable conditions</w:t>
      </w:r>
    </w:p>
    <w:p w14:paraId="2100E211" w14:textId="0D360BC0" w:rsidR="009A4A8F" w:rsidRPr="009A4A8F" w:rsidRDefault="009A4A8F" w:rsidP="009A4A8F">
      <w:pPr>
        <w:rPr>
          <w:color w:val="000000"/>
        </w:rPr>
      </w:pPr>
      <w:r>
        <w:t xml:space="preserve">Few environmental covariates are available for the Bering Sea and detailed habitat requirements are unknown for many of the taxa we considered. However, models have been built to define ocean temperatures and salinity for both recent timeframes and future predictions, and temperature and salinity thresholds are available for many taxa. Moreover, most NIS inhabit nearshore or otherwise shallow waters (Ruiz et al. 2015). </w:t>
      </w:r>
      <w:r>
        <w:rPr>
          <w:color w:val="000000"/>
        </w:rPr>
        <w:t>We therefore define “suitable conditions” as a function of temperature, salinity, and water depth</w:t>
      </w:r>
      <w:r w:rsidR="00F66304">
        <w:rPr>
          <w:color w:val="000000"/>
        </w:rPr>
        <w:t xml:space="preserve">, and considered the potential for NIS to: a) survive year-round; b) survive for </w:t>
      </w:r>
      <w:r w:rsidR="00E9244B">
        <w:rPr>
          <w:color w:val="000000"/>
        </w:rPr>
        <w:t>at least one week of the year; and c) reproduce for at least one week of the year</w:t>
      </w:r>
      <w:r>
        <w:rPr>
          <w:color w:val="000000"/>
        </w:rPr>
        <w:t xml:space="preserve">. </w:t>
      </w:r>
    </w:p>
    <w:p w14:paraId="2391415F" w14:textId="3CEF7DD0" w:rsidR="00725003" w:rsidRDefault="00725003" w:rsidP="00725003">
      <w:pPr>
        <w:pStyle w:val="Heading2"/>
      </w:pPr>
      <w:r>
        <w:t>Defining taxa-specific thresholds</w:t>
      </w:r>
    </w:p>
    <w:p w14:paraId="77E530B9" w14:textId="7E9F800C" w:rsidR="00725003" w:rsidRPr="00733A3C" w:rsidRDefault="00725003" w:rsidP="00733A3C">
      <w:pPr>
        <w:rPr>
          <w:rFonts w:ascii="Arial" w:eastAsia="Arial" w:hAnsi="Arial" w:cs="Arial"/>
          <w:color w:val="000000"/>
        </w:rPr>
      </w:pPr>
      <w:r>
        <w:t>We obtained taxa-specific temperature (T) and salinity (S) survival thresholds for 42 NIS and T-S reproductive thresholds for 29 NIS reported in peer-reviewed publications</w:t>
      </w:r>
      <w:r w:rsidR="00683AD5">
        <w:t>, reports, and electronic databases</w:t>
      </w:r>
      <w:r>
        <w:t xml:space="preserve"> </w:t>
      </w:r>
      <w:r>
        <w:rPr>
          <w:highlight w:val="yellow"/>
        </w:rPr>
        <w:t xml:space="preserve">(Appendix </w:t>
      </w:r>
      <w:r w:rsidR="00683AD5">
        <w:rPr>
          <w:highlight w:val="yellow"/>
        </w:rPr>
        <w:t>A</w:t>
      </w:r>
      <w:r>
        <w:rPr>
          <w:highlight w:val="yellow"/>
        </w:rPr>
        <w:t>)</w:t>
      </w:r>
      <w:r>
        <w:t>. We prioritized T-S thresholds from experimental or field-based studies</w:t>
      </w:r>
      <w:r w:rsidR="00683AD5">
        <w:t>, but</w:t>
      </w:r>
      <w:r>
        <w:t xml:space="preserve"> </w:t>
      </w:r>
      <w:r w:rsidR="00683AD5">
        <w:t xml:space="preserve">used thresholds inferred from geographic distributions </w:t>
      </w:r>
      <w:r>
        <w:t xml:space="preserve">in the absence of published thresholds. </w:t>
      </w:r>
      <w:r w:rsidR="00683AD5">
        <w:t>We define s</w:t>
      </w:r>
      <w:r>
        <w:t xml:space="preserve">urvival thresholds </w:t>
      </w:r>
      <w:r w:rsidR="00683AD5">
        <w:t>as</w:t>
      </w:r>
      <w:r>
        <w:t xml:space="preserve"> the broadest range of temperatures and salinities a given taxon can tolerate. Survival thresholds were therefore identified as the absolute minimum and maximum values reported for that taxon, irrespective of life stage and geography. In contrast, reproductive thresholds represent the narrowest T-S range required for growth or reproduction. If multiple thresholds were available (e.g. </w:t>
      </w:r>
      <w:r>
        <w:lastRenderedPageBreak/>
        <w:t xml:space="preserve">spawning versus larval development), we chose the thresholds associated with the least tolerant life stage. Our models were developed to require information on minimum and maximum thresholds for both temperature and salinity. For taxa that have been observed in temperatures that exceeded the Bering Sea maximum (~17°C), but for which no </w:t>
      </w:r>
      <w:r>
        <w:rPr>
          <w:color w:val="000000"/>
        </w:rPr>
        <w:t xml:space="preserve">maximum temperature threshold </w:t>
      </w:r>
      <w:r w:rsidRPr="00733A3C">
        <w:t xml:space="preserve">was reported, </w:t>
      </w:r>
      <w:r>
        <w:rPr>
          <w:color w:val="000000"/>
        </w:rPr>
        <w:t>we assigned an arbitrary maximum temperature value of +999 to ensure its inclusion in our model analyses.</w:t>
      </w:r>
      <w:r w:rsidRPr="00725003">
        <w:t xml:space="preserve"> </w:t>
      </w:r>
      <w:r w:rsidRPr="00733A3C">
        <w:t xml:space="preserve">For taxa that had been reported from marine ecoregions whose salinities were comparable to those of the Bering Sea, but for which no </w:t>
      </w:r>
      <w:r>
        <w:rPr>
          <w:color w:val="000000"/>
        </w:rPr>
        <w:t xml:space="preserve">salinity thresholds were </w:t>
      </w:r>
      <w:r w:rsidRPr="00725003">
        <w:t>reported</w:t>
      </w:r>
      <w:r>
        <w:rPr>
          <w:color w:val="000000"/>
        </w:rPr>
        <w:t xml:space="preserve">, we set </w:t>
      </w:r>
      <w:r w:rsidRPr="00733A3C">
        <w:t>a</w:t>
      </w:r>
      <w:r>
        <w:rPr>
          <w:color w:val="000000"/>
        </w:rPr>
        <w:t xml:space="preserve"> salinity range to average seawater values (31 to 35 ppt), which would confer salinity survival to 98.8% of the Bering Sea shelf.</w:t>
      </w:r>
    </w:p>
    <w:p w14:paraId="2E8B248A" w14:textId="77777777" w:rsidR="00725003" w:rsidRDefault="00725003" w:rsidP="00725003">
      <w:pPr>
        <w:pStyle w:val="Heading2"/>
      </w:pPr>
      <w:bookmarkStart w:id="9" w:name="_26in1rg" w:colFirst="0" w:colLast="0"/>
      <w:bookmarkEnd w:id="9"/>
      <w:r>
        <w:t>Defining temperature and salinity of the Bering Sea</w:t>
      </w:r>
    </w:p>
    <w:p w14:paraId="1126722B" w14:textId="358F852F" w:rsidR="00725003" w:rsidRDefault="00725003" w:rsidP="00725003">
      <w:r>
        <w:t xml:space="preserve">We </w:t>
      </w:r>
      <w:r w:rsidR="0050661B">
        <w:t>derived</w:t>
      </w:r>
      <w:r>
        <w:t xml:space="preserve"> T-S values of the Bering Sea from three Regional Ocean Modeling Systems (ROMS) developed by NOAA</w:t>
      </w:r>
      <w:r w:rsidR="00683AD5">
        <w:t>’</w:t>
      </w:r>
      <w:r>
        <w:t>s Pacific Marine Environmental Laboratory (PMEL</w:t>
      </w:r>
      <w:r w:rsidRPr="0050661B">
        <w:t>;</w:t>
      </w:r>
      <w:r w:rsidR="0050661B">
        <w:t xml:space="preserve"> </w:t>
      </w:r>
      <w:r>
        <w:t xml:space="preserve">Hermann et al. 2013, 2016). Each ROMS was generated by downscaling one of three general circulation models (GCMs): 1) CGCM3-t47, 2) ECHO-G, and 3) MIROC3.2, which were chosen for their ability to </w:t>
      </w:r>
      <w:r w:rsidRPr="0050661B">
        <w:t>satisfactorily</w:t>
      </w:r>
      <w:r>
        <w:t xml:space="preserve"> predict observed conditions in the Bering Sea and the northeastern Pacific (Wang et al. 2010, Hermann et al. 2016). ROMS outputs provide weekly values of temperature and salinity with a 6-nautical mile </w:t>
      </w:r>
      <w:r w:rsidR="00BB4C00">
        <w:t>(</w:t>
      </w:r>
      <w:r w:rsidR="0083077A">
        <w:t>NM</w:t>
      </w:r>
      <w:r w:rsidR="00BB4C00">
        <w:t xml:space="preserve">) </w:t>
      </w:r>
      <w:r>
        <w:t xml:space="preserve">spatial resolution and for </w:t>
      </w:r>
      <w:commentRangeStart w:id="10"/>
      <w:r>
        <w:t>10</w:t>
      </w:r>
      <w:commentRangeEnd w:id="10"/>
      <w:r w:rsidR="00D1740B">
        <w:rPr>
          <w:rStyle w:val="CommentReference"/>
        </w:rPr>
        <w:commentReference w:id="10"/>
      </w:r>
      <w:r>
        <w:t xml:space="preserve"> vertical depth</w:t>
      </w:r>
      <w:r w:rsidR="0050661B">
        <w:t xml:space="preserve"> levels (Hermann et al. 2016). </w:t>
      </w:r>
      <w:r w:rsidR="009A4A8F">
        <w:t xml:space="preserve">T-S values are available for the entire Bering Sea; however, given the coastal affinities of most NIS, </w:t>
      </w:r>
      <w:r w:rsidR="009A4A8F">
        <w:rPr>
          <w:color w:val="000000"/>
        </w:rPr>
        <w:t xml:space="preserve">we restricted our analyses to the continental shelves i.e. waters with total depths &lt; 200 meters (m). </w:t>
      </w:r>
      <w:r w:rsidR="00F66304">
        <w:rPr>
          <w:color w:val="000000"/>
        </w:rPr>
        <w:t xml:space="preserve">Because temperature and salinity change with depth, T-S values are available </w:t>
      </w:r>
      <w:r w:rsidR="009A4A8F">
        <w:rPr>
          <w:color w:val="000000"/>
        </w:rPr>
        <w:t>for several water depth intervals (roughly every 10 m up to 300 m; Hermann et al. 2016)</w:t>
      </w:r>
      <w:r w:rsidR="00F66304">
        <w:rPr>
          <w:color w:val="000000"/>
        </w:rPr>
        <w:t>. W</w:t>
      </w:r>
      <w:r w:rsidR="009A4A8F">
        <w:t xml:space="preserve">e restricted our analyses to </w:t>
      </w:r>
      <w:r w:rsidR="00F66304">
        <w:t>the upper stratum of the water column (</w:t>
      </w:r>
      <w:r w:rsidR="009A4A8F">
        <w:t>depths up to 40 m</w:t>
      </w:r>
      <w:r w:rsidR="00F66304">
        <w:t>)</w:t>
      </w:r>
      <w:r w:rsidR="009A4A8F">
        <w:t xml:space="preserve"> and collapsed the depth dimension for each pixel into a single value by taking the maximum T-S values.</w:t>
      </w:r>
    </w:p>
    <w:p w14:paraId="0AF68942" w14:textId="4AFEE724" w:rsidR="00725003" w:rsidRDefault="00683AD5" w:rsidP="00725003">
      <w:bookmarkStart w:id="11" w:name="_lnxbz9" w:colFirst="0" w:colLast="0"/>
      <w:bookmarkEnd w:id="11"/>
      <w:r>
        <w:t>W</w:t>
      </w:r>
      <w:r w:rsidR="00725003" w:rsidRPr="00683AD5">
        <w:t>e considered two 10-year study periods: recent (2003-2012) and mid-century</w:t>
      </w:r>
      <w:r w:rsidR="00725003">
        <w:t xml:space="preserve"> (2030-2039)</w:t>
      </w:r>
      <w:r w:rsidR="00553FCF">
        <w:t xml:space="preserve"> to evaluate changes in environmental suitability over time</w:t>
      </w:r>
      <w:r w:rsidR="00725003">
        <w:t xml:space="preserve">. </w:t>
      </w:r>
      <w:r>
        <w:t xml:space="preserve">Opting for a decadal </w:t>
      </w:r>
      <w:r w:rsidR="009B2514">
        <w:t>study</w:t>
      </w:r>
      <w:r>
        <w:t xml:space="preserve"> period (rather than a single year) allows us to incorporate system uncertainty inherent from </w:t>
      </w:r>
      <w:r w:rsidRPr="00683AD5">
        <w:t>annual fluctuations in Bering Sea conditions</w:t>
      </w:r>
      <w:r>
        <w:t>.</w:t>
      </w:r>
      <w:r w:rsidRPr="00683AD5">
        <w:t xml:space="preserve"> </w:t>
      </w:r>
      <w:r w:rsidR="00725003">
        <w:t xml:space="preserve">Projections </w:t>
      </w:r>
      <w:r w:rsidR="00725003">
        <w:rPr>
          <w:color w:val="000000"/>
        </w:rPr>
        <w:t>were based on the A1B emissions scenario from the Intergovernmental Panel on Climate Change (IPCC) Fourth Assessment Report (Nakićenović et al. 2000). Compared to other scenarios, the A1B scenario implies moderate greenhouse forcing mitigation</w:t>
      </w:r>
      <w:r w:rsidR="00725003" w:rsidRPr="00963008">
        <w:t>; h</w:t>
      </w:r>
      <w:r w:rsidR="00725003">
        <w:rPr>
          <w:color w:val="000000"/>
        </w:rPr>
        <w:t xml:space="preserve">owever, because all </w:t>
      </w:r>
      <w:r w:rsidR="00725003">
        <w:t>scenarios generally track each other in the near-term, results from A1B GCMs do not differ substantially from other emission scenarios over the</w:t>
      </w:r>
      <w:r>
        <w:t xml:space="preserve"> length of our</w:t>
      </w:r>
      <w:r w:rsidR="00725003">
        <w:t xml:space="preserve"> study period (2003-2039; </w:t>
      </w:r>
      <w:r w:rsidR="00725003">
        <w:rPr>
          <w:color w:val="222222"/>
        </w:rPr>
        <w:t>Nakićenović et al. 2000</w:t>
      </w:r>
      <w:r w:rsidR="00725003">
        <w:t>).</w:t>
      </w:r>
    </w:p>
    <w:p w14:paraId="35A4DD30" w14:textId="138F693D" w:rsidR="00E9244B" w:rsidRDefault="00E9244B" w:rsidP="006A408C">
      <w:pPr>
        <w:pStyle w:val="Heading2"/>
      </w:pPr>
      <w:r>
        <w:t>Analyzing potential for survival and reproduction</w:t>
      </w:r>
    </w:p>
    <w:p w14:paraId="45D233EE" w14:textId="2BC28F3A" w:rsidR="00532F6E" w:rsidRDefault="00F6010E" w:rsidP="00532F6E">
      <w:pPr>
        <w:rPr>
          <w:color w:val="000000"/>
        </w:rPr>
      </w:pPr>
      <w:r>
        <w:rPr>
          <w:color w:val="000000"/>
        </w:rPr>
        <w:t xml:space="preserve">We </w:t>
      </w:r>
      <w:r w:rsidR="00532F6E">
        <w:rPr>
          <w:color w:val="000000"/>
        </w:rPr>
        <w:t xml:space="preserve">analyzed </w:t>
      </w:r>
      <w:r w:rsidR="00E9244B">
        <w:rPr>
          <w:color w:val="000000"/>
        </w:rPr>
        <w:t xml:space="preserve">whether </w:t>
      </w:r>
      <w:r w:rsidR="00532F6E">
        <w:rPr>
          <w:color w:val="000000"/>
        </w:rPr>
        <w:t>suitab</w:t>
      </w:r>
      <w:r w:rsidR="00E9244B">
        <w:rPr>
          <w:color w:val="000000"/>
        </w:rPr>
        <w:t xml:space="preserve">le conditions were available </w:t>
      </w:r>
      <w:r w:rsidR="00532F6E">
        <w:rPr>
          <w:color w:val="000000"/>
        </w:rPr>
        <w:t xml:space="preserve">for </w:t>
      </w:r>
      <w:r w:rsidR="00143C7B">
        <w:rPr>
          <w:color w:val="000000"/>
        </w:rPr>
        <w:t xml:space="preserve">each of the following categories: </w:t>
      </w:r>
    </w:p>
    <w:p w14:paraId="67191EA7" w14:textId="455656DF" w:rsidR="00532F6E" w:rsidRPr="00501591" w:rsidRDefault="00532F6E" w:rsidP="009E0CF6">
      <w:pPr>
        <w:pStyle w:val="ListParagraph"/>
        <w:numPr>
          <w:ilvl w:val="0"/>
          <w:numId w:val="1"/>
        </w:numPr>
        <w:rPr>
          <w:highlight w:val="yellow"/>
        </w:rPr>
      </w:pPr>
      <w:r w:rsidRPr="009E0CF6">
        <w:rPr>
          <w:color w:val="000000"/>
        </w:rPr>
        <w:t xml:space="preserve">Year-round survival: </w:t>
      </w:r>
      <w:r w:rsidR="00C50156">
        <w:rPr>
          <w:color w:val="000000"/>
        </w:rPr>
        <w:t xml:space="preserve">for each taxon, </w:t>
      </w:r>
      <w:r w:rsidRPr="009E0CF6">
        <w:rPr>
          <w:highlight w:val="white"/>
        </w:rPr>
        <w:t xml:space="preserve">we defined a </w:t>
      </w:r>
      <w:r>
        <w:t xml:space="preserve">6-nautical mile </w:t>
      </w:r>
      <w:r w:rsidRPr="009E0CF6">
        <w:rPr>
          <w:highlight w:val="white"/>
        </w:rPr>
        <w:t xml:space="preserve">pixel as ‘suitable’ if the pixel’s T-S values remained within the taxon’s </w:t>
      </w:r>
      <w:r w:rsidR="00C50156">
        <w:rPr>
          <w:highlight w:val="white"/>
        </w:rPr>
        <w:t xml:space="preserve">T-S </w:t>
      </w:r>
      <w:r w:rsidRPr="009E0CF6">
        <w:rPr>
          <w:color w:val="000000"/>
          <w:highlight w:val="white"/>
        </w:rPr>
        <w:t xml:space="preserve">survival range for all weeks of a given year. </w:t>
      </w:r>
      <w:r w:rsidR="00C50156">
        <w:rPr>
          <w:color w:val="000000"/>
          <w:highlight w:val="white"/>
        </w:rPr>
        <w:t xml:space="preserve">Within each 10-year study period, </w:t>
      </w:r>
      <w:r w:rsidR="00C50156">
        <w:rPr>
          <w:color w:val="000000"/>
        </w:rPr>
        <w:t>w</w:t>
      </w:r>
      <w:r w:rsidRPr="009E0CF6">
        <w:rPr>
          <w:color w:val="000000"/>
        </w:rPr>
        <w:t xml:space="preserve">e classified the pixel as ‘suitable year-round’ if it </w:t>
      </w:r>
      <w:r w:rsidR="00C50156">
        <w:rPr>
          <w:color w:val="000000"/>
        </w:rPr>
        <w:t>was</w:t>
      </w:r>
      <w:r w:rsidR="00C50156" w:rsidRPr="009E0CF6">
        <w:rPr>
          <w:color w:val="000000"/>
        </w:rPr>
        <w:t xml:space="preserve"> </w:t>
      </w:r>
      <w:r w:rsidRPr="009E0CF6">
        <w:rPr>
          <w:color w:val="000000"/>
        </w:rPr>
        <w:t xml:space="preserve">suitable for at least </w:t>
      </w:r>
      <w:r w:rsidRPr="009E0CF6">
        <w:t>seven</w:t>
      </w:r>
      <w:r w:rsidRPr="009E0CF6">
        <w:rPr>
          <w:color w:val="000000"/>
        </w:rPr>
        <w:t xml:space="preserve"> of the 10</w:t>
      </w:r>
      <w:r w:rsidR="00C50156">
        <w:rPr>
          <w:color w:val="000000"/>
        </w:rPr>
        <w:t xml:space="preserve"> </w:t>
      </w:r>
      <w:r w:rsidRPr="009E0CF6">
        <w:rPr>
          <w:color w:val="000000"/>
        </w:rPr>
        <w:t>year</w:t>
      </w:r>
      <w:r w:rsidR="00C50156">
        <w:rPr>
          <w:color w:val="000000"/>
        </w:rPr>
        <w:t>s</w:t>
      </w:r>
      <w:r w:rsidRPr="009E0CF6">
        <w:rPr>
          <w:color w:val="000000"/>
        </w:rPr>
        <w:t xml:space="preserve">. </w:t>
      </w:r>
      <w:r w:rsidR="00C50156">
        <w:rPr>
          <w:color w:val="000000"/>
        </w:rPr>
        <w:t xml:space="preserve">Across-taxa </w:t>
      </w:r>
      <w:r w:rsidRPr="009E0CF6">
        <w:rPr>
          <w:color w:val="000000"/>
        </w:rPr>
        <w:t xml:space="preserve">suitability was determined for each pixel by summing the number of </w:t>
      </w:r>
      <w:r w:rsidR="00F6010E">
        <w:rPr>
          <w:color w:val="000000"/>
        </w:rPr>
        <w:t xml:space="preserve">taxa </w:t>
      </w:r>
      <w:r w:rsidR="009E0CF6" w:rsidRPr="009E0CF6">
        <w:rPr>
          <w:color w:val="000000"/>
        </w:rPr>
        <w:t>with</w:t>
      </w:r>
      <w:r w:rsidRPr="009E0CF6">
        <w:rPr>
          <w:color w:val="000000"/>
        </w:rPr>
        <w:t xml:space="preserve"> suitable year-round </w:t>
      </w:r>
      <w:r w:rsidR="00A959D3">
        <w:rPr>
          <w:color w:val="000000"/>
        </w:rPr>
        <w:t>conditions</w:t>
      </w:r>
      <w:r w:rsidRPr="009E0CF6">
        <w:rPr>
          <w:color w:val="000000"/>
        </w:rPr>
        <w:t xml:space="preserve"> in that pixel. We </w:t>
      </w:r>
      <w:r>
        <w:t>examined</w:t>
      </w:r>
      <w:r w:rsidRPr="009E0CF6">
        <w:rPr>
          <w:color w:val="000000"/>
        </w:rPr>
        <w:t xml:space="preserve"> c</w:t>
      </w:r>
      <w:r>
        <w:t>hange in sui</w:t>
      </w:r>
      <w:r w:rsidR="009E0CF6">
        <w:t xml:space="preserve">table </w:t>
      </w:r>
      <w:r w:rsidR="00F6010E">
        <w:t>conditions</w:t>
      </w:r>
      <w:r w:rsidR="009E0CF6">
        <w:t xml:space="preserve"> by subtracting the</w:t>
      </w:r>
      <w:r>
        <w:t xml:space="preserve"> mid-century </w:t>
      </w:r>
      <w:r w:rsidR="009E0CF6">
        <w:t xml:space="preserve">suitability raster from the </w:t>
      </w:r>
      <w:r w:rsidR="00051D6E">
        <w:t>recent</w:t>
      </w:r>
      <w:r w:rsidR="009E0CF6">
        <w:t xml:space="preserve"> suitability</w:t>
      </w:r>
      <w:r>
        <w:t xml:space="preserve"> raster. </w:t>
      </w:r>
      <w:r w:rsidR="00501591">
        <w:t xml:space="preserve">For a given pixel, a positive value indicates that more taxa are predicted to have suitable conditions by mid-century compared to the recent time period. </w:t>
      </w:r>
      <w:r w:rsidR="009E0CF6" w:rsidRPr="00501591">
        <w:rPr>
          <w:highlight w:val="yellow"/>
        </w:rPr>
        <w:t xml:space="preserve">Changes </w:t>
      </w:r>
      <w:r w:rsidRPr="00501591">
        <w:rPr>
          <w:highlight w:val="yellow"/>
        </w:rPr>
        <w:t xml:space="preserve">in suitable </w:t>
      </w:r>
      <w:r w:rsidR="009E0CF6" w:rsidRPr="00501591">
        <w:rPr>
          <w:highlight w:val="yellow"/>
        </w:rPr>
        <w:t>area were</w:t>
      </w:r>
      <w:r w:rsidRPr="00501591">
        <w:rPr>
          <w:highlight w:val="yellow"/>
        </w:rPr>
        <w:t xml:space="preserve"> calculated </w:t>
      </w:r>
      <w:r w:rsidR="009E0CF6" w:rsidRPr="00501591">
        <w:rPr>
          <w:highlight w:val="yellow"/>
        </w:rPr>
        <w:t>as the percent of positive (i.e. increase) or negative (i.e. decrease) pixels in the study area</w:t>
      </w:r>
      <w:r w:rsidRPr="00501591">
        <w:rPr>
          <w:highlight w:val="yellow"/>
        </w:rPr>
        <w:t xml:space="preserve">. </w:t>
      </w:r>
    </w:p>
    <w:p w14:paraId="3B3A93A9" w14:textId="507CCAF2" w:rsidR="009E0CF6" w:rsidRDefault="009E0CF6" w:rsidP="00143C7B">
      <w:pPr>
        <w:pStyle w:val="ListParagraph"/>
        <w:numPr>
          <w:ilvl w:val="0"/>
          <w:numId w:val="1"/>
        </w:numPr>
        <w:spacing w:before="120" w:after="120"/>
      </w:pPr>
      <w:r>
        <w:t xml:space="preserve">Weekly survival: for each week, a taxon was considered to have suitable survival </w:t>
      </w:r>
      <w:r w:rsidR="00A959D3">
        <w:t>conditions</w:t>
      </w:r>
      <w:r>
        <w:t xml:space="preserve"> if </w:t>
      </w:r>
      <w:r w:rsidR="00C50156">
        <w:t xml:space="preserve">at least one pixel had T-S values that were within the taxon’s </w:t>
      </w:r>
      <w:r>
        <w:t xml:space="preserve">T-S </w:t>
      </w:r>
      <w:r w:rsidR="00C50156">
        <w:t>survival range</w:t>
      </w:r>
      <w:r>
        <w:t xml:space="preserve">. Weekly survival was then calculated as the number of weeks per year </w:t>
      </w:r>
      <w:r w:rsidR="00656105">
        <w:t>with</w:t>
      </w:r>
      <w:r>
        <w:t xml:space="preserve"> suitable survival </w:t>
      </w:r>
      <w:r w:rsidR="00A959D3">
        <w:t>conditions</w:t>
      </w:r>
      <w:r>
        <w:t xml:space="preserve">, averaged across each 10-year study period. Unlike our year-round </w:t>
      </w:r>
      <w:r w:rsidR="00A959D3">
        <w:t>survival</w:t>
      </w:r>
      <w:r>
        <w:t xml:space="preserve"> </w:t>
      </w:r>
      <w:r>
        <w:lastRenderedPageBreak/>
        <w:t xml:space="preserve">analysis, where the same pixel had to remain suitable year-round, in this analysis we allowed suitable </w:t>
      </w:r>
      <w:r w:rsidR="00A959D3">
        <w:t>conditions</w:t>
      </w:r>
      <w:r>
        <w:t xml:space="preserve"> to </w:t>
      </w:r>
      <w:r w:rsidR="00A959D3">
        <w:t>shift</w:t>
      </w:r>
      <w:r>
        <w:t xml:space="preserve"> in </w:t>
      </w:r>
      <w:r w:rsidR="00A959D3">
        <w:t>pixel-</w:t>
      </w:r>
      <w:r>
        <w:t>space from one week to the next. We summarized results across taxa by sum</w:t>
      </w:r>
      <w:r w:rsidR="00656105">
        <w:t>ming</w:t>
      </w:r>
      <w:r>
        <w:t xml:space="preserve"> mean </w:t>
      </w:r>
      <w:r w:rsidR="00656105">
        <w:t xml:space="preserve">weekly survival values for each pixel and </w:t>
      </w:r>
      <w:r>
        <w:t>study period</w:t>
      </w:r>
      <w:r w:rsidR="00656105">
        <w:t>.</w:t>
      </w:r>
      <w:r>
        <w:t xml:space="preserve"> </w:t>
      </w:r>
      <w:r w:rsidR="00656105">
        <w:t>P</w:t>
      </w:r>
      <w:r>
        <w:t xml:space="preserve">ixel values </w:t>
      </w:r>
      <w:r w:rsidR="00656105">
        <w:t xml:space="preserve">can </w:t>
      </w:r>
      <w:r>
        <w:t xml:space="preserve">therefore </w:t>
      </w:r>
      <w:r w:rsidR="00656105">
        <w:t xml:space="preserve">range from zero to </w:t>
      </w:r>
      <w:r>
        <w:t>2184 (52 weeks × 42 taxa).</w:t>
      </w:r>
    </w:p>
    <w:p w14:paraId="6A46A12B" w14:textId="40D1110F" w:rsidR="009E0CF6" w:rsidRPr="009E0CF6" w:rsidRDefault="00656105" w:rsidP="009E0CF6">
      <w:pPr>
        <w:pStyle w:val="ListParagraph"/>
        <w:numPr>
          <w:ilvl w:val="0"/>
          <w:numId w:val="1"/>
        </w:numPr>
        <w:rPr>
          <w:color w:val="FF0000"/>
        </w:rPr>
      </w:pPr>
      <w:r>
        <w:t>Weekly r</w:t>
      </w:r>
      <w:r w:rsidR="009E0CF6">
        <w:t>eproduction: f</w:t>
      </w:r>
      <w:r w:rsidR="009E0CF6" w:rsidRPr="009E0CF6">
        <w:t xml:space="preserve">or each taxon, we defined a pixel as </w:t>
      </w:r>
      <w:r>
        <w:t>‘</w:t>
      </w:r>
      <w:r w:rsidR="009E0CF6" w:rsidRPr="009E0CF6">
        <w:t>suitable</w:t>
      </w:r>
      <w:r>
        <w:t xml:space="preserve">’ if the pixel’s </w:t>
      </w:r>
      <w:r w:rsidR="009E0CF6" w:rsidRPr="009E0CF6">
        <w:t xml:space="preserve">T-S values were within the taxon’s </w:t>
      </w:r>
      <w:r>
        <w:t xml:space="preserve">T-S </w:t>
      </w:r>
      <w:r w:rsidR="009E0CF6" w:rsidRPr="009E0CF6">
        <w:t>reproducti</w:t>
      </w:r>
      <w:r>
        <w:t>on</w:t>
      </w:r>
      <w:r w:rsidR="009E0CF6" w:rsidRPr="009E0CF6">
        <w:t xml:space="preserve"> </w:t>
      </w:r>
      <w:r>
        <w:t>range</w:t>
      </w:r>
      <w:r w:rsidR="009E0CF6" w:rsidRPr="009E0CF6">
        <w:t xml:space="preserve"> for at least one week of a </w:t>
      </w:r>
      <w:r>
        <w:t>given</w:t>
      </w:r>
      <w:r w:rsidRPr="009E0CF6">
        <w:t xml:space="preserve"> </w:t>
      </w:r>
      <w:r w:rsidR="009E0CF6" w:rsidRPr="009E0CF6">
        <w:t xml:space="preserve">year. For each year within our 10-year study periods, we calculated the number of consecutive weeks of suitable reproductive </w:t>
      </w:r>
      <w:r w:rsidR="00A959D3">
        <w:t>conditions</w:t>
      </w:r>
      <w:r w:rsidR="009E0CF6" w:rsidRPr="009E0CF6">
        <w:t>, such that pixel values could range from 0 to 52. For our analysis, we used the maximum number of consecutive weeks within each 10-</w:t>
      </w:r>
      <w:r w:rsidR="009E0CF6">
        <w:t>year study period as our metric</w:t>
      </w:r>
      <w:r w:rsidR="009E0CF6" w:rsidRPr="009E0CF6">
        <w:t>.</w:t>
      </w:r>
    </w:p>
    <w:p w14:paraId="10E70D87" w14:textId="641B601A" w:rsidR="00532F6E" w:rsidRDefault="00051D6E" w:rsidP="00532F6E">
      <w:pPr>
        <w:pBdr>
          <w:top w:val="nil"/>
          <w:left w:val="nil"/>
          <w:bottom w:val="nil"/>
          <w:right w:val="nil"/>
          <w:between w:val="nil"/>
        </w:pBdr>
        <w:rPr>
          <w:color w:val="000000"/>
        </w:rPr>
      </w:pPr>
      <w:r>
        <w:rPr>
          <w:color w:val="000000"/>
        </w:rPr>
        <w:t>S</w:t>
      </w:r>
      <w:r w:rsidR="00532F6E">
        <w:rPr>
          <w:color w:val="000000"/>
        </w:rPr>
        <w:t xml:space="preserve">uitability </w:t>
      </w:r>
      <w:r w:rsidR="009E0CF6">
        <w:rPr>
          <w:color w:val="000000"/>
        </w:rPr>
        <w:t>categories were a</w:t>
      </w:r>
      <w:r w:rsidR="00532F6E">
        <w:rPr>
          <w:color w:val="000000"/>
        </w:rPr>
        <w:t>nalyzed separately for each ROMS</w:t>
      </w:r>
      <w:r w:rsidR="00656105">
        <w:rPr>
          <w:color w:val="000000"/>
        </w:rPr>
        <w:t>, but final</w:t>
      </w:r>
      <w:r w:rsidR="00532F6E">
        <w:rPr>
          <w:color w:val="000000"/>
        </w:rPr>
        <w:t xml:space="preserve"> </w:t>
      </w:r>
      <w:r w:rsidR="00656105">
        <w:rPr>
          <w:color w:val="000000"/>
        </w:rPr>
        <w:t>r</w:t>
      </w:r>
      <w:r w:rsidR="00532F6E">
        <w:rPr>
          <w:color w:val="000000"/>
        </w:rPr>
        <w:t xml:space="preserve">esults </w:t>
      </w:r>
      <w:r w:rsidR="00656105">
        <w:rPr>
          <w:color w:val="000000"/>
        </w:rPr>
        <w:t>were</w:t>
      </w:r>
      <w:r w:rsidR="00532F6E">
        <w:rPr>
          <w:color w:val="000000"/>
        </w:rPr>
        <w:t xml:space="preserve"> averaged across all three ROMS. All analyses were conducted in R version 3.3.2 (R Core Team 2015) with support from the following packages: doSNOW, dplyr, ggplot2, ncdf4, maptools, plyr, rgdal, raster, rasterVis, rgeos, sp, viridis.</w:t>
      </w:r>
    </w:p>
    <w:p w14:paraId="3D9C032F" w14:textId="77777777" w:rsidR="002B77CF" w:rsidRDefault="002B77CF" w:rsidP="002B77CF">
      <w:pPr>
        <w:pStyle w:val="Heading2"/>
      </w:pPr>
      <w:bookmarkStart w:id="12" w:name="_1ksv4uv" w:colFirst="0" w:colLast="0"/>
      <w:bookmarkStart w:id="13" w:name="_44sinio" w:colFirst="0" w:colLast="0"/>
      <w:bookmarkEnd w:id="12"/>
      <w:bookmarkEnd w:id="13"/>
      <w:r>
        <w:t>Vessel traffic</w:t>
      </w:r>
    </w:p>
    <w:p w14:paraId="2532F2B3" w14:textId="77777777" w:rsidR="002B77CF" w:rsidRDefault="002B77CF" w:rsidP="002B77CF">
      <w:r>
        <w:t>We analyzed current vessel traffic and ballast water discharge in the Bering Sea using two datasets: the National Ballast Information Clearinghouse (NBIC) and NOAA Fisheries Vessel Monitoring Systems (VMS) for Alaska commercial fishing vessels. These data allowed us to quantify the magnitude and spatial patterns of traffic arriving at U.S. ports in the Bering Sea from fishing vessels and from other large commercial vessels (&gt; 24 m). First-order port connections were examined using the circlize package (Gu 2014) in R Statistical Software version 3.3.2 (R Core Team 2015).</w:t>
      </w:r>
    </w:p>
    <w:p w14:paraId="692E6E3A" w14:textId="6F4DE0DB" w:rsidR="002B77CF" w:rsidRDefault="002B77CF" w:rsidP="002B77CF">
      <w:r>
        <w:t xml:space="preserve">NBIC data are publicly available (https://invasions.si.edu/nbic/search.html) reports of vessel landings and their ballast water activities. Most large vessels (&gt; 24 m) are required to report their ballast water exchanges when entering any port in the U.S. (33 CFR §§ 151). Because regulations have changed in the last decade, especially with respect to mandatory reporting by crude oil tankers (Verna and Harris 2016), we only considered the three most recent, complete years (2014-2016). We queried Ship Arrival Records and Ballast Tank Records from the NBIC data portal for any vessel arriving in Alaska from 01 January 2014 - 31 December 2016. Ports in Alaska were binned into one of the following regions: Arctic, Bering Sea / Aleutian Islands (BSAI), Gulf of Alaska (GOA), </w:t>
      </w:r>
      <w:r>
        <w:rPr>
          <w:color w:val="000000"/>
        </w:rPr>
        <w:t>or Southeast Alaska (SEAK). Source ports with fewer than five report</w:t>
      </w:r>
      <w:r>
        <w:t xml:space="preserve">ed </w:t>
      </w:r>
      <w:r>
        <w:rPr>
          <w:color w:val="000000"/>
        </w:rPr>
        <w:t xml:space="preserve">trips were binned in a group labeled “Other”. </w:t>
      </w:r>
      <w:r>
        <w:t>Records without a port name were removed (</w:t>
      </w:r>
      <w:r>
        <w:rPr>
          <w:i/>
        </w:rPr>
        <w:t>n</w:t>
      </w:r>
      <w:r>
        <w:t xml:space="preserve">=13). </w:t>
      </w:r>
      <w:r w:rsidRPr="00117646">
        <w:t xml:space="preserve">While the NBIC provides data on large, commercial vessels, it does not apply to smaller vessels ≤ 24 m long. </w:t>
      </w:r>
      <w:r w:rsidR="007944F2">
        <w:t xml:space="preserve">We therefore </w:t>
      </w:r>
      <w:r w:rsidRPr="00117646">
        <w:t>relied on VMS data (not</w:t>
      </w:r>
      <w:r>
        <w:t xml:space="preserve"> publicly available) from Alaska to examine patterns of fishing vessel traffic. Current regulations by the National Marine Fisheries Service (NMFS) require VMS reporting by all fishing vessels that target walleye pollock, Pacific cod, Atka mackerel, and crab in the BSAI and the GOA. These locations are transmitted at 30-minute intervals. For temporal consistency with the NBIC data, we examined all trips by vessels with VMS from 2014 – 2016, using methods from Watson and Haynie (2016). We analyzed a total of 4133 trips by 566 vessels during this time. Port connections with fewer than </w:t>
      </w:r>
      <w:r w:rsidR="007944F2">
        <w:t>three</w:t>
      </w:r>
      <w:r>
        <w:t xml:space="preserve"> different vessels were omitted according </w:t>
      </w:r>
      <w:r w:rsidR="00C7643B">
        <w:t>to confidentiality rules, and d</w:t>
      </w:r>
      <w:r w:rsidR="00C7643B" w:rsidRPr="00C7643B">
        <w:t>ischarge reports that did not include valid source locations were omitted from the analyses.</w:t>
      </w:r>
    </w:p>
    <w:p w14:paraId="1878DF26" w14:textId="77777777" w:rsidR="002B77CF" w:rsidRDefault="002B77CF" w:rsidP="002B77CF">
      <w:r>
        <w:t>Some U.S. fishing vessels appeared in both the NBIC and the VMS databases, but are not easily queried because ‘Fishing’ is not a vessel type category in the NBIC database. To identify these records, we used their co-occurrence to create a ‘Fishing’ vessel type, thereby removing these vessels from the ‘Other’ category. These vessels were identified by linking NMFS fishing permit and U.S. Coast Guard numbers to the International Maritime Organization (IMO) vessel identifiers in the NBIC data via a NMFS vessel database (st.nmfs.noaa.gov/coast-guard-vessel-search/index).</w:t>
      </w:r>
    </w:p>
    <w:p w14:paraId="252FBA04" w14:textId="77777777" w:rsidR="009A0C74" w:rsidRDefault="009A0C74" w:rsidP="009A0C74">
      <w:pPr>
        <w:pStyle w:val="Heading1"/>
      </w:pPr>
      <w:commentRangeStart w:id="14"/>
      <w:r>
        <w:lastRenderedPageBreak/>
        <w:t xml:space="preserve">Results </w:t>
      </w:r>
      <w:commentRangeEnd w:id="14"/>
      <w:r w:rsidR="00B97CD9">
        <w:rPr>
          <w:rStyle w:val="CommentReference"/>
          <w:rFonts w:eastAsiaTheme="minorHAnsi" w:cstheme="minorBidi"/>
          <w:b w:val="0"/>
        </w:rPr>
        <w:commentReference w:id="14"/>
      </w:r>
    </w:p>
    <w:p w14:paraId="32FFFCC0" w14:textId="4BDB34C0" w:rsidR="009A0C74" w:rsidRPr="001F5AB6" w:rsidRDefault="009A0C74" w:rsidP="009A0C74">
      <w:pPr>
        <w:rPr>
          <w:color w:val="FF0000"/>
        </w:rPr>
      </w:pPr>
      <w:r>
        <w:t>When averaged across the three ROMS</w:t>
      </w:r>
      <w:r w:rsidR="00143C7B">
        <w:t xml:space="preserve"> for the recent (2003-2012) </w:t>
      </w:r>
      <w:r w:rsidR="009B2514">
        <w:t>study</w:t>
      </w:r>
      <w:r w:rsidR="00143C7B">
        <w:t xml:space="preserve"> period</w:t>
      </w:r>
      <w:r>
        <w:t>, minimum water temperatures ranged from -</w:t>
      </w:r>
      <w:commentRangeStart w:id="15"/>
      <w:commentRangeStart w:id="16"/>
      <w:r>
        <w:t>2.6</w:t>
      </w:r>
      <w:commentRangeEnd w:id="15"/>
      <w:r>
        <w:commentReference w:id="15"/>
      </w:r>
      <w:commentRangeEnd w:id="16"/>
      <w:r>
        <w:commentReference w:id="16"/>
      </w:r>
      <w:r w:rsidR="00143C7B">
        <w:t xml:space="preserve">°C to </w:t>
      </w:r>
      <w:r w:rsidR="009B2514">
        <w:t>+</w:t>
      </w:r>
      <w:r>
        <w:t>4.2°C</w:t>
      </w:r>
      <w:r w:rsidR="00143C7B">
        <w:t>,</w:t>
      </w:r>
      <w:r>
        <w:t xml:space="preserve"> and maximum</w:t>
      </w:r>
      <w:r w:rsidR="00143C7B">
        <w:t xml:space="preserve"> water</w:t>
      </w:r>
      <w:r>
        <w:t xml:space="preserve"> temperatures ranged from +</w:t>
      </w:r>
      <w:r w:rsidR="00143C7B">
        <w:t xml:space="preserve">3.8°C to </w:t>
      </w:r>
      <w:r w:rsidR="009B2514">
        <w:t>+</w:t>
      </w:r>
      <w:r>
        <w:t>16.3°C. Mid-century (2030-2039) models predicted minimum water temperatures between -</w:t>
      </w:r>
      <w:r w:rsidR="00143C7B">
        <w:t xml:space="preserve">2.5°C and </w:t>
      </w:r>
      <w:r w:rsidR="009B2514">
        <w:t>+</w:t>
      </w:r>
      <w:r>
        <w:t xml:space="preserve">4.8°C, and maximum temperatures between </w:t>
      </w:r>
      <w:r w:rsidR="009B2514">
        <w:t>+</w:t>
      </w:r>
      <w:r>
        <w:t xml:space="preserve">5.42°C and </w:t>
      </w:r>
      <w:r w:rsidR="009B2514">
        <w:t>+</w:t>
      </w:r>
      <w:r>
        <w:t xml:space="preserve">18.6°C (see also Hermann et al. 2016). </w:t>
      </w:r>
      <w:r w:rsidR="00143C7B">
        <w:t>M</w:t>
      </w:r>
      <w:r>
        <w:t xml:space="preserve">inimum survival temperatures </w:t>
      </w:r>
      <w:r w:rsidR="00143C7B">
        <w:t xml:space="preserve">for the 42 NIS assessed </w:t>
      </w:r>
      <w:r>
        <w:t>ranged from -</w:t>
      </w:r>
      <w:r w:rsidR="00122A90">
        <w:t>2</w:t>
      </w:r>
      <w:r w:rsidR="00143C7B">
        <w:t xml:space="preserve">°C </w:t>
      </w:r>
      <w:r w:rsidR="00143C7B" w:rsidRPr="009B2514">
        <w:t xml:space="preserve">to </w:t>
      </w:r>
      <w:r w:rsidR="0078241B">
        <w:t>+</w:t>
      </w:r>
      <w:r w:rsidRPr="009B2514">
        <w:t>10°C (Appendix A</w:t>
      </w:r>
      <w:r w:rsidR="00143C7B" w:rsidRPr="009B2514">
        <w:t>)</w:t>
      </w:r>
      <w:r w:rsidR="009B2514" w:rsidRPr="009B2514">
        <w:t>.</w:t>
      </w:r>
      <w:r w:rsidR="00143C7B" w:rsidRPr="009B2514">
        <w:t xml:space="preserve"> </w:t>
      </w:r>
      <w:r w:rsidR="009B2514" w:rsidRPr="009B2514">
        <w:t>Nineteen</w:t>
      </w:r>
      <w:r w:rsidRPr="009B2514">
        <w:t xml:space="preserve"> taxa had estimated minimum survival thresholds below 0°C, </w:t>
      </w:r>
      <w:r w:rsidR="009B2514" w:rsidRPr="009B2514">
        <w:t>while</w:t>
      </w:r>
      <w:r w:rsidRPr="009B2514">
        <w:t xml:space="preserve"> 13 taxa had minimum survival thresholds ≥1°C</w:t>
      </w:r>
      <w:r w:rsidRPr="009B2514">
        <w:rPr>
          <w:rFonts w:ascii="Gungsuh" w:eastAsia="Gungsuh" w:hAnsi="Gungsuh" w:cs="Gungsuh"/>
        </w:rPr>
        <w:t xml:space="preserve"> (</w:t>
      </w:r>
      <w:r w:rsidRPr="009B2514">
        <w:t>Appendix A).</w:t>
      </w:r>
    </w:p>
    <w:p w14:paraId="21902EAA" w14:textId="77777777" w:rsidR="009A0C74" w:rsidRDefault="009A0C74" w:rsidP="009A0C74">
      <w:pPr>
        <w:pStyle w:val="Heading2"/>
        <w:rPr>
          <w:highlight w:val="white"/>
        </w:rPr>
      </w:pPr>
      <w:r>
        <w:rPr>
          <w:highlight w:val="white"/>
        </w:rPr>
        <w:t>Year-round Survival</w:t>
      </w:r>
    </w:p>
    <w:p w14:paraId="0EDB0B08" w14:textId="2C4C14B6" w:rsidR="003C6841" w:rsidRDefault="007269F7" w:rsidP="009A0C74">
      <w:r>
        <w:t xml:space="preserve">For the recent (2003-2012) study period, </w:t>
      </w:r>
      <w:r>
        <w:t xml:space="preserve">all models predicted that suitable conditions existed for a median of 10 taxa per pixel. The maximum number of taxa varied by model </w:t>
      </w:r>
      <w:r w:rsidRPr="0057739E">
        <w:rPr>
          <w:highlight w:val="yellow"/>
        </w:rPr>
        <w:t>(Supplementary Figure XX)</w:t>
      </w:r>
      <w:r>
        <w:t>. T</w:t>
      </w:r>
      <w:r w:rsidR="006478A5">
        <w:t xml:space="preserve">he </w:t>
      </w:r>
      <w:r>
        <w:t xml:space="preserve">CGCM3-t47 </w:t>
      </w:r>
      <w:r>
        <w:t xml:space="preserve">model predicted a maximum of 35, the </w:t>
      </w:r>
      <w:r w:rsidR="006478A5">
        <w:t>ECHO-G model predicted a maximum of 33 taxa</w:t>
      </w:r>
      <w:r w:rsidR="007A5812">
        <w:t xml:space="preserve">, </w:t>
      </w:r>
      <w:r>
        <w:t xml:space="preserve">and </w:t>
      </w:r>
      <w:r w:rsidR="006478A5">
        <w:t xml:space="preserve">MIROC3.2 </w:t>
      </w:r>
      <w:r w:rsidR="007A5812">
        <w:t xml:space="preserve">predicted </w:t>
      </w:r>
      <w:r>
        <w:t xml:space="preserve">a maximum of </w:t>
      </w:r>
      <w:r w:rsidR="007A5812">
        <w:t>34 taxa</w:t>
      </w:r>
      <w:r w:rsidR="006478A5">
        <w:t xml:space="preserve">. </w:t>
      </w:r>
      <w:r w:rsidR="003C6841">
        <w:t>Across all models, areas that were predicted to support the highest number of NIS were the</w:t>
      </w:r>
      <w:r w:rsidR="003C6841">
        <w:rPr>
          <w:highlight w:val="white"/>
        </w:rPr>
        <w:t xml:space="preserve"> coastlines of the Aleutian Islands a</w:t>
      </w:r>
      <w:r w:rsidR="003C6841">
        <w:rPr>
          <w:highlight w:val="white"/>
        </w:rPr>
        <w:t xml:space="preserve">nd western Bristol Bay </w:t>
      </w:r>
      <w:r w:rsidR="003C6841">
        <w:t>(</w:t>
      </w:r>
      <w:r w:rsidR="003C6841">
        <w:rPr>
          <w:highlight w:val="yellow"/>
        </w:rPr>
        <w:t>Figure 2</w:t>
      </w:r>
      <w:r w:rsidR="003C6841">
        <w:t xml:space="preserve">). </w:t>
      </w:r>
      <w:r w:rsidR="00392969">
        <w:t>The</w:t>
      </w:r>
      <w:r w:rsidR="006478A5">
        <w:t xml:space="preserve"> minimum number of taxa </w:t>
      </w:r>
      <w:r w:rsidR="00392969">
        <w:t>predicted by all models was zero. Areas that were inhospitable for all taxa included northern Norton Sound (</w:t>
      </w:r>
      <w:r w:rsidR="00392969">
        <w:rPr>
          <w:rFonts w:cs="Times New Roman"/>
        </w:rPr>
        <w:t>≥</w:t>
      </w:r>
      <w:r w:rsidR="00392969">
        <w:t xml:space="preserve">63.7°N) and the </w:t>
      </w:r>
      <w:r w:rsidR="002D774C">
        <w:t>northern Gulf of Anadyr</w:t>
      </w:r>
      <w:r w:rsidR="00392969">
        <w:t xml:space="preserve"> </w:t>
      </w:r>
      <w:r w:rsidR="00392969">
        <w:t>(</w:t>
      </w:r>
      <w:r w:rsidR="00392969">
        <w:rPr>
          <w:rFonts w:cs="Times New Roman"/>
        </w:rPr>
        <w:t>≥</w:t>
      </w:r>
      <w:r w:rsidR="00392969">
        <w:t>6</w:t>
      </w:r>
      <w:r w:rsidR="00392969">
        <w:t>5</w:t>
      </w:r>
      <w:r w:rsidR="00392969">
        <w:t>.</w:t>
      </w:r>
      <w:r w:rsidR="00392969">
        <w:t>0</w:t>
      </w:r>
      <w:r w:rsidR="00392969">
        <w:t>°N)</w:t>
      </w:r>
      <w:r w:rsidR="00392969">
        <w:t xml:space="preserve">. The </w:t>
      </w:r>
      <w:r w:rsidR="006478A5">
        <w:t>ECHO-</w:t>
      </w:r>
      <w:r w:rsidR="00392969">
        <w:t xml:space="preserve">G </w:t>
      </w:r>
      <w:r w:rsidR="006478A5">
        <w:t xml:space="preserve">and </w:t>
      </w:r>
      <w:r w:rsidR="00392969">
        <w:t xml:space="preserve">CGCM3-t47 </w:t>
      </w:r>
      <w:r w:rsidR="00392969">
        <w:t>also predicted a continuous area</w:t>
      </w:r>
      <w:r w:rsidR="002D774C">
        <w:t xml:space="preserve"> without any</w:t>
      </w:r>
      <w:r w:rsidR="00392969">
        <w:t xml:space="preserve"> suitable conditions along the </w:t>
      </w:r>
      <w:r w:rsidR="002D774C">
        <w:t>coastline</w:t>
      </w:r>
      <w:r w:rsidR="002D774C">
        <w:t xml:space="preserve"> of the </w:t>
      </w:r>
      <w:r w:rsidR="00392969">
        <w:t xml:space="preserve">Yukon-Kuskokwim Delta </w:t>
      </w:r>
      <w:r w:rsidR="002D774C">
        <w:t xml:space="preserve">from Norton Sound </w:t>
      </w:r>
      <w:r w:rsidR="00392969">
        <w:t>south to Kuskokwim Bay</w:t>
      </w:r>
      <w:r w:rsidR="0057739E">
        <w:t xml:space="preserve"> </w:t>
      </w:r>
      <w:r w:rsidR="0057739E" w:rsidRPr="0057739E">
        <w:rPr>
          <w:highlight w:val="yellow"/>
        </w:rPr>
        <w:t>(Supplementary Figure XX)</w:t>
      </w:r>
      <w:r w:rsidR="00392969">
        <w:t xml:space="preserve">. </w:t>
      </w:r>
    </w:p>
    <w:p w14:paraId="298222CD" w14:textId="7C584862" w:rsidR="00BB4C00" w:rsidRPr="00BB4C00" w:rsidRDefault="002D774C" w:rsidP="00BB4C00">
      <w:r>
        <w:t xml:space="preserve">With respect to </w:t>
      </w:r>
      <w:r w:rsidR="007269F7">
        <w:t>mid-century (2030-2039)</w:t>
      </w:r>
      <w:r>
        <w:t xml:space="preserve"> conditions</w:t>
      </w:r>
      <w:r w:rsidR="009B2514">
        <w:t xml:space="preserve">, </w:t>
      </w:r>
      <w:r>
        <w:t xml:space="preserve">both the </w:t>
      </w:r>
      <w:r>
        <w:t>CGCM3-t47</w:t>
      </w:r>
      <w:r>
        <w:t xml:space="preserve"> and the </w:t>
      </w:r>
      <w:r>
        <w:t>MIROC3.2</w:t>
      </w:r>
      <w:r>
        <w:t xml:space="preserve"> models predicted an increase in </w:t>
      </w:r>
      <w:r w:rsidR="007269F7">
        <w:t xml:space="preserve">both </w:t>
      </w:r>
      <w:r>
        <w:t xml:space="preserve">the median </w:t>
      </w:r>
      <w:r w:rsidR="007269F7">
        <w:t xml:space="preserve">and maximum </w:t>
      </w:r>
      <w:r>
        <w:t xml:space="preserve">number of taxa. </w:t>
      </w:r>
      <w:r w:rsidR="007269F7">
        <w:t xml:space="preserve">The </w:t>
      </w:r>
      <w:r w:rsidR="007269F7">
        <w:t>CGCM3-t47</w:t>
      </w:r>
      <w:r w:rsidR="007269F7">
        <w:t xml:space="preserve"> model predicted a median of 12 taxa per pixel, with a maximum of 36 taxa. The MIROC3.2 model predicted a median of 11 taxa per pixel, with a maximum of 35 taxa. The ECHO-G </w:t>
      </w:r>
      <w:r w:rsidR="00AF5F1C">
        <w:t xml:space="preserve">model did not predict any change in these values. </w:t>
      </w:r>
      <w:r w:rsidR="00E47C74">
        <w:t xml:space="preserve">All models predicted that pixels were </w:t>
      </w:r>
      <w:commentRangeStart w:id="17"/>
      <w:r w:rsidR="00E47C74">
        <w:t xml:space="preserve">more likely </w:t>
      </w:r>
      <w:commentRangeEnd w:id="17"/>
      <w:r w:rsidR="00E47C74">
        <w:rPr>
          <w:rStyle w:val="CommentReference"/>
        </w:rPr>
        <w:commentReference w:id="17"/>
      </w:r>
      <w:r w:rsidR="00E47C74">
        <w:t xml:space="preserve">to support additional number of NIS, when compared to recent </w:t>
      </w:r>
      <w:r w:rsidR="00E47C74" w:rsidRPr="00E47C74">
        <w:t>conditions</w:t>
      </w:r>
      <w:r w:rsidR="0037485E" w:rsidRPr="00E47C74">
        <w:t xml:space="preserve">. </w:t>
      </w:r>
      <w:r w:rsidR="00E47C74" w:rsidRPr="00E47C74">
        <w:t xml:space="preserve">The CGCM3-t47 model predicted 694 pixels supporting fewer taxa, 6,199 supporting more taxa, and 3,331 supporting the same number of taxa. </w:t>
      </w:r>
      <w:r w:rsidR="0037485E" w:rsidRPr="00E47C74">
        <w:t>The ECHO-G model predicted 639 pixels would be suitable for fewer tax</w:t>
      </w:r>
      <w:bookmarkStart w:id="18" w:name="_GoBack"/>
      <w:bookmarkEnd w:id="18"/>
      <w:r w:rsidR="0037485E" w:rsidRPr="00E47C74">
        <w:t xml:space="preserve">a under mid-century conditions than under recent conditions, whereas 3,808 pixels would support </w:t>
      </w:r>
      <w:r w:rsidR="00E47C74" w:rsidRPr="00E47C74">
        <w:t>more taxa. 5</w:t>
      </w:r>
      <w:r w:rsidR="0037485E" w:rsidRPr="00E47C74">
        <w:t>,</w:t>
      </w:r>
      <w:r w:rsidR="00E47C74" w:rsidRPr="00E47C74">
        <w:t>777</w:t>
      </w:r>
      <w:r w:rsidR="0037485E" w:rsidRPr="00E47C74">
        <w:t xml:space="preserve"> pixels supported the same number of taxa under both study periods. The MIROC3.2 model predicted that 378 pixels would be suitable for fewer taxa, 5,437 would be suitable for more taxa, and </w:t>
      </w:r>
      <w:r w:rsidR="00E47C74" w:rsidRPr="00E47C74">
        <w:t>4,409</w:t>
      </w:r>
      <w:r w:rsidR="0037485E" w:rsidRPr="00E47C74">
        <w:t xml:space="preserve"> would support the same number of taxa. </w:t>
      </w:r>
      <w:r w:rsidR="00E47C74">
        <w:t xml:space="preserve">On average, then, models predict that 570.3 pixels will become suitable for fewer taxa by 2039 and 5148 pixels would become suitable for more taxa. Because each pixel has an area of 36 </w:t>
      </w:r>
      <w:r w:rsidR="0046232B">
        <w:t>NM</w:t>
      </w:r>
      <w:r w:rsidR="00E47C74">
        <w:t xml:space="preserve">, these values are equivalent to </w:t>
      </w:r>
      <w:r w:rsidR="00E47C74">
        <w:t xml:space="preserve">20,523 </w:t>
      </w:r>
      <w:r w:rsidR="0083077A">
        <w:t>NM</w:t>
      </w:r>
      <w:r w:rsidR="00E47C74">
        <w:t xml:space="preserve"> </w:t>
      </w:r>
      <w:r w:rsidR="0083077A">
        <w:t>(~</w:t>
      </w:r>
      <w:r w:rsidR="0083077A" w:rsidRPr="0083077A">
        <w:t>70</w:t>
      </w:r>
      <w:r w:rsidR="0083077A">
        <w:t>,392</w:t>
      </w:r>
      <w:r w:rsidR="0083077A" w:rsidRPr="0083077A">
        <w:t xml:space="preserve"> </w:t>
      </w:r>
      <w:r w:rsidR="0083077A">
        <w:t xml:space="preserve">sq. km.) </w:t>
      </w:r>
      <w:r w:rsidR="00E47C74">
        <w:t xml:space="preserve">becoming less suitable by 2039, compared to </w:t>
      </w:r>
      <w:r w:rsidR="00E47C74" w:rsidRPr="00E47C74">
        <w:t>185</w:t>
      </w:r>
      <w:r w:rsidR="00E47C74">
        <w:t>,</w:t>
      </w:r>
      <w:r w:rsidR="00E47C74" w:rsidRPr="00E47C74">
        <w:t>328</w:t>
      </w:r>
      <w:r w:rsidR="0083077A">
        <w:t xml:space="preserve"> NM (~</w:t>
      </w:r>
      <w:r w:rsidR="0083077A" w:rsidRPr="0083077A">
        <w:t>635</w:t>
      </w:r>
      <w:r w:rsidR="0083077A">
        <w:t>,</w:t>
      </w:r>
      <w:r w:rsidR="0083077A" w:rsidRPr="0083077A">
        <w:t>657</w:t>
      </w:r>
      <w:r w:rsidR="0083077A">
        <w:t xml:space="preserve"> sq. km.)</w:t>
      </w:r>
      <w:r w:rsidR="00E47C74">
        <w:t xml:space="preserve"> becoming more suitable.</w:t>
      </w:r>
      <w:r w:rsidR="0083077A">
        <w:t xml:space="preserve"> The area that is predicted to experience the largest change lies between 57°N and 59°N </w:t>
      </w:r>
      <w:r w:rsidR="0083077A" w:rsidRPr="0083077A">
        <w:rPr>
          <w:highlight w:val="yellow"/>
        </w:rPr>
        <w:t>(Supplementary Figure XX)</w:t>
      </w:r>
      <w:r w:rsidR="0083077A">
        <w:t xml:space="preserve">. Averaged across all model, this area is expected to become suitable for an additional 16 taxa by 2039 </w:t>
      </w:r>
      <w:r w:rsidR="0083077A" w:rsidRPr="0083077A">
        <w:rPr>
          <w:highlight w:val="yellow"/>
        </w:rPr>
        <w:t>(Supplementary Figure XX)</w:t>
      </w:r>
      <w:r w:rsidR="0083077A">
        <w:t xml:space="preserve">. </w:t>
      </w:r>
    </w:p>
    <w:p w14:paraId="13095B3E" w14:textId="77777777" w:rsidR="00FC1312" w:rsidRDefault="00FC1312" w:rsidP="00FC1312">
      <w:pPr>
        <w:pStyle w:val="Heading2"/>
      </w:pPr>
      <w:r>
        <w:t>Weekly Survival</w:t>
      </w:r>
    </w:p>
    <w:p w14:paraId="68FE128B" w14:textId="50865280" w:rsidR="00FC1312" w:rsidRDefault="00FC1312" w:rsidP="0058772B">
      <w:pPr>
        <w:rPr>
          <w:highlight w:val="yellow"/>
        </w:rPr>
      </w:pPr>
      <w:commentRangeStart w:id="19"/>
      <w:r>
        <w:rPr>
          <w:highlight w:val="yellow"/>
        </w:rPr>
        <w:t>**Need to flesh out weekly results**</w:t>
      </w:r>
      <w:r>
        <w:t xml:space="preserve"> Of the taxa that could not survive year-round during recent condit</w:t>
      </w:r>
      <w:r w:rsidR="00501591">
        <w:t>ions (n = 8), all had suitable conditions</w:t>
      </w:r>
      <w:r>
        <w:t xml:space="preserve"> for at least six weeks during early July to mid-August (weeks 28 to 33; </w:t>
      </w:r>
      <w:r>
        <w:rPr>
          <w:highlight w:val="yellow"/>
        </w:rPr>
        <w:t>Figure 3</w:t>
      </w:r>
      <w:r>
        <w:t xml:space="preserve">).  Across these taxa, survival </w:t>
      </w:r>
      <w:r w:rsidR="00501591">
        <w:t>conditions were</w:t>
      </w:r>
      <w:r>
        <w:t xml:space="preserve"> unsuitable from December to early May (weeks 49 to 19), when temperatures in the upper water column fall </w:t>
      </w:r>
      <w:r>
        <w:rPr>
          <w:highlight w:val="red"/>
        </w:rPr>
        <w:t>below 1°C</w:t>
      </w:r>
      <w:r>
        <w:t xml:space="preserve"> (</w:t>
      </w:r>
      <w:r>
        <w:rPr>
          <w:highlight w:val="yellow"/>
        </w:rPr>
        <w:t>Figure 3</w:t>
      </w:r>
      <w:r>
        <w:t xml:space="preserve">). </w:t>
      </w:r>
      <w:commentRangeEnd w:id="19"/>
      <w:ins w:id="20" w:author="Anthony Fischbach" w:date="2018-06-14T14:47:00Z">
        <w:r>
          <w:commentReference w:id="19"/>
        </w:r>
        <w:r>
          <w:t xml:space="preserve"> </w:t>
        </w:r>
        <w:r w:rsidRPr="00E15E8D">
          <w:rPr>
            <w:highlight w:val="yellow"/>
          </w:rPr>
          <w:t xml:space="preserve">[SUMMARIZE weekly survival in </w:t>
        </w:r>
      </w:ins>
      <w:r w:rsidR="000B52D7">
        <w:rPr>
          <w:highlight w:val="yellow"/>
        </w:rPr>
        <w:t>mid-century</w:t>
      </w:r>
      <w:ins w:id="21" w:author="Anthony Fischbach" w:date="2018-06-14T14:47:00Z">
        <w:r w:rsidRPr="00E15E8D">
          <w:rPr>
            <w:highlight w:val="yellow"/>
          </w:rPr>
          <w:t xml:space="preserve"> study period: make analogous statements; then summarize distribution of expansion of n weekly survial; ...]</w:t>
        </w:r>
      </w:ins>
    </w:p>
    <w:p w14:paraId="32452C06" w14:textId="6556D404" w:rsidR="00C264D8" w:rsidRDefault="00C264D8" w:rsidP="00C264D8">
      <w:pPr>
        <w:pStyle w:val="Heading2"/>
        <w:rPr>
          <w:highlight w:val="white"/>
        </w:rPr>
      </w:pPr>
      <w:commentRangeStart w:id="22"/>
      <w:r>
        <w:rPr>
          <w:highlight w:val="white"/>
        </w:rPr>
        <w:lastRenderedPageBreak/>
        <w:t>Reproduction</w:t>
      </w:r>
      <w:r w:rsidR="00E76B55">
        <w:rPr>
          <w:highlight w:val="white"/>
        </w:rPr>
        <w:t xml:space="preserve"> and establishment</w:t>
      </w:r>
      <w:commentRangeEnd w:id="22"/>
      <w:r w:rsidR="006A408C">
        <w:rPr>
          <w:rStyle w:val="CommentReference"/>
          <w:rFonts w:eastAsiaTheme="minorHAnsi" w:cstheme="minorBidi"/>
          <w:i w:val="0"/>
        </w:rPr>
        <w:commentReference w:id="22"/>
      </w:r>
    </w:p>
    <w:p w14:paraId="125811CD" w14:textId="7CBB95CC" w:rsidR="002342C5" w:rsidRDefault="00C264D8" w:rsidP="00C264D8">
      <w:r>
        <w:t>Reprod</w:t>
      </w:r>
      <w:r w:rsidR="007666E5">
        <w:t>uctive thresholds were identified</w:t>
      </w:r>
      <w:r>
        <w:t xml:space="preserve"> for 29 NIS. </w:t>
      </w:r>
      <w:r w:rsidR="002342C5">
        <w:t xml:space="preserve">For the recent study period, the maximum number of taxa that a single pixel could support </w:t>
      </w:r>
      <w:r w:rsidR="006478A5">
        <w:t>was</w:t>
      </w:r>
      <w:r w:rsidR="002342C5">
        <w:t xml:space="preserve"> 20 taxa, with a median of 7.3 taxa per pixel. Under mid-century conditions, the maximum number of taxa that a single pixel could support ranged from 0 to 21 taxa, with a median of 8.3 taxa per pixel. Five tax</w:t>
      </w:r>
      <w:r w:rsidR="00501591">
        <w:t>a had no suitable reproductive conditions</w:t>
      </w:r>
      <w:r w:rsidR="002342C5">
        <w:t xml:space="preserve"> anywhere on the Bering Sea shelf</w:t>
      </w:r>
      <w:r w:rsidR="006A408C">
        <w:t>,</w:t>
      </w:r>
      <w:r w:rsidR="002342C5">
        <w:t xml:space="preserve"> includ</w:t>
      </w:r>
      <w:r w:rsidR="006A408C">
        <w:t>ing</w:t>
      </w:r>
      <w:r w:rsidR="002342C5">
        <w:t xml:space="preserve"> three species that require </w:t>
      </w:r>
      <w:commentRangeStart w:id="23"/>
      <w:r w:rsidR="002342C5">
        <w:t xml:space="preserve">fresh or brackish water </w:t>
      </w:r>
      <w:commentRangeEnd w:id="23"/>
      <w:r w:rsidR="006A408C">
        <w:rPr>
          <w:rStyle w:val="CommentReference"/>
        </w:rPr>
        <w:commentReference w:id="23"/>
      </w:r>
      <w:r w:rsidR="002342C5">
        <w:t>for reproduction (</w:t>
      </w:r>
      <w:commentRangeStart w:id="24"/>
      <w:r w:rsidR="002342C5">
        <w:rPr>
          <w:i/>
        </w:rPr>
        <w:t>Alosa sapidissima</w:t>
      </w:r>
      <w:r w:rsidR="002342C5">
        <w:t xml:space="preserve">, </w:t>
      </w:r>
      <w:r w:rsidR="002342C5">
        <w:rPr>
          <w:i/>
        </w:rPr>
        <w:t>Salmo salar</w:t>
      </w:r>
      <w:r w:rsidR="002342C5">
        <w:t>)</w:t>
      </w:r>
      <w:commentRangeEnd w:id="24"/>
      <w:r w:rsidR="002342C5">
        <w:commentReference w:id="24"/>
      </w:r>
      <w:r w:rsidR="002342C5">
        <w:t xml:space="preserve"> and </w:t>
      </w:r>
      <w:r w:rsidR="002342C5" w:rsidRPr="002342C5">
        <w:rPr>
          <w:highlight w:val="yellow"/>
        </w:rPr>
        <w:t>two species</w:t>
      </w:r>
      <w:r w:rsidR="002342C5">
        <w:rPr>
          <w:highlight w:val="yellow"/>
        </w:rPr>
        <w:t xml:space="preserve"> with min. repro. Temps &gt; XX</w:t>
      </w:r>
      <w:r w:rsidR="002342C5">
        <w:t xml:space="preserve">. </w:t>
      </w:r>
    </w:p>
    <w:p w14:paraId="020A1CC3" w14:textId="4BCD5452" w:rsidR="006A408C" w:rsidRDefault="00C264D8" w:rsidP="00C264D8">
      <w:commentRangeStart w:id="25"/>
      <w:r>
        <w:t xml:space="preserve">Most areas of high NIS reproductive richness were in the southern Bering Sea. </w:t>
      </w:r>
      <w:commentRangeStart w:id="26"/>
      <w:commentRangeEnd w:id="26"/>
      <w:r w:rsidR="000E1F22">
        <w:rPr>
          <w:rStyle w:val="CommentReference"/>
        </w:rPr>
        <w:commentReference w:id="26"/>
      </w:r>
      <w:r>
        <w:t xml:space="preserve">maximum NIS reproductive richness along the southern Seward Peninsula and in Norton Sound (64°N; </w:t>
      </w:r>
      <w:r>
        <w:rPr>
          <w:highlight w:val="yellow"/>
        </w:rPr>
        <w:t>Supplementary Figure 1</w:t>
      </w:r>
      <w:r w:rsidR="000E1F22">
        <w:t xml:space="preserve">). </w:t>
      </w:r>
      <w:commentRangeEnd w:id="25"/>
      <w:r w:rsidR="006A408C">
        <w:rPr>
          <w:rStyle w:val="CommentReference"/>
        </w:rPr>
        <w:commentReference w:id="25"/>
      </w:r>
    </w:p>
    <w:p w14:paraId="548C1DB1" w14:textId="7A9C1D5D" w:rsidR="00C264D8" w:rsidRDefault="006A408C" w:rsidP="00C264D8">
      <w:r>
        <w:t>For the recent study period, marine taxa requiring at least 12°C for reproduction or growth had fewer than six consecutive weeks, while taxa requiring &gt;14°C had less than one week (</w:t>
      </w:r>
      <w:r>
        <w:rPr>
          <w:highlight w:val="yellow"/>
        </w:rPr>
        <w:t>Figure 4).</w:t>
      </w:r>
      <w:r>
        <w:t xml:space="preserve"> </w:t>
      </w:r>
      <w:r w:rsidR="000E1F22">
        <w:t xml:space="preserve">Taxa that can reproduce </w:t>
      </w:r>
      <w:r w:rsidR="00C264D8" w:rsidRPr="00C264D8">
        <w:t xml:space="preserve">at 4°C </w:t>
      </w:r>
      <w:r w:rsidR="000E1F22">
        <w:t xml:space="preserve">in </w:t>
      </w:r>
      <w:r w:rsidR="000E1F22" w:rsidRPr="00C264D8">
        <w:t>marine salinities (≥</w:t>
      </w:r>
      <w:r w:rsidR="000E1F22">
        <w:t xml:space="preserve"> </w:t>
      </w:r>
      <w:r w:rsidR="000E1F22" w:rsidRPr="00C264D8">
        <w:t xml:space="preserve">31 ppt) </w:t>
      </w:r>
      <w:r w:rsidR="00C264D8" w:rsidRPr="00C264D8">
        <w:t xml:space="preserve">had nearly year-round suitable reproductive </w:t>
      </w:r>
      <w:r w:rsidR="00501591">
        <w:t>conditions</w:t>
      </w:r>
      <w:r w:rsidR="00C264D8" w:rsidRPr="00C264D8">
        <w:t xml:space="preserve"> (</w:t>
      </w:r>
      <w:r w:rsidR="00C264D8">
        <w:rPr>
          <w:highlight w:val="yellow"/>
        </w:rPr>
        <w:t>Figure 4</w:t>
      </w:r>
      <w:r w:rsidR="00C264D8">
        <w:t xml:space="preserve">). </w:t>
      </w:r>
      <w:r>
        <w:t>During the mid-century study period, models predict an increase in the number of consecutive weeks that are suitable for reproduction. T</w:t>
      </w:r>
      <w:r w:rsidR="00C264D8" w:rsidRPr="00C264D8">
        <w:t xml:space="preserve">axa with thresholds </w:t>
      </w:r>
      <w:commentRangeStart w:id="27"/>
      <w:r w:rsidR="00C264D8" w:rsidRPr="00C264D8">
        <w:t xml:space="preserve">≥14°C </w:t>
      </w:r>
      <w:commentRangeEnd w:id="27"/>
      <w:r>
        <w:rPr>
          <w:rStyle w:val="CommentReference"/>
        </w:rPr>
        <w:commentReference w:id="27"/>
      </w:r>
      <w:r w:rsidR="00C264D8" w:rsidRPr="00C264D8">
        <w:t xml:space="preserve">are predicted to have less than </w:t>
      </w:r>
      <w:r>
        <w:t>three</w:t>
      </w:r>
      <w:r w:rsidR="00C264D8" w:rsidRPr="00C264D8">
        <w:t xml:space="preserve"> weeks of suitable </w:t>
      </w:r>
      <w:r>
        <w:t>conditions</w:t>
      </w:r>
      <w:r w:rsidR="00C264D8">
        <w:rPr>
          <w:rFonts w:ascii="Gungsuh" w:eastAsia="Gungsuh" w:hAnsi="Gungsuh" w:cs="Gungsuh"/>
        </w:rPr>
        <w:t xml:space="preserve"> </w:t>
      </w:r>
      <w:r w:rsidR="00C264D8">
        <w:rPr>
          <w:highlight w:val="yellow"/>
        </w:rPr>
        <w:t>(Figure 4)</w:t>
      </w:r>
      <w:r w:rsidR="00C264D8">
        <w:t xml:space="preserve">. </w:t>
      </w:r>
    </w:p>
    <w:p w14:paraId="1E5BDF07" w14:textId="77777777" w:rsidR="00C264D8" w:rsidRDefault="00C264D8" w:rsidP="00C264D8">
      <w:pPr>
        <w:pStyle w:val="Heading2"/>
        <w:rPr>
          <w:highlight w:val="white"/>
        </w:rPr>
      </w:pPr>
      <w:r>
        <w:rPr>
          <w:highlight w:val="white"/>
        </w:rPr>
        <w:t>Vessel traffic</w:t>
      </w:r>
    </w:p>
    <w:p w14:paraId="4587CD35" w14:textId="0E78D8A9" w:rsidR="00C264D8" w:rsidRDefault="00C264D8" w:rsidP="00E76B55">
      <w:pPr>
        <w:rPr>
          <w:highlight w:val="white"/>
        </w:rPr>
      </w:pPr>
      <w:r>
        <w:rPr>
          <w:highlight w:val="white"/>
        </w:rPr>
        <w:t>From 2014 to 2016, the NBIC data reported a total of 816 arrival records and 15,837 ballast water discharge reports in U.S. Bering Sea ports from trips originating outside of the Bering Sea. Records were distributed across 9 vessel types: Bulker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2,755), Container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295), General Cargo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114), Other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396), Passenger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774), Refrigerated Cargo (</w:t>
      </w:r>
      <w:r>
        <w:rPr>
          <w:i/>
          <w:highlight w:val="white"/>
        </w:rPr>
        <w:t>N</w:t>
      </w:r>
      <w:r>
        <w:rPr>
          <w:highlight w:val="white"/>
        </w:rPr>
        <w:t xml:space="preserve"> = 418), Roll-on/Roll-off Cargo (</w:t>
      </w:r>
      <w:r>
        <w:rPr>
          <w:i/>
          <w:highlight w:val="white"/>
        </w:rPr>
        <w:t>N</w:t>
      </w:r>
      <w:r>
        <w:rPr>
          <w:highlight w:val="white"/>
        </w:rPr>
        <w:t xml:space="preserve"> = 10), Tanker (</w:t>
      </w:r>
      <w:r>
        <w:rPr>
          <w:i/>
          <w:highlight w:val="white"/>
        </w:rPr>
        <w:t>N</w:t>
      </w:r>
      <w:r w:rsidR="005C05EC">
        <w:rPr>
          <w:i/>
          <w:highlight w:val="white"/>
        </w:rPr>
        <w:t xml:space="preserve"> </w:t>
      </w:r>
      <w:r>
        <w:rPr>
          <w:highlight w:val="white"/>
        </w:rPr>
        <w:t>=</w:t>
      </w:r>
      <w:r w:rsidR="00C7643B">
        <w:rPr>
          <w:highlight w:val="white"/>
        </w:rPr>
        <w:t xml:space="preserve"> </w:t>
      </w:r>
      <w:r>
        <w:rPr>
          <w:highlight w:val="white"/>
        </w:rPr>
        <w:t>9,935), and Fishing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 xml:space="preserve">1,140), </w:t>
      </w:r>
      <w:commentRangeStart w:id="28"/>
      <w:r>
        <w:rPr>
          <w:highlight w:val="white"/>
        </w:rPr>
        <w:t>with Tankers accounting for more than 90% of the total ballast water volume discharged.</w:t>
      </w:r>
      <w:commentRangeEnd w:id="28"/>
      <w:r>
        <w:commentReference w:id="28"/>
      </w:r>
      <w:r>
        <w:rPr>
          <w:highlight w:val="white"/>
        </w:rPr>
        <w:t xml:space="preserve">  Dutch Harbor received the greatest amount of traffic for both NBIC and VMS reported boats (</w:t>
      </w:r>
      <w:r>
        <w:rPr>
          <w:highlight w:val="yellow"/>
        </w:rPr>
        <w:t>Figure 5</w:t>
      </w:r>
      <w:r>
        <w:rPr>
          <w:highlight w:val="white"/>
        </w:rPr>
        <w:t>). Nome received the second highest amount of traffic for NBIC reported vessels, and Akutan received the second highest amount of traffic for VMS reported vessels. With respect to ballast water discharge, the majority of reported discharge occurred in Dutch Harbor, with Nome having the second largest discharge volume (</w:t>
      </w:r>
      <w:r>
        <w:rPr>
          <w:highlight w:val="yellow"/>
        </w:rPr>
        <w:t>Supplementary Figure 2</w:t>
      </w:r>
      <w:r>
        <w:rPr>
          <w:highlight w:val="white"/>
        </w:rPr>
        <w:t xml:space="preserve">). </w:t>
      </w:r>
    </w:p>
    <w:p w14:paraId="05D856E7" w14:textId="61442FDA" w:rsidR="00C264D8" w:rsidRDefault="00C264D8" w:rsidP="00C264D8">
      <w:pPr>
        <w:rPr>
          <w:highlight w:val="white"/>
        </w:rPr>
      </w:pPr>
      <w:r>
        <w:rPr>
          <w:highlight w:val="white"/>
        </w:rPr>
        <w:t>Arrivals originating from outside of Alaska accounted for 83.3% of NBIC records (</w:t>
      </w:r>
      <w:r>
        <w:rPr>
          <w:highlight w:val="yellow"/>
        </w:rPr>
        <w:t>Figure 5a</w:t>
      </w:r>
      <w:r>
        <w:rPr>
          <w:highlight w:val="white"/>
        </w:rPr>
        <w:t>). California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175), Washington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142), and South Korea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127) accounted for greater portions of vessel traffic into the Bering Sea than the more proximate Gulf of Alaska ports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120). However, from VMS data, which predominantly includes smaller fishing vessels that do not report to the NBIC, an overwhelming majority of trips originated from Gulf of Alaska ports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 xml:space="preserve">657; </w:t>
      </w:r>
      <w:r>
        <w:rPr>
          <w:highlight w:val="yellow"/>
        </w:rPr>
        <w:t>Figure 5b</w:t>
      </w:r>
      <w:r>
        <w:rPr>
          <w:highlight w:val="white"/>
        </w:rPr>
        <w:t>). While ports in the eastern Pacific Ocean accounted for more trips, most ballast water released in the Bering Sea originated from Asian ports (</w:t>
      </w:r>
      <w:r>
        <w:rPr>
          <w:highlight w:val="yellow"/>
        </w:rPr>
        <w:t>Supplementary Figure 2</w:t>
      </w:r>
      <w:r>
        <w:rPr>
          <w:highlight w:val="white"/>
        </w:rPr>
        <w:t xml:space="preserve">). South Korea and China each accounted for an order of magnitude more ballast water (18,728 and 17,453 mt, respectively) than the next greatest sources, Japan (7,183 mt), Canada (6,912 mt), and Washington (3852 mt). Approximately 20% of the 15,837 ballast water exchange records (representing 10.6% of the discharged volume) identified the source of their ballast water using coordinates (typically from offshore waters) instead of port names. </w:t>
      </w:r>
      <w:commentRangeStart w:id="29"/>
      <w:r>
        <w:rPr>
          <w:highlight w:val="white"/>
        </w:rPr>
        <w:t>Among these non-port ballast water sources, 25% of water originated from locations in the northeast Pacific Ocean (defined here as latitudes &gt; 23.5° N, longitudes between 179.9° W and 110°W) and 15% originated from locations in the northwest Pacific Ocean (defined here as latitudes &gt; 23.5° N, longitudes between 100° E and 180° E).</w:t>
      </w:r>
      <w:commentRangeEnd w:id="29"/>
      <w:r>
        <w:commentReference w:id="29"/>
      </w:r>
    </w:p>
    <w:p w14:paraId="7B24981F" w14:textId="7297BAB2" w:rsidR="00C264D8" w:rsidRDefault="00B24857" w:rsidP="00B24857">
      <w:pPr>
        <w:pStyle w:val="Heading1"/>
      </w:pPr>
      <w:r>
        <w:lastRenderedPageBreak/>
        <w:t>Discussion</w:t>
      </w:r>
    </w:p>
    <w:p w14:paraId="7B9A8971" w14:textId="7AA50257" w:rsidR="00B24857" w:rsidRDefault="009521CB" w:rsidP="009521CB">
      <w:pPr>
        <w:pStyle w:val="Heading2"/>
      </w:pPr>
      <w:r>
        <w:t>Current model predictions</w:t>
      </w:r>
    </w:p>
    <w:p w14:paraId="41E204FD" w14:textId="346448B9" w:rsidR="009521CB" w:rsidRDefault="001E45BE" w:rsidP="009521CB">
      <w:r w:rsidRPr="001E45BE">
        <w:t xml:space="preserve">Although the </w:t>
      </w:r>
      <w:r w:rsidR="0006233D">
        <w:t>Bering Sea has few reports of</w:t>
      </w:r>
      <w:r w:rsidRPr="001E45BE">
        <w:t xml:space="preserve"> non-indigenous species (NIS</w:t>
      </w:r>
      <w:r>
        <w:t>)</w:t>
      </w:r>
      <w:r w:rsidR="0006233D">
        <w:t xml:space="preserve"> to date</w:t>
      </w:r>
      <w:r>
        <w:t>, our results indicate that</w:t>
      </w:r>
      <w:r w:rsidRPr="001E45BE">
        <w:t xml:space="preserve"> recent </w:t>
      </w:r>
      <w:r w:rsidR="00D71701">
        <w:t>oceanographic</w:t>
      </w:r>
      <w:r w:rsidR="00D71701" w:rsidRPr="001E45BE">
        <w:t xml:space="preserve"> </w:t>
      </w:r>
      <w:r w:rsidRPr="001E45BE">
        <w:t>conditions offer potential</w:t>
      </w:r>
      <w:r w:rsidR="00D71701">
        <w:t>ly suitable</w:t>
      </w:r>
      <w:r w:rsidR="00501591">
        <w:t xml:space="preserve"> conditions</w:t>
      </w:r>
      <w:r w:rsidRPr="001E45BE">
        <w:t xml:space="preserve"> </w:t>
      </w:r>
      <w:r>
        <w:t xml:space="preserve">for a large number of taxa, </w:t>
      </w:r>
      <w:r w:rsidRPr="001E45BE">
        <w:t>both</w:t>
      </w:r>
      <w:r w:rsidR="00574D9A">
        <w:t xml:space="preserve"> for</w:t>
      </w:r>
      <w:r w:rsidRPr="001E45BE">
        <w:t xml:space="preserve"> </w:t>
      </w:r>
      <w:r w:rsidR="000C4888">
        <w:t xml:space="preserve">their </w:t>
      </w:r>
      <w:r w:rsidRPr="001E45BE">
        <w:t>survival and</w:t>
      </w:r>
      <w:r w:rsidR="000C4888">
        <w:t xml:space="preserve"> for their</w:t>
      </w:r>
      <w:r w:rsidRPr="001E45BE">
        <w:t xml:space="preserve"> reproduction</w:t>
      </w:r>
      <w:r>
        <w:t xml:space="preserve">. Of the 42 taxa assessed, </w:t>
      </w:r>
      <w:r w:rsidR="00681BB9">
        <w:t>8</w:t>
      </w:r>
      <w:r w:rsidR="00847E59">
        <w:t>0</w:t>
      </w:r>
      <w:r w:rsidR="00681BB9">
        <w:t>%</w:t>
      </w:r>
      <w:r>
        <w:t xml:space="preserve"> had year-round suitable </w:t>
      </w:r>
      <w:r w:rsidR="000C4888">
        <w:t xml:space="preserve">survival </w:t>
      </w:r>
      <w:r w:rsidR="00501591">
        <w:t>conditions</w:t>
      </w:r>
      <w:r>
        <w:t xml:space="preserve">, and the remaining </w:t>
      </w:r>
      <w:r w:rsidR="00847E59">
        <w:t>h</w:t>
      </w:r>
      <w:r>
        <w:t xml:space="preserve">ad suitable </w:t>
      </w:r>
      <w:r w:rsidR="00501591">
        <w:t>conditions</w:t>
      </w:r>
      <w:r>
        <w:t xml:space="preserve"> for at least six weeks during </w:t>
      </w:r>
      <w:r w:rsidR="002150DD">
        <w:t>summer (</w:t>
      </w:r>
      <w:r>
        <w:t>early July to mid-August</w:t>
      </w:r>
      <w:r w:rsidR="002150DD">
        <w:t>)</w:t>
      </w:r>
      <w:r>
        <w:t xml:space="preserve">. In addition, </w:t>
      </w:r>
      <w:r w:rsidR="00681BB9">
        <w:t xml:space="preserve">conditions in the Bering Sea were predicted to be suitable for the reproduction and growth of </w:t>
      </w:r>
      <w:r w:rsidR="000C4888">
        <w:t>20 of 29 taxa (</w:t>
      </w:r>
      <w:r w:rsidR="00681BB9">
        <w:t>69%</w:t>
      </w:r>
      <w:r w:rsidR="000C4888">
        <w:t>)</w:t>
      </w:r>
      <w:r w:rsidR="00681BB9">
        <w:t xml:space="preserve">. </w:t>
      </w:r>
      <w:r w:rsidR="0006233D">
        <w:t>Since the taxa we assessed have all been observed within three marine ecoregions of the Bering Sea, it is conceivable that these species may frequently be transported to the region, and given enough opportunity, may survive and establish populations</w:t>
      </w:r>
      <w:r w:rsidR="00574D9A">
        <w:t xml:space="preserve"> under current Bering Sea conditions</w:t>
      </w:r>
      <w:r w:rsidR="0006233D">
        <w:t xml:space="preserve">. </w:t>
      </w:r>
    </w:p>
    <w:p w14:paraId="0A8A0F42" w14:textId="2142CCB5" w:rsidR="009F6DE5" w:rsidRDefault="00526612" w:rsidP="009F6DE5">
      <w:r>
        <w:t>W</w:t>
      </w:r>
      <w:r w:rsidR="0078241B">
        <w:t xml:space="preserve">hen we summed our models across all taxa, potential NIS richness followed a latitudinal gradient that was high in the southern Bering Sea and </w:t>
      </w:r>
      <w:commentRangeStart w:id="30"/>
      <w:commentRangeStart w:id="31"/>
      <w:r w:rsidR="0078241B">
        <w:t>decreased sharply above 58ºN</w:t>
      </w:r>
      <w:commentRangeEnd w:id="30"/>
      <w:r w:rsidR="0078241B">
        <w:rPr>
          <w:rStyle w:val="CommentReference"/>
        </w:rPr>
        <w:commentReference w:id="30"/>
      </w:r>
      <w:commentRangeEnd w:id="31"/>
      <w:r w:rsidR="0078241B">
        <w:rPr>
          <w:rStyle w:val="CommentReference"/>
        </w:rPr>
        <w:commentReference w:id="31"/>
      </w:r>
      <w:r w:rsidR="0078241B">
        <w:rPr>
          <w:rStyle w:val="CommentReference"/>
        </w:rPr>
        <w:t>.</w:t>
      </w:r>
      <w:r w:rsidR="0078241B">
        <w:t xml:space="preserve"> </w:t>
      </w:r>
      <w:r w:rsidR="002150DD">
        <w:t xml:space="preserve">The 58ºN “threshold boundary” predicted by our models is coincident with the </w:t>
      </w:r>
      <w:r w:rsidR="00771A6A">
        <w:t xml:space="preserve">current </w:t>
      </w:r>
      <w:r w:rsidR="002150DD">
        <w:t xml:space="preserve">limit of seasonal sea ice extent in the Bering Sea (Grebmeier et al. 2006b, Stabeno et al. 2012). Above this “boundary”, all taxa were predicted to have suitable survival </w:t>
      </w:r>
      <w:r w:rsidR="00501591">
        <w:t>conditions</w:t>
      </w:r>
      <w:r w:rsidR="002150DD">
        <w:t xml:space="preserve"> in summer, but taxa without year-round survival </w:t>
      </w:r>
      <w:r w:rsidR="00501591">
        <w:t>conditions</w:t>
      </w:r>
      <w:r w:rsidR="002150DD">
        <w:t xml:space="preserve"> failed to survive from December to April, when water temperatures </w:t>
      </w:r>
      <w:r>
        <w:t>fell below 0°C</w:t>
      </w:r>
      <w:r w:rsidR="002150DD">
        <w:t>.</w:t>
      </w:r>
      <w:r w:rsidR="00732493">
        <w:t xml:space="preserve"> </w:t>
      </w:r>
      <w:r>
        <w:t>In contrast, taxa that could tolerate sub-zero freezing temperatures had suitable conditions year-round throughout most of the Bering Sea. These findings are similar to those of de Rivera et al. (</w:t>
      </w:r>
      <w:del w:id="32" w:author="Amanda Droghini" w:date="2018-12-09T14:37:00Z">
        <w:r w:rsidDel="00A968A7">
          <w:delText>2007</w:delText>
        </w:r>
      </w:del>
      <w:ins w:id="33" w:author="Amanda Droghini" w:date="2018-12-09T14:37:00Z">
        <w:r w:rsidR="00A968A7">
          <w:t>2011</w:t>
        </w:r>
      </w:ins>
      <w:r>
        <w:t xml:space="preserve">), who built habitat suitability models in Alaskan waters for four </w:t>
      </w:r>
      <w:r w:rsidR="00F156EA">
        <w:t xml:space="preserve">cold-tolerant, </w:t>
      </w:r>
      <w:r>
        <w:t xml:space="preserve">non-native species. Within the subset of taxa we considered, tolerance to sub-zero temperatures was somewhat common, but most taxa had minimum temperature thresholds </w:t>
      </w:r>
      <w:r>
        <w:rPr>
          <w:rFonts w:cs="Times New Roman"/>
        </w:rPr>
        <w:t>≥</w:t>
      </w:r>
      <w:r>
        <w:t xml:space="preserve">0°C. Biological invasions in Arctic waters may therefore be limited to taxa that </w:t>
      </w:r>
      <w:r w:rsidR="00C3501B">
        <w:t xml:space="preserve">are adapted to polar environments or that </w:t>
      </w:r>
      <w:r>
        <w:t xml:space="preserve">are </w:t>
      </w:r>
      <w:r w:rsidR="00C3501B">
        <w:t xml:space="preserve">tolerant of a wide range of temperatures (such as the European green crab, </w:t>
      </w:r>
      <w:r w:rsidR="00C3501B">
        <w:rPr>
          <w:i/>
        </w:rPr>
        <w:t xml:space="preserve">Carcinus </w:t>
      </w:r>
      <w:r w:rsidR="00C3501B" w:rsidRPr="00C3501B">
        <w:rPr>
          <w:i/>
        </w:rPr>
        <w:t>maenas</w:t>
      </w:r>
      <w:r w:rsidR="00C3501B">
        <w:t>).</w:t>
      </w:r>
      <w:r>
        <w:t xml:space="preserve"> </w:t>
      </w:r>
      <w:r w:rsidR="00732493">
        <w:t>In contrast, the southern Bering Sea</w:t>
      </w:r>
      <w:r w:rsidR="00967BAD">
        <w:t>, which includes the Aleutian Islands chain, the Pribilof Islands, and the northwestern Alaska Peninsula,</w:t>
      </w:r>
      <w:r w:rsidR="00732493">
        <w:t xml:space="preserve"> </w:t>
      </w:r>
      <w:r w:rsidR="000A57FF">
        <w:t xml:space="preserve">had </w:t>
      </w:r>
      <w:r w:rsidR="00732493">
        <w:t xml:space="preserve">suitable year-round </w:t>
      </w:r>
      <w:r w:rsidR="000A57FF">
        <w:t xml:space="preserve">survival conditions </w:t>
      </w:r>
      <w:r w:rsidR="00732493">
        <w:t xml:space="preserve">for </w:t>
      </w:r>
      <w:r w:rsidR="00732493" w:rsidRPr="00732493">
        <w:rPr>
          <w:highlight w:val="yellow"/>
        </w:rPr>
        <w:t>((almost all)</w:t>
      </w:r>
      <w:r w:rsidR="00732493">
        <w:t xml:space="preserve"> NIS we considered.</w:t>
      </w:r>
    </w:p>
    <w:p w14:paraId="263494D0" w14:textId="3D95D551" w:rsidR="009F6DE5" w:rsidRDefault="00967BAD" w:rsidP="009521CB">
      <w:r w:rsidRPr="00981B31">
        <w:t>Our analysis of suitable reproductive conditions has more uncertainties given our</w:t>
      </w:r>
      <w:r w:rsidR="00B4574E" w:rsidRPr="00981B31">
        <w:t xml:space="preserve"> limited knowledge of physiological thresholds</w:t>
      </w:r>
      <w:r w:rsidRPr="00981B31">
        <w:t xml:space="preserve"> and the complexity of the reproductive and developmental processes. Organisms have different temperature requirements</w:t>
      </w:r>
      <w:r>
        <w:t xml:space="preserve"> for spawning, brooding, and undergoing metamorphosis</w:t>
      </w:r>
      <w:r w:rsidR="00F156EA">
        <w:t>, and each of these stages takes a certain amount of time to complete</w:t>
      </w:r>
      <w:r>
        <w:t>.</w:t>
      </w:r>
      <w:r w:rsidR="00F156EA">
        <w:t xml:space="preserve"> In some cases,</w:t>
      </w:r>
      <w:r>
        <w:t xml:space="preserve"> </w:t>
      </w:r>
      <w:r w:rsidR="00F156EA" w:rsidRPr="009F6DE5">
        <w:t xml:space="preserve">temperatures </w:t>
      </w:r>
      <w:r w:rsidR="00F156EA">
        <w:t>at the tail-end of an organism’s tolerance threshold can</w:t>
      </w:r>
      <w:r w:rsidR="00F156EA" w:rsidRPr="009F6DE5">
        <w:t xml:space="preserve"> increase t</w:t>
      </w:r>
      <w:r w:rsidR="00F156EA">
        <w:t>he t</w:t>
      </w:r>
      <w:r w:rsidR="00F156EA" w:rsidRPr="009F6DE5">
        <w:t>ime</w:t>
      </w:r>
      <w:r w:rsidR="00F156EA">
        <w:t xml:space="preserve"> required</w:t>
      </w:r>
      <w:r w:rsidR="00F156EA" w:rsidRPr="009F6DE5">
        <w:t xml:space="preserve"> </w:t>
      </w:r>
      <w:r w:rsidR="00F156EA">
        <w:t>for</w:t>
      </w:r>
      <w:r w:rsidR="00F156EA" w:rsidRPr="009F6DE5">
        <w:t xml:space="preserve"> development (e.g. de Rivera et al. 2007)</w:t>
      </w:r>
      <w:r w:rsidR="00F156EA">
        <w:t>. I</w:t>
      </w:r>
      <w:r w:rsidR="00B4574E" w:rsidRPr="009F6DE5">
        <w:t>t is</w:t>
      </w:r>
      <w:r w:rsidR="00F156EA">
        <w:t xml:space="preserve"> therefore</w:t>
      </w:r>
      <w:r w:rsidR="00B4574E" w:rsidRPr="009F6DE5">
        <w:t xml:space="preserve"> difficult to determine whether </w:t>
      </w:r>
      <w:r w:rsidR="00F156EA">
        <w:t xml:space="preserve">organisms </w:t>
      </w:r>
      <w:r w:rsidR="00B4574E" w:rsidRPr="009F6DE5">
        <w:t xml:space="preserve">have enough time to </w:t>
      </w:r>
      <w:r w:rsidR="00F156EA">
        <w:t xml:space="preserve">reproduce and </w:t>
      </w:r>
      <w:r w:rsidR="00B4574E" w:rsidRPr="009F6DE5">
        <w:t>develop</w:t>
      </w:r>
      <w:r w:rsidR="00F156EA">
        <w:t xml:space="preserve"> in the Bering Sea’s short summer season</w:t>
      </w:r>
      <w:r w:rsidR="00B4574E">
        <w:t xml:space="preserve">. </w:t>
      </w:r>
      <w:r>
        <w:rPr>
          <w:highlight w:val="yellow"/>
        </w:rPr>
        <w:t>M</w:t>
      </w:r>
      <w:r w:rsidRPr="009F6DE5">
        <w:t>ost</w:t>
      </w:r>
      <w:r>
        <w:rPr>
          <w:rStyle w:val="CommentReference"/>
        </w:rPr>
        <w:commentReference w:id="34"/>
      </w:r>
      <w:r w:rsidRPr="009F6DE5">
        <w:t xml:space="preserve"> </w:t>
      </w:r>
      <w:r>
        <w:t xml:space="preserve">taxa we evaluated </w:t>
      </w:r>
      <w:r w:rsidRPr="009F6DE5">
        <w:t xml:space="preserve">had at least one week of suitable reproductive </w:t>
      </w:r>
      <w:r w:rsidR="00501591">
        <w:t>conditions</w:t>
      </w:r>
      <w:r w:rsidRPr="009F6DE5">
        <w:t>.</w:t>
      </w:r>
      <w:r>
        <w:t xml:space="preserve"> </w:t>
      </w:r>
      <w:r w:rsidR="000A57FF">
        <w:t>T</w:t>
      </w:r>
      <w:r w:rsidR="000A57FF" w:rsidRPr="009F6DE5">
        <w:t xml:space="preserve">he two NIS </w:t>
      </w:r>
      <w:r w:rsidR="000A57FF">
        <w:t xml:space="preserve">that are currently known to be established in the Bering Sea </w:t>
      </w:r>
      <w:r w:rsidR="000A57FF" w:rsidRPr="009F6DE5">
        <w:t>(</w:t>
      </w:r>
      <w:r w:rsidR="000A57FF" w:rsidRPr="009F6DE5">
        <w:rPr>
          <w:i/>
        </w:rPr>
        <w:t>Caprella mutica</w:t>
      </w:r>
      <w:r w:rsidR="000A57FF" w:rsidRPr="009F6DE5">
        <w:t xml:space="preserve"> and </w:t>
      </w:r>
      <w:r w:rsidR="000A57FF" w:rsidRPr="009F6DE5">
        <w:rPr>
          <w:i/>
        </w:rPr>
        <w:t>Mya arenaria</w:t>
      </w:r>
      <w:r w:rsidR="000A57FF" w:rsidRPr="009F6DE5">
        <w:t>)</w:t>
      </w:r>
      <w:r w:rsidR="000A57FF">
        <w:t xml:space="preserve"> </w:t>
      </w:r>
      <w:r w:rsidR="000A57FF" w:rsidRPr="009F6DE5">
        <w:t>require</w:t>
      </w:r>
      <w:r w:rsidR="000A57FF">
        <w:t>d</w:t>
      </w:r>
      <w:r w:rsidR="000A57FF" w:rsidRPr="009F6DE5">
        <w:t xml:space="preserve"> the lowest minimum reproductive temperatures (4°C) of all NIS assessed and </w:t>
      </w:r>
      <w:r w:rsidR="000A57FF">
        <w:t>were the only ones</w:t>
      </w:r>
      <w:r w:rsidR="000A57FF" w:rsidRPr="009F6DE5">
        <w:t xml:space="preserve"> </w:t>
      </w:r>
      <w:r w:rsidR="000A57FF">
        <w:t>that had suitable reproductive conditions</w:t>
      </w:r>
      <w:r w:rsidR="000A57FF" w:rsidRPr="009F6DE5">
        <w:t xml:space="preserve"> nearly year-round (&gt;</w:t>
      </w:r>
      <w:r w:rsidR="000A57FF">
        <w:t xml:space="preserve"> </w:t>
      </w:r>
      <w:r w:rsidR="000A57FF" w:rsidRPr="009F6DE5">
        <w:t>51 consecutive weeks).</w:t>
      </w:r>
      <w:r w:rsidR="000A57FF">
        <w:t xml:space="preserve"> In contrast, t</w:t>
      </w:r>
      <w:r w:rsidR="000A57FF" w:rsidRPr="009F6DE5">
        <w:t xml:space="preserve">axa </w:t>
      </w:r>
      <w:r w:rsidR="00F819C5" w:rsidRPr="009F6DE5">
        <w:t>requiring temperatures ≥</w:t>
      </w:r>
      <w:r w:rsidR="00F819C5">
        <w:t xml:space="preserve"> </w:t>
      </w:r>
      <w:r w:rsidR="00F819C5" w:rsidRPr="009F6DE5">
        <w:t>14°C</w:t>
      </w:r>
      <w:r w:rsidR="00F819C5">
        <w:t xml:space="preserve"> had less than three weeks of suitable reproductive conditions. </w:t>
      </w:r>
      <w:r w:rsidR="00B223D0">
        <w:t>NIS</w:t>
      </w:r>
      <w:r w:rsidR="00F819C5">
        <w:t xml:space="preserve"> </w:t>
      </w:r>
      <w:r w:rsidR="00B223D0" w:rsidRPr="009F6DE5">
        <w:t xml:space="preserve">such as </w:t>
      </w:r>
      <w:r w:rsidR="00B223D0" w:rsidRPr="009F6DE5">
        <w:rPr>
          <w:i/>
        </w:rPr>
        <w:t>Botrylloides violaceus</w:t>
      </w:r>
      <w:r w:rsidR="00B223D0" w:rsidRPr="009F6DE5">
        <w:t xml:space="preserve"> and </w:t>
      </w:r>
      <w:r w:rsidR="00B223D0" w:rsidRPr="009F6DE5">
        <w:rPr>
          <w:i/>
        </w:rPr>
        <w:t>Carcinus maenas</w:t>
      </w:r>
      <w:r w:rsidR="00B223D0" w:rsidRPr="004E03AC">
        <w:t>,</w:t>
      </w:r>
      <w:r w:rsidR="00B223D0">
        <w:t xml:space="preserve"> which are of high concern elsewhere along the eastern Pacific coast (Fofofnoff et al. 2003)</w:t>
      </w:r>
      <w:r w:rsidR="00F819C5">
        <w:t>, either did not have</w:t>
      </w:r>
      <w:r w:rsidR="00F819C5" w:rsidRPr="009F6DE5">
        <w:t xml:space="preserve"> suitable temperatures or </w:t>
      </w:r>
      <w:r w:rsidR="00F819C5">
        <w:t xml:space="preserve">did not have </w:t>
      </w:r>
      <w:r w:rsidR="00F819C5" w:rsidRPr="009F6DE5">
        <w:t>enough time to complete development</w:t>
      </w:r>
      <w:r w:rsidR="00B223D0">
        <w:t xml:space="preserve"> </w:t>
      </w:r>
      <w:r w:rsidR="00B223D0" w:rsidRPr="009F6DE5">
        <w:t>(de Rivera et al. 2007, Westerman et al. 2009)</w:t>
      </w:r>
      <w:r w:rsidR="00F819C5" w:rsidRPr="009F6DE5">
        <w:t>, despite having the capacity to live year-round across moderately large areas of the shelf.</w:t>
      </w:r>
      <w:r w:rsidR="00B4574E">
        <w:t xml:space="preserve"> </w:t>
      </w:r>
      <w:r w:rsidR="008A6E2A">
        <w:t>However, our model projections suggest that these restrictions may loosen as season length and water temperatures increase.</w:t>
      </w:r>
      <w:r w:rsidR="000A57FF">
        <w:t xml:space="preserve"> As with our survival analysis, areas of high suitability </w:t>
      </w:r>
      <w:commentRangeStart w:id="35"/>
      <w:r w:rsidR="000A57FF">
        <w:t>included the southern Bering Sea</w:t>
      </w:r>
      <w:commentRangeEnd w:id="35"/>
      <w:r w:rsidR="000A57FF">
        <w:rPr>
          <w:rStyle w:val="CommentReference"/>
        </w:rPr>
        <w:commentReference w:id="35"/>
      </w:r>
      <w:r w:rsidR="00C37F66">
        <w:t>. We were</w:t>
      </w:r>
      <w:r w:rsidR="000A57FF">
        <w:t xml:space="preserve"> also</w:t>
      </w:r>
      <w:r w:rsidR="00C37F66">
        <w:t xml:space="preserve"> surprised to see suitable conditions for several taxa in</w:t>
      </w:r>
      <w:r w:rsidR="000A57FF">
        <w:t xml:space="preserve"> </w:t>
      </w:r>
      <w:r w:rsidR="000A57FF" w:rsidRPr="009F6DE5">
        <w:t>Norton Sound (~64°</w:t>
      </w:r>
      <w:r w:rsidR="000A57FF">
        <w:t>N</w:t>
      </w:r>
      <w:r w:rsidR="000A57FF" w:rsidRPr="009F6DE5">
        <w:t>) (</w:t>
      </w:r>
      <w:r w:rsidR="000A57FF" w:rsidRPr="00DF4CA7">
        <w:rPr>
          <w:highlight w:val="yellow"/>
        </w:rPr>
        <w:t>Supplementary Figure 1</w:t>
      </w:r>
      <w:r w:rsidR="000A57FF" w:rsidRPr="009F6DE5">
        <w:t xml:space="preserve">). </w:t>
      </w:r>
      <w:r w:rsidR="000A57FF">
        <w:t>Norton Sound freezes annually,</w:t>
      </w:r>
      <w:r w:rsidR="00C37F66">
        <w:t xml:space="preserve"> but</w:t>
      </w:r>
      <w:r w:rsidR="000A57FF">
        <w:t xml:space="preserve"> in the summer its shallow waters </w:t>
      </w:r>
      <w:r w:rsidR="00C37F66">
        <w:t>create a thermal hotspot in an otherwise</w:t>
      </w:r>
      <w:r w:rsidR="000A57FF" w:rsidRPr="009F6DE5">
        <w:t xml:space="preserve"> </w:t>
      </w:r>
      <w:r w:rsidR="00C37F66">
        <w:t>chilly s</w:t>
      </w:r>
      <w:r w:rsidR="000A57FF" w:rsidRPr="009F6DE5">
        <w:t xml:space="preserve">ea (Ladd and Overland 2009, Hermann et al. 2016). </w:t>
      </w:r>
      <w:r w:rsidR="000A57FF">
        <w:t xml:space="preserve">The presence </w:t>
      </w:r>
      <w:r w:rsidR="000A57FF">
        <w:lastRenderedPageBreak/>
        <w:t xml:space="preserve">of such hotspots could create a window of opportunity for NIS to establish in arctic waters. Some marine organisms have specialized lifeforms that allow them to persist even if temperatures fall below their adult survival thresholds. In other cases, a yearly influx of eggs or mature adults could lead to the establishment of a </w:t>
      </w:r>
      <w:r w:rsidR="00F156EA">
        <w:t>seasonal population</w:t>
      </w:r>
      <w:r w:rsidR="00823872">
        <w:t xml:space="preserve"> that </w:t>
      </w:r>
      <w:r w:rsidR="000A57FF">
        <w:t>persist</w:t>
      </w:r>
      <w:r w:rsidR="00823872">
        <w:t>s</w:t>
      </w:r>
      <w:r w:rsidR="000A57FF">
        <w:t xml:space="preserve"> year-round in mild winter</w:t>
      </w:r>
      <w:r w:rsidR="00823872">
        <w:t xml:space="preserve"> year</w:t>
      </w:r>
      <w:r w:rsidR="000A57FF">
        <w:t>s and disappear</w:t>
      </w:r>
      <w:r w:rsidR="00823872">
        <w:t>s</w:t>
      </w:r>
      <w:r w:rsidR="000A57FF">
        <w:t xml:space="preserve"> in </w:t>
      </w:r>
      <w:r w:rsidR="00F156EA">
        <w:t>other</w:t>
      </w:r>
      <w:r w:rsidR="000A57FF">
        <w:t xml:space="preserve"> years.</w:t>
      </w:r>
      <w:r w:rsidR="00823872">
        <w:t xml:space="preserve"> Our model projections suggest that temperature restrictions on year-round survival and reproduction may loosen as water temperatures and season length increase.</w:t>
      </w:r>
    </w:p>
    <w:p w14:paraId="30AE0A69" w14:textId="69A0891A" w:rsidR="00681BB9" w:rsidRDefault="00681BB9" w:rsidP="00681BB9">
      <w:pPr>
        <w:pStyle w:val="Heading2"/>
      </w:pPr>
      <w:r>
        <w:t>Future model predictions</w:t>
      </w:r>
    </w:p>
    <w:p w14:paraId="6CDA6FDD" w14:textId="77777777" w:rsidR="007A7807" w:rsidRDefault="00112382" w:rsidP="00E32220">
      <w:pPr>
        <w:rPr>
          <w:ins w:id="36" w:author="Amanda Droghini" w:date="2018-12-09T15:13:00Z"/>
        </w:rPr>
      </w:pPr>
      <w:r>
        <w:t>The Bering Sea is experiencing significant changes as a result of climate change (e.g. Grebmeier et al. 2006b, Stabeno et al. 2007, Mueter and Litzow 2008). Sea ice cover has decreased substantially since the 1950s, and surface water temperatures have increased by 0.23°C per decade since then (Mueter and Litzow 2008)</w:t>
      </w:r>
      <w:ins w:id="37" w:author="Amanda Droghini" w:date="2018-12-09T15:04:00Z">
        <w:r w:rsidR="00771A6A">
          <w:t>.</w:t>
        </w:r>
      </w:ins>
      <w:r>
        <w:t xml:space="preserve"> </w:t>
      </w:r>
      <w:ins w:id="38" w:author="Amanda Droghini" w:date="2018-12-09T14:38:00Z">
        <w:r w:rsidR="00A968A7">
          <w:t xml:space="preserve">Recent years have experienced several of the </w:t>
        </w:r>
        <w:commentRangeStart w:id="39"/>
        <w:r w:rsidR="00A968A7">
          <w:t xml:space="preserve">lowest sea ice </w:t>
        </w:r>
      </w:ins>
      <w:ins w:id="40" w:author="Amanda Droghini" w:date="2018-12-09T15:10:00Z">
        <w:r w:rsidR="007A7807">
          <w:t>extent</w:t>
        </w:r>
      </w:ins>
      <w:ins w:id="41" w:author="Amanda Droghini" w:date="2018-12-09T14:38:00Z">
        <w:r w:rsidR="00A968A7">
          <w:t xml:space="preserve"> on record, </w:t>
        </w:r>
      </w:ins>
      <w:ins w:id="42" w:author="Amanda Droghini" w:date="2018-12-09T15:10:00Z">
        <w:r w:rsidR="007A7807">
          <w:t xml:space="preserve">shifting the location of the ice boundary further north (Onarheim et al. 2018). In addition, there has been </w:t>
        </w:r>
      </w:ins>
      <w:ins w:id="43" w:author="Amanda Droghini" w:date="2018-12-09T14:38:00Z">
        <w:r w:rsidR="00A968A7">
          <w:t xml:space="preserve">substantial decreases </w:t>
        </w:r>
      </w:ins>
      <w:ins w:id="44" w:author="Amanda Droghini" w:date="2018-12-09T15:11:00Z">
        <w:r w:rsidR="007A7807">
          <w:t>in</w:t>
        </w:r>
      </w:ins>
      <w:ins w:id="45" w:author="Amanda Droghini" w:date="2018-12-09T14:38:00Z">
        <w:r w:rsidR="00A968A7">
          <w:t xml:space="preserve"> the </w:t>
        </w:r>
      </w:ins>
      <w:ins w:id="46" w:author="Amanda Droghini" w:date="2018-12-09T15:11:00Z">
        <w:r w:rsidR="007A7807">
          <w:t>length</w:t>
        </w:r>
      </w:ins>
      <w:ins w:id="47" w:author="Amanda Droghini" w:date="2018-12-09T14:38:00Z">
        <w:r w:rsidR="007A7807">
          <w:t xml:space="preserve"> of the ice-</w:t>
        </w:r>
        <w:r w:rsidR="00A968A7">
          <w:t xml:space="preserve">covered season </w:t>
        </w:r>
        <w:commentRangeEnd w:id="39"/>
        <w:r w:rsidR="00A968A7">
          <w:commentReference w:id="39"/>
        </w:r>
        <w:r w:rsidR="00771A6A">
          <w:t>(Onarheim et al. 2018</w:t>
        </w:r>
        <w:r w:rsidR="00A968A7">
          <w:t>)</w:t>
        </w:r>
        <w:r w:rsidR="007A7807">
          <w:t>.</w:t>
        </w:r>
      </w:ins>
      <w:ins w:id="48" w:author="Amanda Droghini" w:date="2018-12-09T15:13:00Z">
        <w:r w:rsidR="007A7807">
          <w:t xml:space="preserve"> </w:t>
        </w:r>
      </w:ins>
    </w:p>
    <w:p w14:paraId="6B419565" w14:textId="65B4F867" w:rsidR="008A6E2A" w:rsidDel="007A7807" w:rsidRDefault="007A7807" w:rsidP="00E32220">
      <w:pPr>
        <w:rPr>
          <w:del w:id="49" w:author="Amanda Droghini" w:date="2018-12-09T15:15:00Z"/>
        </w:rPr>
      </w:pPr>
      <w:ins w:id="50" w:author="Amanda Droghini" w:date="2018-12-09T15:13:00Z">
        <w:r>
          <w:t>These observed and ongoing changes are predicted to increase the amount of suitable conditions, both in terms of area and number of NIS. Warming winter temperatures and decreases in sea ice extent will allow NIS to survive year-round in previously inhospitable areas, whereas warming summer temperatures will increase the length of the reproductive season.</w:t>
        </w:r>
      </w:ins>
      <w:ins w:id="51" w:author="Amanda Droghini" w:date="2018-12-09T15:15:00Z">
        <w:r>
          <w:t xml:space="preserve"> Indeed, </w:t>
        </w:r>
      </w:ins>
    </w:p>
    <w:p w14:paraId="2208662B" w14:textId="6BD095AB" w:rsidR="008A6E2A" w:rsidRDefault="008A6E2A" w:rsidP="00E32220">
      <w:commentRangeStart w:id="52"/>
      <w:r>
        <w:t xml:space="preserve">Of the 42 taxa assessed, </w:t>
      </w:r>
      <w:r w:rsidR="00C05510">
        <w:t>XX</w:t>
      </w:r>
      <w:r>
        <w:t xml:space="preserve">% had year-round suitable </w:t>
      </w:r>
      <w:r w:rsidR="00501591">
        <w:t>?conditions?</w:t>
      </w:r>
      <w:r>
        <w:t xml:space="preserve">, and the remaining </w:t>
      </w:r>
      <w:r w:rsidR="00C05510">
        <w:t>X</w:t>
      </w:r>
      <w:r>
        <w:t xml:space="preserve">% had suitable </w:t>
      </w:r>
      <w:r w:rsidR="00501591">
        <w:t xml:space="preserve">conditions </w:t>
      </w:r>
      <w:r>
        <w:t xml:space="preserve">for at least six weeks during early July to mid-August. In addition, conditions in the Bering Sea were predicted to be suitable for the reproduction and growth of </w:t>
      </w:r>
      <w:r w:rsidR="00C05510">
        <w:t>XX</w:t>
      </w:r>
      <w:r>
        <w:t>% of the subset of taxa assessed. These results suggest…</w:t>
      </w:r>
      <w:commentRangeEnd w:id="52"/>
      <w:r>
        <w:rPr>
          <w:rStyle w:val="CommentReference"/>
        </w:rPr>
        <w:commentReference w:id="52"/>
      </w:r>
      <w:ins w:id="53" w:author="Amanda Droghini" w:date="2018-12-09T14:38:00Z">
        <w:r w:rsidR="00A968A7">
          <w:t xml:space="preserve"> </w:t>
        </w:r>
      </w:ins>
    </w:p>
    <w:p w14:paraId="1FAAE983" w14:textId="0432650F" w:rsidR="00E1251C" w:rsidRDefault="00E32220" w:rsidP="00553659">
      <w:r>
        <w:t>Our models agree with other NIS risk assessments in the Arctic (de Rivera et al. 2011, Ware et al. 2016, Goldsmit</w:t>
      </w:r>
      <w:r w:rsidR="00982F45">
        <w:t>h</w:t>
      </w:r>
      <w:r>
        <w:t xml:space="preserve"> et al. 2018) that predict a northward ex</w:t>
      </w:r>
      <w:r w:rsidR="00702149">
        <w:t xml:space="preserve">pansion in suitable </w:t>
      </w:r>
      <w:r w:rsidR="009A590F">
        <w:t xml:space="preserve">survival </w:t>
      </w:r>
      <w:r w:rsidR="00501591">
        <w:t>conditions</w:t>
      </w:r>
      <w:r w:rsidR="00702149">
        <w:t xml:space="preserve"> as the</w:t>
      </w:r>
      <w:r>
        <w:t xml:space="preserve"> result of </w:t>
      </w:r>
      <w:r w:rsidR="00551E18">
        <w:t xml:space="preserve">predicted increases in </w:t>
      </w:r>
      <w:r w:rsidR="00A968A7">
        <w:t xml:space="preserve">winter </w:t>
      </w:r>
      <w:r w:rsidR="00551E18">
        <w:t>water temperatures</w:t>
      </w:r>
      <w:r>
        <w:t xml:space="preserve"> </w:t>
      </w:r>
      <w:r>
        <w:rPr>
          <w:highlight w:val="yellow"/>
        </w:rPr>
        <w:t>(Supplementary Figure 1)</w:t>
      </w:r>
      <w:r w:rsidR="00F8717A">
        <w:t xml:space="preserve">. </w:t>
      </w:r>
      <w:ins w:id="54" w:author="Amanda Droghini" w:date="2018-12-09T15:12:00Z">
        <w:r w:rsidR="007A7807">
          <w:t xml:space="preserve">The number of NIS that a single ‘pixel’ can support is expected to increase </w:t>
        </w:r>
      </w:ins>
      <w:r w:rsidR="00C34622">
        <w:t>In addition, o</w:t>
      </w:r>
      <w:r w:rsidR="009A590F">
        <w:t xml:space="preserve">ur models predict that </w:t>
      </w:r>
      <w:r w:rsidR="00551E18">
        <w:t xml:space="preserve">warming summer temperatures </w:t>
      </w:r>
      <w:r w:rsidR="009A590F">
        <w:t xml:space="preserve">will </w:t>
      </w:r>
      <w:r w:rsidR="00551E18">
        <w:t>increase</w:t>
      </w:r>
      <w:r w:rsidR="009A590F">
        <w:t xml:space="preserve"> the length of</w:t>
      </w:r>
      <w:r w:rsidR="00551E18">
        <w:t xml:space="preserve"> time </w:t>
      </w:r>
      <w:r w:rsidR="009A590F">
        <w:t xml:space="preserve">that is suitable </w:t>
      </w:r>
      <w:r w:rsidR="00551E18">
        <w:t xml:space="preserve">for growth and </w:t>
      </w:r>
      <w:r w:rsidR="00551E18" w:rsidRPr="00771A6A">
        <w:t>development</w:t>
      </w:r>
      <w:r w:rsidR="009A590F" w:rsidRPr="00771A6A">
        <w:t xml:space="preserve">. </w:t>
      </w:r>
      <w:r w:rsidR="00A968A7" w:rsidRPr="00771A6A">
        <w:t xml:space="preserve">Few studies have modeled </w:t>
      </w:r>
      <w:r w:rsidR="00553659" w:rsidRPr="00771A6A">
        <w:t>the reproductive capacity of NIS</w:t>
      </w:r>
      <w:r w:rsidR="00A968A7" w:rsidRPr="00771A6A">
        <w:t xml:space="preserve"> in Arctic regions</w:t>
      </w:r>
      <w:r w:rsidR="00553659" w:rsidRPr="00771A6A">
        <w:t>, but studies in</w:t>
      </w:r>
      <w:r w:rsidR="00A968A7" w:rsidRPr="00771A6A">
        <w:t xml:space="preserve"> temperate systems</w:t>
      </w:r>
      <w:r w:rsidR="00553659" w:rsidRPr="00771A6A">
        <w:t xml:space="preserve"> have shown that</w:t>
      </w:r>
      <w:r w:rsidR="00A968A7" w:rsidRPr="00771A6A">
        <w:t xml:space="preserve"> NIS </w:t>
      </w:r>
      <w:r w:rsidR="00553659" w:rsidRPr="00771A6A">
        <w:t xml:space="preserve">typically </w:t>
      </w:r>
      <w:r w:rsidR="00A968A7" w:rsidRPr="00771A6A">
        <w:t>respond</w:t>
      </w:r>
      <w:r w:rsidR="00553659" w:rsidRPr="00771A6A">
        <w:t xml:space="preserve"> favorably</w:t>
      </w:r>
      <w:r w:rsidR="00A968A7" w:rsidRPr="00771A6A">
        <w:t xml:space="preserve"> to warmer </w:t>
      </w:r>
      <w:r w:rsidR="00553659" w:rsidRPr="00771A6A">
        <w:t xml:space="preserve">spring and summer </w:t>
      </w:r>
      <w:r w:rsidR="00A968A7" w:rsidRPr="00771A6A">
        <w:t>water temperatures</w:t>
      </w:r>
      <w:r w:rsidR="00553659" w:rsidRPr="00771A6A">
        <w:t>. Taxa respond in a variety of ways</w:t>
      </w:r>
      <w:r w:rsidR="00A968A7" w:rsidRPr="00771A6A">
        <w:t xml:space="preserve"> including by increasing their growth rates (de Rivera et al. 2007), local abundance (Saunders and Metaxas 2007, Witte et al. 2010), fecundity (Valdizan et al. 2011, Dijkstra et al. 2017), and onset of recruitment (Stachowicz et al. 2002, Valdizan et al. 2011). For taxa that are at the limit of its temperature thresholds in the Bering Sea, warming temperatures could allow species to considerably expand suitable conditions. </w:t>
      </w:r>
      <w:r w:rsidR="009A590F" w:rsidRPr="00771A6A">
        <w:t xml:space="preserve">For example, when we consider </w:t>
      </w:r>
      <w:r w:rsidR="009A590F" w:rsidRPr="00771A6A">
        <w:rPr>
          <w:i/>
        </w:rPr>
        <w:t>C. maenas</w:t>
      </w:r>
      <w:r w:rsidR="009A590F" w:rsidRPr="00771A6A">
        <w:t>, a NIS of great concern (</w:t>
      </w:r>
      <w:r w:rsidR="00B541E3">
        <w:t>Fofonoff et al. 2018</w:t>
      </w:r>
      <w:r w:rsidR="00C34622" w:rsidRPr="00771A6A">
        <w:t>; Fuller and Benson 2013</w:t>
      </w:r>
      <w:r w:rsidR="009A590F" w:rsidRPr="00771A6A">
        <w:t xml:space="preserve">), </w:t>
      </w:r>
      <w:del w:id="55" w:author="Amanda Droghini" w:date="2018-12-09T14:46:00Z">
        <w:r w:rsidR="009A590F" w:rsidRPr="00771A6A" w:rsidDel="00A968A7">
          <w:delText>laboratory experiments and modeling efforts suggest that recent temperatures in the southern Bering Sea are at the limit of its thermal tolerances (de Rivera et al. 2007). O</w:delText>
        </w:r>
      </w:del>
      <w:ins w:id="56" w:author="Amanda Droghini" w:date="2018-12-09T14:46:00Z">
        <w:r w:rsidR="00A968A7" w:rsidRPr="00771A6A">
          <w:t>o</w:t>
        </w:r>
      </w:ins>
      <w:r w:rsidR="009A590F" w:rsidRPr="00771A6A">
        <w:t xml:space="preserve">ur mid-century models suggest that warming temperatures will cause the southern Bering Sea to shift from </w:t>
      </w:r>
      <w:commentRangeStart w:id="57"/>
      <w:r w:rsidR="009A590F" w:rsidRPr="00771A6A">
        <w:t xml:space="preserve">marginal to moderately suitable conditions </w:t>
      </w:r>
      <w:commentRangeEnd w:id="57"/>
      <w:r w:rsidR="00C34622" w:rsidRPr="00771A6A">
        <w:rPr>
          <w:rStyle w:val="CommentReference"/>
        </w:rPr>
        <w:commentReference w:id="57"/>
      </w:r>
      <w:r w:rsidR="009A590F" w:rsidRPr="00771A6A">
        <w:t xml:space="preserve">for </w:t>
      </w:r>
      <w:r w:rsidR="009A590F" w:rsidRPr="00771A6A">
        <w:rPr>
          <w:i/>
        </w:rPr>
        <w:t>C. maenas</w:t>
      </w:r>
      <w:r w:rsidR="009A590F" w:rsidRPr="00771A6A">
        <w:t xml:space="preserve"> growth and reproduction, which would allow this tax</w:t>
      </w:r>
      <w:r w:rsidR="00C34622" w:rsidRPr="00771A6A">
        <w:t>on</w:t>
      </w:r>
      <w:r w:rsidR="009A590F" w:rsidRPr="00771A6A">
        <w:t xml:space="preserve"> to move from merely surviving under recent Bering Sea conditions, to being able to reproduce and establish a population under mid-century projections. </w:t>
      </w:r>
      <w:r w:rsidR="00553659" w:rsidRPr="00771A6A">
        <w:t xml:space="preserve">Given that cold water temperatures currently seem to be limiting survival and reproduction in the Bering Sea, projected increases in water temperatures </w:t>
      </w:r>
      <w:r w:rsidR="00553659" w:rsidRPr="00771A6A">
        <w:rPr>
          <w:rPrChange w:id="58" w:author="Amanda Droghini" w:date="2018-12-09T14:59:00Z">
            <w:rPr>
              <w:highlight w:val="yellow"/>
            </w:rPr>
          </w:rPrChange>
        </w:rPr>
        <w:t xml:space="preserve">will likely open up </w:t>
      </w:r>
      <w:r w:rsidR="005205E4" w:rsidRPr="00771A6A">
        <w:rPr>
          <w:rPrChange w:id="59" w:author="Amanda Droghini" w:date="2018-12-09T14:59:00Z">
            <w:rPr>
              <w:highlight w:val="yellow"/>
            </w:rPr>
          </w:rPrChange>
        </w:rPr>
        <w:t>habitat for NIS</w:t>
      </w:r>
      <w:r w:rsidR="00553659" w:rsidRPr="00771A6A">
        <w:rPr>
          <w:rPrChange w:id="60" w:author="Amanda Droghini" w:date="2018-12-09T14:59:00Z">
            <w:rPr>
              <w:highlight w:val="yellow"/>
            </w:rPr>
          </w:rPrChange>
        </w:rPr>
        <w:t xml:space="preserve"> and</w:t>
      </w:r>
      <w:r w:rsidR="005205E4" w:rsidRPr="00771A6A">
        <w:rPr>
          <w:rPrChange w:id="61" w:author="Amanda Droghini" w:date="2018-12-09T14:59:00Z">
            <w:rPr>
              <w:highlight w:val="yellow"/>
            </w:rPr>
          </w:rPrChange>
        </w:rPr>
        <w:t xml:space="preserve"> may allow for future growth, establishment and spread of NIS</w:t>
      </w:r>
      <w:r w:rsidR="00553659" w:rsidRPr="00771A6A">
        <w:rPr>
          <w:rPrChange w:id="62" w:author="Amanda Droghini" w:date="2018-12-09T14:59:00Z">
            <w:rPr>
              <w:highlight w:val="yellow"/>
            </w:rPr>
          </w:rPrChange>
        </w:rPr>
        <w:t>. This may be exacerbated by the potential for rapid evolution</w:t>
      </w:r>
      <w:r w:rsidR="00771A6A" w:rsidRPr="00771A6A">
        <w:rPr>
          <w:rPrChange w:id="63" w:author="Amanda Droghini" w:date="2018-12-09T14:59:00Z">
            <w:rPr>
              <w:highlight w:val="yellow"/>
            </w:rPr>
          </w:rPrChange>
        </w:rPr>
        <w:t xml:space="preserve"> </w:t>
      </w:r>
      <w:r w:rsidR="00771A6A" w:rsidRPr="00771A6A">
        <w:t>(Huang et al. 2017</w:t>
      </w:r>
      <w:commentRangeStart w:id="64"/>
      <w:r w:rsidR="00771A6A" w:rsidRPr="00771A6A">
        <w:t>, Ricciardi et al. 2017</w:t>
      </w:r>
      <w:commentRangeEnd w:id="64"/>
      <w:r w:rsidR="00771A6A" w:rsidRPr="00771A6A">
        <w:commentReference w:id="64"/>
      </w:r>
      <w:r w:rsidR="00771A6A" w:rsidRPr="00771A6A">
        <w:t>)</w:t>
      </w:r>
      <w:r w:rsidR="00553659" w:rsidRPr="00771A6A">
        <w:t>, which would enable taxa to increase their tolerances to cold waters. However, very little is known about what happens at the tail-end of taxa’s thermal response curves (Monaco and Helmuth 2011, Sorte 2014, Miller 2016) and e</w:t>
      </w:r>
      <w:r w:rsidR="00216293" w:rsidRPr="00771A6A">
        <w:t xml:space="preserve">xperimental studies are needed to determine </w:t>
      </w:r>
      <w:r w:rsidR="00553659" w:rsidRPr="00771A6A">
        <w:t>stress responses</w:t>
      </w:r>
      <w:r w:rsidR="00553659">
        <w:t xml:space="preserve"> and </w:t>
      </w:r>
      <w:r w:rsidR="00216293" w:rsidRPr="005205E4">
        <w:t>de</w:t>
      </w:r>
      <w:r w:rsidR="00216293">
        <w:t xml:space="preserve">velopment rates under </w:t>
      </w:r>
      <w:r w:rsidR="00771A6A">
        <w:t xml:space="preserve">cold-water </w:t>
      </w:r>
      <w:r w:rsidR="00216293">
        <w:t>temperature regimes</w:t>
      </w:r>
      <w:r w:rsidR="00216293" w:rsidRPr="005205E4">
        <w:t xml:space="preserve"> (Westerman et al. 2009).</w:t>
      </w:r>
      <w:r w:rsidR="00216293">
        <w:t xml:space="preserve"> </w:t>
      </w:r>
    </w:p>
    <w:p w14:paraId="762EBDA3" w14:textId="0000828C" w:rsidR="00D259D0" w:rsidRDefault="00501591" w:rsidP="00D259D0">
      <w:pPr>
        <w:pStyle w:val="Heading2"/>
      </w:pPr>
      <w:r>
        <w:lastRenderedPageBreak/>
        <w:t>M</w:t>
      </w:r>
      <w:r w:rsidR="00D259D0">
        <w:t>odel limitations</w:t>
      </w:r>
    </w:p>
    <w:p w14:paraId="7A2E0E79" w14:textId="4BD41048" w:rsidR="00D259D0" w:rsidRDefault="00D259D0" w:rsidP="00D259D0">
      <w:r>
        <w:t xml:space="preserve">The ROMS used to estimate ocean conditions either do not predict, or underestimate summer water temperatures near the coast and in shallow waters &lt; 10 m deep. These limitations are due to the models’ spatial resolution, and of computational limitations that require water depths to be set to at least 10 m. Moreover, while the ROMS include a coarse estimate of freshwater runoff, they do not account for the warming of shallow, coastal waters caused by river discharge. The influence of rivers is likely significant in our study area given the many large rivers that drain into the Bering Sea, notably the Yukon, Kuskokwim, and Nushagak rivers. Measurements from finer scale models have recorded temperatures as high as 19°C near the Yukon River (from MODIS; </w:t>
      </w:r>
      <w:hyperlink r:id="rId11">
        <w:r>
          <w:rPr>
            <w:color w:val="0000FF"/>
            <w:u w:val="single"/>
          </w:rPr>
          <w:t>https://neo.sci.gsfc.nasa.gov/</w:t>
        </w:r>
      </w:hyperlink>
      <w:r>
        <w:t xml:space="preserve">), and field measurements at the mouth of the Yukon have been as high as 21°C (T. Jorgenson, </w:t>
      </w:r>
      <w:r>
        <w:rPr>
          <w:i/>
        </w:rPr>
        <w:t>pers. comm.</w:t>
      </w:r>
      <w:r>
        <w:t xml:space="preserve">). In contrast, maximum temperatures predicted by the ROMS never exceeded 16.3°C; however, the warming effects of these rivers, while not fully captured by the ROMS, </w:t>
      </w:r>
      <w:commentRangeStart w:id="65"/>
      <w:commentRangeStart w:id="66"/>
      <w:r>
        <w:t>do not last for more than a few weeks</w:t>
      </w:r>
      <w:commentRangeEnd w:id="65"/>
      <w:r>
        <w:commentReference w:id="65"/>
      </w:r>
      <w:commentRangeEnd w:id="66"/>
      <w:r>
        <w:commentReference w:id="66"/>
      </w:r>
      <w:r>
        <w:t xml:space="preserve">. Thus, we may be underestimating the number of weeks of suitable reproductive </w:t>
      </w:r>
      <w:r w:rsidR="00501591">
        <w:t>conditions</w:t>
      </w:r>
      <w:r>
        <w:t xml:space="preserve">, but these limitations should not affect the results of our year-round survival analysis. </w:t>
      </w:r>
    </w:p>
    <w:p w14:paraId="10C1CEFF" w14:textId="77777777" w:rsidR="00D259D0" w:rsidRDefault="00D259D0" w:rsidP="006478A5"/>
    <w:p w14:paraId="6DE61205" w14:textId="6A8BD045" w:rsidR="00E32220" w:rsidRDefault="00E32220" w:rsidP="00E32220">
      <w:pPr>
        <w:pStyle w:val="Heading2"/>
      </w:pPr>
      <w:r>
        <w:t xml:space="preserve">Interactions between </w:t>
      </w:r>
      <w:r w:rsidR="00282CCC">
        <w:t>vessel</w:t>
      </w:r>
      <w:r w:rsidR="0006233D">
        <w:t xml:space="preserve"> traffic and predicted NIS hab</w:t>
      </w:r>
      <w:r>
        <w:t>itat</w:t>
      </w:r>
    </w:p>
    <w:p w14:paraId="441465E9" w14:textId="571EBDAE" w:rsidR="009E284B" w:rsidRDefault="009E284B" w:rsidP="009E284B">
      <w:r>
        <w:t>Commercial and fishing vessel traffic</w:t>
      </w:r>
      <w:r w:rsidR="00B50B7F">
        <w:t xml:space="preserve"> and </w:t>
      </w:r>
      <w:r>
        <w:t>ballast water discharge, point to the port of Dutch Harbor as the most visited port in the Bering Sea. Traffic to Dutch Harbor was up to two orders of magnitude more than traffic to other ports, and trips ending in Dutch Harbor originated from more than ten countries from around the world.</w:t>
      </w:r>
      <w:r>
        <w:rPr>
          <w:color w:val="FF0000"/>
        </w:rPr>
        <w:t xml:space="preserve"> </w:t>
      </w:r>
      <w:r>
        <w:t xml:space="preserve">Compared to ballast water data, fishing vessel traffic was highly regional, connecting the port of Dutch Harbor to ports of the Pribilof Islands, Bristol Bay, and Akutan. </w:t>
      </w:r>
      <w:r>
        <w:rPr>
          <w:color w:val="000000"/>
        </w:rPr>
        <w:t xml:space="preserve">Dutch Harbor has long been recognized as a potentially important point of entry for non-native species (McGee et al. 2006, Verna et al. 2016), and is </w:t>
      </w:r>
      <w:ins w:id="67" w:author="Amanda Droghini [2]" w:date="2018-12-04T17:09:00Z">
        <w:r w:rsidR="004308D7">
          <w:rPr>
            <w:color w:val="000000"/>
          </w:rPr>
          <w:t>o</w:t>
        </w:r>
      </w:ins>
      <w:ins w:id="68" w:author="Amanda Droghini [2]" w:date="2018-12-04T17:10:00Z">
        <w:r w:rsidR="004308D7">
          <w:rPr>
            <w:color w:val="000000"/>
          </w:rPr>
          <w:t xml:space="preserve">ne of </w:t>
        </w:r>
      </w:ins>
      <w:r>
        <w:rPr>
          <w:color w:val="000000"/>
        </w:rPr>
        <w:t>the largest fisheries port in the U.S</w:t>
      </w:r>
      <w:ins w:id="69" w:author="Amanda Droghini [2]" w:date="2018-12-04T17:09:00Z">
        <w:r w:rsidR="004308D7">
          <w:rPr>
            <w:color w:val="000000"/>
          </w:rPr>
          <w:t>. (NMFS 2017)</w:t>
        </w:r>
      </w:ins>
      <w:r>
        <w:rPr>
          <w:color w:val="000000"/>
        </w:rPr>
        <w:t xml:space="preserve">. However, traffic from smaller fishing vessels, which may not take up ballast water but may still </w:t>
      </w:r>
      <w:r>
        <w:t>transport fouling organisms</w:t>
      </w:r>
      <w:r>
        <w:rPr>
          <w:color w:val="000000"/>
        </w:rPr>
        <w:t xml:space="preserve">, has not been considered previously, even though fouling may be a larger contributor of propagules than </w:t>
      </w:r>
      <w:r>
        <w:t>ballast water (Chan et al. 2015). The high traffic and connectivity of Dutch Harbor emphasize its importance as a regional transport hub, with the potential to transport fouling NIS to remote communities across the Bering Sea (Floerl et al. 2009, Ashton et al. 2014). Without a road system to provide access to Alaska’s port communities, vessels of all types form a marine highway system that is traveled by ferries, tugs, barges, and as demonstrated here, fishing vessels. Future analyses of vessel traffic in the context of invasive species transport may benefit from analysis of Automatic Identification System (AIS) data, which are available for a greater portion of vessels traveling through Alaskan waters.</w:t>
      </w:r>
      <w:r w:rsidR="00695E6B">
        <w:t xml:space="preserve"> </w:t>
      </w:r>
      <w:commentRangeStart w:id="70"/>
      <w:r w:rsidR="00695E6B">
        <w:t>As declining sea ice cover makes the Arctic an increasingly popular shortcut between the Pacific and Atlantic, we expect the risk of NIS introductions to increase. Future expansions of the Arctic for shipping and oil and gas exploration may lead to continued development of plans for establishing industrial scale port facilities in northern ports such as Nome, which currently receives little traffic. Furthermore, as range shifts of commercial fish species have moved northward, shifts in fishing locations have followed (</w:t>
      </w:r>
      <w:commentRangeStart w:id="71"/>
      <w:r w:rsidR="00695E6B">
        <w:t>Pinsky and Fogarty 2012</w:t>
      </w:r>
      <w:commentRangeEnd w:id="71"/>
      <w:r w:rsidR="00695E6B">
        <w:commentReference w:id="71"/>
      </w:r>
      <w:r w:rsidR="00695E6B">
        <w:t xml:space="preserve">), leading to potentially increased fishing vessel connections among more northern Bering Sea ports like Nome. </w:t>
      </w:r>
      <w:commentRangeEnd w:id="70"/>
      <w:r w:rsidR="00695E6B">
        <w:rPr>
          <w:rStyle w:val="CommentReference"/>
        </w:rPr>
        <w:commentReference w:id="70"/>
      </w:r>
    </w:p>
    <w:p w14:paraId="24955130" w14:textId="6A00B3F1" w:rsidR="00B50B7F" w:rsidRDefault="00B50B7F" w:rsidP="009E284B">
      <w:r w:rsidRPr="004F09DC">
        <w:rPr>
          <w:highlight w:val="yellow"/>
        </w:rPr>
        <w:t xml:space="preserve">[Need paragraph describing the overlap between active ports and suitable habitat during recent and mid-century </w:t>
      </w:r>
      <w:r w:rsidR="009B2514">
        <w:rPr>
          <w:highlight w:val="yellow"/>
        </w:rPr>
        <w:t>study</w:t>
      </w:r>
      <w:r w:rsidRPr="004F09DC">
        <w:rPr>
          <w:highlight w:val="yellow"/>
        </w:rPr>
        <w:t xml:space="preserve"> periods. </w:t>
      </w:r>
      <w:r w:rsidR="004F09DC" w:rsidRPr="004F09DC">
        <w:rPr>
          <w:highlight w:val="yellow"/>
        </w:rPr>
        <w:t>Just generalize the overlap, maybe a map, discuss the implications.]</w:t>
      </w:r>
    </w:p>
    <w:p w14:paraId="16E40159" w14:textId="4D10972A" w:rsidR="009E284B" w:rsidRDefault="009E284B" w:rsidP="00E1251C">
      <w:del w:id="72" w:author="Amanda Droghini [2]" w:date="2018-12-04T17:05:00Z">
        <w:r w:rsidDel="00674C88">
          <w:delText>In the absence of data on propagule pressure, we assumed that high-traffic ports are more susceptible to receiving NIS than low-traffic ports</w:delText>
        </w:r>
      </w:del>
      <w:ins w:id="73" w:author="Amanda Droghini [2]" w:date="2018-12-04T17:05:00Z">
        <w:r w:rsidR="00674C88">
          <w:t>D</w:t>
        </w:r>
      </w:ins>
      <w:ins w:id="74" w:author="Amanda Droghini [2]" w:date="2018-12-04T16:59:00Z">
        <w:r w:rsidR="00674C88">
          <w:t xml:space="preserve">espite high traffic levels, </w:t>
        </w:r>
      </w:ins>
      <w:r w:rsidR="00B50B7F">
        <w:t>NIS introductions may be relatively low</w:t>
      </w:r>
      <w:ins w:id="75" w:author="Amanda Droghini [2]" w:date="2018-12-04T17:00:00Z">
        <w:r w:rsidR="00674C88">
          <w:t xml:space="preserve"> due to the long transit times between Bering Sea ports and other regional or international ports</w:t>
        </w:r>
      </w:ins>
      <w:r>
        <w:t xml:space="preserve">. Studies from the Canadian Arctic suggest that </w:t>
      </w:r>
      <w:ins w:id="76" w:author="Amanda Droghini [2]" w:date="2018-12-04T17:01:00Z">
        <w:r w:rsidR="00674C88">
          <w:t xml:space="preserve">survivorship is </w:t>
        </w:r>
        <w:commentRangeStart w:id="77"/>
        <w:r w:rsidR="00674C88">
          <w:t>inversely related to the length of the voyage</w:t>
        </w:r>
      </w:ins>
      <w:ins w:id="78" w:author="Amanda Droghini [2]" w:date="2018-12-04T17:02:00Z">
        <w:r w:rsidR="00674C88">
          <w:t xml:space="preserve"> </w:t>
        </w:r>
        <w:commentRangeStart w:id="79"/>
        <w:r w:rsidR="00674C88">
          <w:t>(Chan et al. 2014)</w:t>
        </w:r>
      </w:ins>
      <w:ins w:id="80" w:author="Amanda Droghini [2]" w:date="2018-12-04T17:03:00Z">
        <w:r w:rsidR="00674C88">
          <w:t>.</w:t>
        </w:r>
      </w:ins>
      <w:commentRangeEnd w:id="79"/>
      <w:ins w:id="81" w:author="Amanda Droghini [2]" w:date="2018-12-04T17:02:00Z">
        <w:r w:rsidR="00674C88">
          <w:commentReference w:id="79"/>
        </w:r>
      </w:ins>
      <w:commentRangeEnd w:id="77"/>
      <w:ins w:id="82" w:author="Amanda Droghini [2]" w:date="2018-12-04T17:01:00Z">
        <w:r w:rsidR="00674C88">
          <w:commentReference w:id="77"/>
        </w:r>
      </w:ins>
      <w:del w:id="83" w:author="Amanda Droghini [2]" w:date="2018-12-04T17:03:00Z">
        <w:r w:rsidDel="00674C88">
          <w:delText>both planktonic and fouling organisms have low survivorship during transport (Chan et al. 2014, 2016),</w:delText>
        </w:r>
      </w:del>
      <w:del w:id="84" w:author="Amanda Droghini [2]" w:date="2018-12-04T17:02:00Z">
        <w:r w:rsidDel="00674C88">
          <w:delText xml:space="preserve"> and that (Chan et al. 2014)</w:delText>
        </w:r>
      </w:del>
      <w:del w:id="85" w:author="Amanda Droghini [2]" w:date="2018-12-04T17:03:00Z">
        <w:r w:rsidDel="00674C88">
          <w:delText>.</w:delText>
        </w:r>
      </w:del>
      <w:r>
        <w:t xml:space="preserve"> </w:t>
      </w:r>
      <w:del w:id="86" w:author="Amanda Droghini [2]" w:date="2018-12-04T17:04:00Z">
        <w:r w:rsidDel="00674C88">
          <w:delText xml:space="preserve">Other factors such as an organism’s physiological condition, the type and speed of the ship, and environmental conditions encountered during the voyage must also be considered (Ruiz et al. 2000, Verling et al. 2005, Chan et al. 2014). </w:delText>
        </w:r>
      </w:del>
      <w:r>
        <w:t xml:space="preserve">Thus, although Dutch Harbor receives high volumes of ballast water, the relatively long residence time of the ballast water </w:t>
      </w:r>
      <w:r>
        <w:lastRenderedPageBreak/>
        <w:t xml:space="preserve">discharged in Dutch Harbor may be reducing its invasion risk (Verna et al. 2016). </w:t>
      </w:r>
      <w:ins w:id="87" w:author="Amanda Droghini [2]" w:date="2018-12-04T17:04:00Z">
        <w:r w:rsidR="00674C88">
          <w:t>Other factors that can affect survivorship during the voyage include: an organism’s physiological condition, the type and speed of the ship, and the conditions encountered at sea (Ruiz et al. 2000, Verling et al. 2005, Chan et al. 2014).</w:t>
        </w:r>
      </w:ins>
      <w:ins w:id="88" w:author="Amanda Droghini [2]" w:date="2018-12-04T17:05:00Z">
        <w:r w:rsidR="00674C88">
          <w:t xml:space="preserve"> Additional data are needed to quantify propagule pressure</w:t>
        </w:r>
      </w:ins>
      <w:ins w:id="89" w:author="Amanda Droghini [2]" w:date="2018-12-04T17:07:00Z">
        <w:r w:rsidR="00674C88">
          <w:t xml:space="preserve"> and environmental conditions</w:t>
        </w:r>
      </w:ins>
      <w:ins w:id="90" w:author="Amanda Droghini [2]" w:date="2018-12-04T17:06:00Z">
        <w:r w:rsidR="00674C88">
          <w:t xml:space="preserve"> </w:t>
        </w:r>
        <w:r w:rsidR="00674C88" w:rsidRPr="00674C88">
          <w:rPr>
            <w:highlight w:val="yellow"/>
            <w:rPrChange w:id="91" w:author="Amanda Droghini [2]" w:date="2018-12-04T17:07:00Z">
              <w:rPr/>
            </w:rPrChange>
          </w:rPr>
          <w:t xml:space="preserve">before and after </w:t>
        </w:r>
      </w:ins>
      <w:ins w:id="92" w:author="Amanda Droghini [2]" w:date="2018-12-04T17:07:00Z">
        <w:r w:rsidR="00674C88" w:rsidRPr="00674C88">
          <w:rPr>
            <w:highlight w:val="yellow"/>
            <w:rPrChange w:id="93" w:author="Amanda Droghini [2]" w:date="2018-12-04T17:07:00Z">
              <w:rPr/>
            </w:rPrChange>
          </w:rPr>
          <w:t>a vessel docks in a Bering Sea port</w:t>
        </w:r>
      </w:ins>
      <w:ins w:id="94" w:author="Amanda Droghini [2]" w:date="2018-12-04T17:05:00Z">
        <w:r w:rsidR="00674C88">
          <w:t>.</w:t>
        </w:r>
      </w:ins>
    </w:p>
    <w:p w14:paraId="0763EF42" w14:textId="2EA1FCF6" w:rsidR="00DF4CA7" w:rsidRPr="00DF4CA7" w:rsidRDefault="00CB74FC" w:rsidP="00DF4CA7">
      <w:r>
        <w:t>While i</w:t>
      </w:r>
      <w:r w:rsidR="00DF4CA7">
        <w:t>t has recently been believed that NIS introductions and establishment have been restricted in the Arctic due to cold water temperatures which yield inhospitable environments for many introduced taxa</w:t>
      </w:r>
      <w:r>
        <w:t>, o</w:t>
      </w:r>
      <w:r w:rsidR="00DF4CA7">
        <w:t>ur results indicate that (1) recent Bering Sea conditions offer potential NIS habitat for a large number of taxa, and for both survival and re</w:t>
      </w:r>
      <w:r w:rsidR="00501591">
        <w:t>production life stages; (2)</w:t>
      </w:r>
      <w:r w:rsidR="00DF4CA7">
        <w:t xml:space="preserve"> </w:t>
      </w:r>
      <w:r w:rsidR="009516EF">
        <w:t xml:space="preserve">suitable </w:t>
      </w:r>
      <w:r w:rsidR="00501591">
        <w:t>conditions are</w:t>
      </w:r>
      <w:r w:rsidR="00DF4CA7">
        <w:t xml:space="preserve"> projected to expand by mid-century due to warming ocean </w:t>
      </w:r>
      <w:r w:rsidR="00501591">
        <w:t>temperatures</w:t>
      </w:r>
      <w:r w:rsidR="00DF4CA7">
        <w:t>; and (3) mechanisms for NIS transport into and throughout the Bering Sea exist and overlap with conditions suitable for NIS survival and reproduction. Our approach, which uses physiological thresholds rather than environmental matching, is especially meaningful in systems such as the Arctic, where environmental conditions fall outside the range of values to which taxa are exposed in the</w:t>
      </w:r>
      <w:r w:rsidR="009516EF">
        <w:t>ir current range (Miller 2016); however, [</w:t>
      </w:r>
      <w:r w:rsidR="009516EF" w:rsidRPr="009516EF">
        <w:rPr>
          <w:highlight w:val="yellow"/>
        </w:rPr>
        <w:t>Insert statement about NIS evolution and the need for additional habitat things like substrate and prey</w:t>
      </w:r>
      <w:r w:rsidR="009516EF">
        <w:t xml:space="preserve">]. </w:t>
      </w:r>
      <w:r w:rsidR="00DF4CA7">
        <w:t>Our findings suggest that cold water temperatures currently limit the establishment of NIS in the northern Bering Sea, but emphasize the susceptibility of the southeastern Bering Sea, whose relatively warmer water temperatures are suitable for the year-round survival and reproduction for a large number of taxa. The suitable temperature conditions of the southern Bering Sea are especially concerning given the high vessel traffic in the region, notably to and from the port of Dutch Harbor. Considering the speed at which the oceanographic and socioeconomic context is changing in the Bering Sea, there is a need to fund a continuous monitoring program in the region. The Bering Sea is an excellent candidate for prevention and early detection given the low numbers of biological introductions that have been reported in the region.</w:t>
      </w:r>
    </w:p>
    <w:p w14:paraId="742663A5" w14:textId="77777777" w:rsidR="00B541E3" w:rsidRDefault="00B541E3" w:rsidP="00B541E3">
      <w:pPr>
        <w:pStyle w:val="Heading1"/>
        <w:spacing w:before="200" w:after="120"/>
      </w:pPr>
      <w:r>
        <w:rPr>
          <w:color w:val="000000"/>
          <w:sz w:val="28"/>
          <w:szCs w:val="28"/>
        </w:rPr>
        <w:t>Acknowledgements</w:t>
      </w:r>
    </w:p>
    <w:p w14:paraId="7FC9957E" w14:textId="77777777" w:rsidR="00B541E3" w:rsidRDefault="00B541E3" w:rsidP="00B541E3">
      <w:pPr>
        <w:pStyle w:val="NormalWeb"/>
        <w:spacing w:before="0" w:beforeAutospacing="0" w:after="0" w:afterAutospacing="0"/>
        <w:ind w:firstLine="720"/>
      </w:pPr>
      <w:r>
        <w:rPr>
          <w:color w:val="000000"/>
        </w:rPr>
        <w:t xml:space="preserve">Funding for this project was made available by the North Pacific Research Board (project #1532) and the Aleutian and Bering Sea Islands Landscape Conservation Cooperative. Tracey Gotthardt and Aaron Poe were involved with spearheading the project. Casey Greenstein, Lindsey Flagstad, Bonnie Bernard, Jaime Weltfelt, and Curtis Whisman contributed to the development of the ranking system and the species status reports.  J.W. thanks Jen Karnak of Marine Exchange of Alaska, who assisted with vessel identification. A.F. thanks </w:t>
      </w:r>
      <w:r>
        <w:rPr>
          <w:color w:val="222222"/>
          <w:shd w:val="clear" w:color="auto" w:fill="FFFFFF"/>
        </w:rPr>
        <w:t xml:space="preserve">Rob Bochenek and Dr. William Koeppen of Axiom Data Science for assistance extracting the ROMS data. </w:t>
      </w:r>
      <w:r>
        <w:rPr>
          <w:color w:val="222222"/>
        </w:rPr>
        <w:t xml:space="preserve">A.D. thanks </w:t>
      </w:r>
      <w:r>
        <w:rPr>
          <w:color w:val="000000"/>
        </w:rPr>
        <w:t>Marcus Geist for his GIS wizarding and Dr. Al Hermann for insightful conversations about the ROMS. Additional thanks goes to Dr. Matt Carlson for valuable feedback on this manuscript.</w:t>
      </w:r>
    </w:p>
    <w:p w14:paraId="786DA471" w14:textId="4F8349A8" w:rsidR="00B541E3" w:rsidRDefault="00B541E3">
      <w:r>
        <w:br w:type="page"/>
      </w:r>
    </w:p>
    <w:p w14:paraId="7AAD9DB3" w14:textId="77777777" w:rsidR="00E32220" w:rsidRPr="00E32220" w:rsidRDefault="00E32220" w:rsidP="00E32220"/>
    <w:p w14:paraId="5D8F9DAB" w14:textId="1E50E74D" w:rsidR="00681BB9" w:rsidRDefault="00656105" w:rsidP="009521CB">
      <w:r>
        <w:t>Package citations:</w:t>
      </w:r>
    </w:p>
    <w:p w14:paraId="20C64227" w14:textId="7423381E" w:rsidR="00656105" w:rsidRPr="00656105" w:rsidRDefault="00656105" w:rsidP="00656105">
      <w:r>
        <w:t xml:space="preserve">Microsoft Co. and Weston, S. 2017. doSNOW: Foreach Parallel Adaptor for the 'snow' Package. </w:t>
      </w:r>
      <w:r w:rsidRPr="009B2514">
        <w:rPr>
          <w:lang w:val="en-CA"/>
        </w:rPr>
        <w:t>R package version 1.0.16.</w:t>
      </w:r>
      <w:r>
        <w:t xml:space="preserve"> </w:t>
      </w:r>
      <w:r w:rsidRPr="009B2514">
        <w:rPr>
          <w:lang w:val="en-CA"/>
        </w:rPr>
        <w:t>https://CRAN.R-project.org/package=doSNOW</w:t>
      </w:r>
    </w:p>
    <w:p w14:paraId="63570784" w14:textId="77777777" w:rsidR="009B2514" w:rsidRDefault="009B2514" w:rsidP="009B2514">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Bivand, R. and Lewin-Koh, N. 2017. maptools: Tools for</w:t>
      </w:r>
    </w:p>
    <w:p w14:paraId="1CC83C74" w14:textId="77777777" w:rsid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fr-CA"/>
        </w:rPr>
      </w:pPr>
      <w:r>
        <w:rPr>
          <w:rFonts w:ascii="Arial" w:eastAsia="Arial" w:hAnsi="Arial" w:cs="Arial"/>
          <w:color w:val="000000"/>
        </w:rPr>
        <w:t xml:space="preserve">  Reading and Handling Spatial Objects. </w:t>
      </w:r>
      <w:r w:rsidRPr="000541CE">
        <w:rPr>
          <w:rFonts w:ascii="Arial" w:eastAsia="Arial" w:hAnsi="Arial" w:cs="Arial"/>
          <w:color w:val="000000"/>
          <w:lang w:val="fr-CA"/>
        </w:rPr>
        <w:t>R package version 0.9-2.</w:t>
      </w:r>
      <w:r>
        <w:rPr>
          <w:rFonts w:ascii="Arial" w:eastAsia="Arial" w:hAnsi="Arial" w:cs="Arial"/>
          <w:color w:val="000000"/>
          <w:lang w:val="fr-CA"/>
        </w:rPr>
        <w:t xml:space="preserve"> </w:t>
      </w:r>
      <w:hyperlink r:id="rId12" w:history="1">
        <w:r w:rsidRPr="00EB60CC">
          <w:rPr>
            <w:rStyle w:val="Hyperlink"/>
            <w:rFonts w:ascii="Arial" w:eastAsia="Arial" w:hAnsi="Arial" w:cs="Arial"/>
            <w:lang w:val="fr-CA"/>
          </w:rPr>
          <w:t>https://CRAN.R-project.org/package=maptools</w:t>
        </w:r>
      </w:hyperlink>
    </w:p>
    <w:p w14:paraId="48C3FE63" w14:textId="77777777" w:rsid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fr-CA"/>
        </w:rPr>
      </w:pPr>
    </w:p>
    <w:p w14:paraId="22030A69" w14:textId="77777777" w:rsidR="009B2514" w:rsidRP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en-CA"/>
        </w:rPr>
      </w:pPr>
      <w:r>
        <w:rPr>
          <w:rFonts w:ascii="Arial" w:eastAsia="Arial" w:hAnsi="Arial" w:cs="Arial"/>
          <w:color w:val="000000"/>
        </w:rPr>
        <w:t xml:space="preserve">Bivand, R., Keitt, T. and Rowlingson, R. 2018. rgdal: Bindings for the 'Geospatial' Data Abstraction Library. </w:t>
      </w:r>
      <w:r w:rsidRPr="009B2514">
        <w:rPr>
          <w:rFonts w:ascii="Arial" w:eastAsia="Arial" w:hAnsi="Arial" w:cs="Arial"/>
          <w:color w:val="000000"/>
          <w:lang w:val="en-CA"/>
        </w:rPr>
        <w:t>R package version 1.2-20. https://CRAN.R-project.org/package=rgdal</w:t>
      </w:r>
    </w:p>
    <w:p w14:paraId="69B32DF1" w14:textId="77777777" w:rsidR="009B2514" w:rsidRP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en-CA"/>
        </w:rPr>
      </w:pPr>
    </w:p>
    <w:p w14:paraId="19F6618D" w14:textId="77777777" w:rsidR="009B2514" w:rsidRDefault="009B2514" w:rsidP="009B2514">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Bivand, R. and Rundel, C. 2017. rgeos: Interface to Geometry Engine - Open Source ('GEOS'). R package version 0.3-26. </w:t>
      </w:r>
      <w:hyperlink r:id="rId13" w:history="1">
        <w:r w:rsidRPr="00EB60CC">
          <w:rPr>
            <w:rStyle w:val="Hyperlink"/>
            <w:rFonts w:ascii="Arial" w:eastAsia="Arial" w:hAnsi="Arial" w:cs="Arial"/>
          </w:rPr>
          <w:t>https://CRAN.R-project.org/package=rgeos</w:t>
        </w:r>
      </w:hyperlink>
    </w:p>
    <w:p w14:paraId="1C092063" w14:textId="77777777" w:rsidR="009B2514" w:rsidRP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en-CA"/>
        </w:rPr>
      </w:pPr>
    </w:p>
    <w:p w14:paraId="252C385A" w14:textId="77777777" w:rsidR="009B2514" w:rsidRP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en-CA"/>
        </w:rPr>
      </w:pPr>
      <w:r>
        <w:rPr>
          <w:rFonts w:ascii="Arial" w:eastAsia="Arial" w:hAnsi="Arial" w:cs="Arial"/>
          <w:color w:val="000000"/>
        </w:rPr>
        <w:t xml:space="preserve">Garnier, S. 2016. viridis: Default Color Maps from 'matplotlib'. </w:t>
      </w:r>
      <w:r w:rsidRPr="009B2514">
        <w:rPr>
          <w:rFonts w:ascii="Arial" w:eastAsia="Arial" w:hAnsi="Arial" w:cs="Arial"/>
          <w:color w:val="000000"/>
          <w:lang w:val="en-CA"/>
        </w:rPr>
        <w:t xml:space="preserve">R package version 0.3.4. </w:t>
      </w:r>
      <w:hyperlink r:id="rId14" w:history="1">
        <w:r w:rsidRPr="009B2514">
          <w:rPr>
            <w:rStyle w:val="Hyperlink"/>
            <w:rFonts w:ascii="Arial" w:eastAsia="Arial" w:hAnsi="Arial" w:cs="Arial"/>
            <w:lang w:val="en-CA"/>
          </w:rPr>
          <w:t>https://CRAN.R-project.org/package=viridis</w:t>
        </w:r>
      </w:hyperlink>
    </w:p>
    <w:p w14:paraId="2C7AABFD" w14:textId="77777777" w:rsidR="009B2514" w:rsidRP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en-CA"/>
        </w:rPr>
      </w:pPr>
    </w:p>
    <w:p w14:paraId="7924D3D6" w14:textId="77777777" w:rsidR="009B2514" w:rsidRP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fr-CA"/>
        </w:rPr>
      </w:pPr>
      <w:r>
        <w:rPr>
          <w:rFonts w:ascii="Arial" w:eastAsia="Arial" w:hAnsi="Arial" w:cs="Arial"/>
          <w:color w:val="000000"/>
        </w:rPr>
        <w:t xml:space="preserve">Hijmans, R.J. 2017. raster: Geographic Data Analysis and Modeling. </w:t>
      </w:r>
      <w:r w:rsidRPr="009B2514">
        <w:rPr>
          <w:rFonts w:ascii="Arial" w:eastAsia="Arial" w:hAnsi="Arial" w:cs="Arial"/>
          <w:color w:val="000000"/>
          <w:lang w:val="fr-CA"/>
        </w:rPr>
        <w:t xml:space="preserve">R package version 2.6-7. </w:t>
      </w:r>
      <w:hyperlink r:id="rId15" w:history="1">
        <w:r w:rsidRPr="009B2514">
          <w:rPr>
            <w:rStyle w:val="Hyperlink"/>
            <w:rFonts w:ascii="Arial" w:eastAsia="Arial" w:hAnsi="Arial" w:cs="Arial"/>
            <w:lang w:val="fr-CA"/>
          </w:rPr>
          <w:t>https://CRAN.R-project.org/package=raster</w:t>
        </w:r>
      </w:hyperlink>
    </w:p>
    <w:p w14:paraId="14DFAB29" w14:textId="77777777" w:rsidR="009B2514" w:rsidRP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fr-CA"/>
        </w:rPr>
      </w:pPr>
    </w:p>
    <w:p w14:paraId="63B60574" w14:textId="77777777" w:rsidR="009B2514" w:rsidRPr="00641FB4" w:rsidRDefault="009B2514" w:rsidP="009B2514">
      <w:pPr>
        <w:widowControl w:val="0"/>
        <w:pBdr>
          <w:top w:val="nil"/>
          <w:left w:val="nil"/>
          <w:bottom w:val="nil"/>
          <w:right w:val="nil"/>
          <w:between w:val="nil"/>
        </w:pBdr>
        <w:spacing w:line="240" w:lineRule="auto"/>
        <w:rPr>
          <w:rFonts w:ascii="Arial" w:eastAsia="Arial" w:hAnsi="Arial" w:cs="Arial"/>
          <w:color w:val="000000"/>
          <w:lang w:val="en-CA"/>
          <w:rPrChange w:id="95" w:author="Amanda Droghini [2]" w:date="2018-12-05T08:23:00Z">
            <w:rPr>
              <w:rFonts w:ascii="Arial" w:eastAsia="Arial" w:hAnsi="Arial" w:cs="Arial"/>
              <w:color w:val="000000"/>
              <w:lang w:val="fr-CA"/>
            </w:rPr>
          </w:rPrChange>
        </w:rPr>
      </w:pPr>
      <w:r w:rsidRPr="009B2514">
        <w:rPr>
          <w:rFonts w:ascii="Arial" w:eastAsia="Arial" w:hAnsi="Arial" w:cs="Arial"/>
          <w:color w:val="000000"/>
          <w:lang w:val="fr-CA"/>
        </w:rPr>
        <w:t xml:space="preserve">Wickham, H., Francois, R., Henry, L.  </w:t>
      </w:r>
      <w:r>
        <w:rPr>
          <w:rFonts w:ascii="Arial" w:eastAsia="Arial" w:hAnsi="Arial" w:cs="Arial"/>
          <w:color w:val="000000"/>
        </w:rPr>
        <w:t xml:space="preserve">and Müller, K. 2017. dplyr: A Grammar of Data Manipulation. </w:t>
      </w:r>
      <w:r w:rsidRPr="00641FB4">
        <w:rPr>
          <w:rFonts w:ascii="Arial" w:eastAsia="Arial" w:hAnsi="Arial" w:cs="Arial"/>
          <w:color w:val="000000"/>
          <w:lang w:val="en-CA"/>
          <w:rPrChange w:id="96" w:author="Amanda Droghini [2]" w:date="2018-12-05T08:23:00Z">
            <w:rPr>
              <w:rFonts w:ascii="Arial" w:eastAsia="Arial" w:hAnsi="Arial" w:cs="Arial"/>
              <w:color w:val="000000"/>
              <w:lang w:val="fr-CA"/>
            </w:rPr>
          </w:rPrChange>
        </w:rPr>
        <w:t xml:space="preserve">R package version 0.7.4. </w:t>
      </w:r>
      <w:r w:rsidR="003D60B2">
        <w:rPr>
          <w:rStyle w:val="Hyperlink"/>
          <w:rFonts w:ascii="Arial" w:eastAsia="Arial" w:hAnsi="Arial" w:cs="Arial"/>
          <w:lang w:val="fr-CA"/>
        </w:rPr>
        <w:fldChar w:fldCharType="begin"/>
      </w:r>
      <w:r w:rsidR="003D60B2" w:rsidRPr="00641FB4">
        <w:rPr>
          <w:rStyle w:val="Hyperlink"/>
          <w:rFonts w:ascii="Arial" w:eastAsia="Arial" w:hAnsi="Arial" w:cs="Arial"/>
          <w:lang w:val="en-CA"/>
          <w:rPrChange w:id="97" w:author="Amanda Droghini [2]" w:date="2018-12-05T08:23:00Z">
            <w:rPr>
              <w:rStyle w:val="Hyperlink"/>
              <w:rFonts w:ascii="Arial" w:eastAsia="Arial" w:hAnsi="Arial" w:cs="Arial"/>
              <w:lang w:val="fr-CA"/>
            </w:rPr>
          </w:rPrChange>
        </w:rPr>
        <w:instrText xml:space="preserve"> HYPERLINK "https://CRAN.R-project.org/package=dplyr" </w:instrText>
      </w:r>
      <w:r w:rsidR="003D60B2">
        <w:rPr>
          <w:rStyle w:val="Hyperlink"/>
          <w:rFonts w:ascii="Arial" w:eastAsia="Arial" w:hAnsi="Arial" w:cs="Arial"/>
          <w:lang w:val="fr-CA"/>
        </w:rPr>
        <w:fldChar w:fldCharType="separate"/>
      </w:r>
      <w:r w:rsidRPr="00641FB4">
        <w:rPr>
          <w:rStyle w:val="Hyperlink"/>
          <w:rFonts w:ascii="Arial" w:eastAsia="Arial" w:hAnsi="Arial" w:cs="Arial"/>
          <w:lang w:val="en-CA"/>
          <w:rPrChange w:id="98" w:author="Amanda Droghini [2]" w:date="2018-12-05T08:23:00Z">
            <w:rPr>
              <w:rStyle w:val="Hyperlink"/>
              <w:rFonts w:ascii="Arial" w:eastAsia="Arial" w:hAnsi="Arial" w:cs="Arial"/>
              <w:lang w:val="fr-CA"/>
            </w:rPr>
          </w:rPrChange>
        </w:rPr>
        <w:t>https://CRAN.R-project.org/package=dplyr</w:t>
      </w:r>
      <w:r w:rsidR="003D60B2">
        <w:rPr>
          <w:rStyle w:val="Hyperlink"/>
          <w:rFonts w:ascii="Arial" w:eastAsia="Arial" w:hAnsi="Arial" w:cs="Arial"/>
          <w:lang w:val="fr-CA"/>
        </w:rPr>
        <w:fldChar w:fldCharType="end"/>
      </w:r>
    </w:p>
    <w:p w14:paraId="58FC30DE" w14:textId="77777777" w:rsidR="009B2514" w:rsidRPr="00641FB4" w:rsidRDefault="009B2514" w:rsidP="009B2514">
      <w:pPr>
        <w:widowControl w:val="0"/>
        <w:pBdr>
          <w:top w:val="nil"/>
          <w:left w:val="nil"/>
          <w:bottom w:val="nil"/>
          <w:right w:val="nil"/>
          <w:between w:val="nil"/>
        </w:pBdr>
        <w:spacing w:line="240" w:lineRule="auto"/>
        <w:rPr>
          <w:rFonts w:ascii="Arial" w:eastAsia="Arial" w:hAnsi="Arial" w:cs="Arial"/>
          <w:color w:val="000000"/>
          <w:lang w:val="en-CA"/>
          <w:rPrChange w:id="99" w:author="Amanda Droghini [2]" w:date="2018-12-05T08:23:00Z">
            <w:rPr>
              <w:rFonts w:ascii="Arial" w:eastAsia="Arial" w:hAnsi="Arial" w:cs="Arial"/>
              <w:color w:val="000000"/>
              <w:lang w:val="fr-CA"/>
            </w:rPr>
          </w:rPrChange>
        </w:rPr>
      </w:pPr>
    </w:p>
    <w:p w14:paraId="5DEBACE8" w14:textId="77777777" w:rsidR="009B2514" w:rsidRDefault="009B2514" w:rsidP="009B2514">
      <w:pPr>
        <w:widowControl w:val="0"/>
        <w:pBdr>
          <w:top w:val="nil"/>
          <w:left w:val="nil"/>
          <w:bottom w:val="nil"/>
          <w:right w:val="nil"/>
          <w:between w:val="nil"/>
        </w:pBdr>
        <w:spacing w:line="240" w:lineRule="auto"/>
        <w:rPr>
          <w:rFonts w:ascii="Arial" w:eastAsia="Arial" w:hAnsi="Arial" w:cs="Arial"/>
          <w:color w:val="000000"/>
        </w:rPr>
      </w:pPr>
      <w:r w:rsidRPr="00641FB4">
        <w:rPr>
          <w:rFonts w:ascii="Arial" w:eastAsia="Arial" w:hAnsi="Arial" w:cs="Arial"/>
          <w:color w:val="000000"/>
          <w:lang w:val="en-CA"/>
          <w:rPrChange w:id="100" w:author="Amanda Droghini [2]" w:date="2018-12-05T08:23:00Z">
            <w:rPr>
              <w:rFonts w:ascii="Arial" w:eastAsia="Arial" w:hAnsi="Arial" w:cs="Arial"/>
              <w:color w:val="000000"/>
              <w:lang w:val="fr-CA"/>
            </w:rPr>
          </w:rPrChange>
        </w:rPr>
        <w:t xml:space="preserve">Wickham, H.. </w:t>
      </w:r>
      <w:r>
        <w:rPr>
          <w:rFonts w:ascii="Arial" w:eastAsia="Arial" w:hAnsi="Arial" w:cs="Arial"/>
          <w:color w:val="000000"/>
        </w:rPr>
        <w:t>ggplot2: Elegant Graphics for Data Analysis. Springer-Verlag New York, 2016.</w:t>
      </w:r>
    </w:p>
    <w:p w14:paraId="35552E94" w14:textId="77777777" w:rsid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en-CA"/>
        </w:rPr>
      </w:pPr>
    </w:p>
    <w:p w14:paraId="1FE8A5A1" w14:textId="77777777" w:rsidR="009B2514" w:rsidRDefault="009B2514" w:rsidP="009B2514">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Wickham, H. 2011. The Split-Apply-Combine Strategy for Data Analysis. Journal of Statistical Software, 40(1), 1-29. </w:t>
      </w:r>
      <w:hyperlink r:id="rId16" w:history="1">
        <w:r w:rsidRPr="00EB60CC">
          <w:rPr>
            <w:rStyle w:val="Hyperlink"/>
            <w:rFonts w:ascii="Arial" w:eastAsia="Arial" w:hAnsi="Arial" w:cs="Arial"/>
          </w:rPr>
          <w:t>http://www.jstatsoft.org/v40/i01/</w:t>
        </w:r>
      </w:hyperlink>
    </w:p>
    <w:p w14:paraId="3B26DE5E" w14:textId="77777777" w:rsid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en-CA"/>
        </w:rPr>
      </w:pPr>
    </w:p>
    <w:p w14:paraId="5D2D7D8F" w14:textId="77777777" w:rsidR="009B2514" w:rsidRP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fr-CA"/>
        </w:rPr>
      </w:pPr>
      <w:r>
        <w:rPr>
          <w:rFonts w:ascii="Arial" w:eastAsia="Arial" w:hAnsi="Arial" w:cs="Arial"/>
          <w:color w:val="000000"/>
        </w:rPr>
        <w:t xml:space="preserve">Pierce, D. 2017. ncdf4: Interface to Unidata netCDF (Version 4 or Earlier) Format Data Files. </w:t>
      </w:r>
      <w:r w:rsidRPr="009B2514">
        <w:rPr>
          <w:rFonts w:ascii="Arial" w:eastAsia="Arial" w:hAnsi="Arial" w:cs="Arial"/>
          <w:color w:val="000000"/>
          <w:lang w:val="fr-CA"/>
        </w:rPr>
        <w:t xml:space="preserve">R package version 1.16. </w:t>
      </w:r>
      <w:hyperlink r:id="rId17" w:history="1">
        <w:r w:rsidRPr="009B2514">
          <w:rPr>
            <w:rStyle w:val="Hyperlink"/>
            <w:rFonts w:ascii="Arial" w:eastAsia="Arial" w:hAnsi="Arial" w:cs="Arial"/>
            <w:lang w:val="fr-CA"/>
          </w:rPr>
          <w:t>https://CRAN.R-project.org/package=ncdf4</w:t>
        </w:r>
      </w:hyperlink>
    </w:p>
    <w:p w14:paraId="3536C6BE" w14:textId="77777777" w:rsidR="009B2514" w:rsidRP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fr-CA"/>
        </w:rPr>
      </w:pPr>
    </w:p>
    <w:p w14:paraId="5D6EC445" w14:textId="1173412A" w:rsidR="00264E84" w:rsidRPr="009B2514" w:rsidRDefault="009B2514" w:rsidP="009B2514">
      <w:pPr>
        <w:rPr>
          <w:lang w:val="en-CA"/>
        </w:rPr>
      </w:pPr>
      <w:r w:rsidRPr="009B2514">
        <w:rPr>
          <w:rFonts w:ascii="Arial" w:eastAsia="Arial" w:hAnsi="Arial" w:cs="Arial"/>
          <w:color w:val="000000"/>
          <w:lang w:val="fr-CA"/>
        </w:rPr>
        <w:t xml:space="preserve">Pebesma, E.J., R.S. Bivand, 2005. </w:t>
      </w:r>
      <w:r>
        <w:rPr>
          <w:rFonts w:ascii="Arial" w:eastAsia="Arial" w:hAnsi="Arial" w:cs="Arial"/>
          <w:color w:val="000000"/>
        </w:rPr>
        <w:t>Classes and methods for spatial data in R. R News 5 (2), https://cran.r-project.org/doc/Rnews/.</w:t>
      </w:r>
    </w:p>
    <w:p w14:paraId="5723B66C" w14:textId="4795CA83" w:rsidR="00725003" w:rsidRPr="009B2514" w:rsidRDefault="009B2514" w:rsidP="00725003">
      <w:pPr>
        <w:rPr>
          <w:lang w:val="en-CA"/>
        </w:rPr>
      </w:pPr>
      <w:r>
        <w:rPr>
          <w:rFonts w:ascii="Arial" w:eastAsia="Arial" w:hAnsi="Arial" w:cs="Arial"/>
          <w:color w:val="000000"/>
        </w:rPr>
        <w:t xml:space="preserve">Perpinan Lamigueiro, O. and Hijmans, R. </w:t>
      </w:r>
      <w:r w:rsidRPr="009B2514">
        <w:rPr>
          <w:rFonts w:ascii="Arial" w:eastAsia="Arial" w:hAnsi="Arial" w:cs="Arial"/>
          <w:color w:val="000000"/>
        </w:rPr>
        <w:t>2018</w:t>
      </w:r>
      <w:r>
        <w:rPr>
          <w:rFonts w:ascii="Arial" w:eastAsia="Arial" w:hAnsi="Arial" w:cs="Arial"/>
          <w:color w:val="000000"/>
        </w:rPr>
        <w:t>.</w:t>
      </w:r>
      <w:r w:rsidRPr="009B2514">
        <w:rPr>
          <w:rFonts w:ascii="Arial" w:eastAsia="Arial" w:hAnsi="Arial" w:cs="Arial"/>
          <w:color w:val="000000"/>
        </w:rPr>
        <w:t xml:space="preserve"> rasterVis. R package version 0.45.</w:t>
      </w:r>
    </w:p>
    <w:sectPr w:rsidR="00725003" w:rsidRPr="009B25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manda Droghini" w:date="2018-12-09T15:38:00Z" w:initials="AD">
    <w:p w14:paraId="1EAA2DC6" w14:textId="3DD70164" w:rsidR="00B541E3" w:rsidRDefault="00B541E3">
      <w:pPr>
        <w:pStyle w:val="CommentText"/>
      </w:pPr>
      <w:r>
        <w:rPr>
          <w:rStyle w:val="CommentReference"/>
        </w:rPr>
        <w:annotationRef/>
      </w:r>
      <w:r>
        <w:t>From Global Change Biology: “</w:t>
      </w:r>
      <w:r>
        <w:rPr>
          <w:rFonts w:ascii="Arial" w:hAnsi="Arial" w:cs="Arial"/>
          <w:color w:val="1C1D1E"/>
          <w:sz w:val="21"/>
          <w:szCs w:val="21"/>
          <w:shd w:val="clear" w:color="auto" w:fill="FFFFFF"/>
        </w:rPr>
        <w:t>The final sentence highlights the wider implications and relevance to global change.”</w:t>
      </w:r>
    </w:p>
  </w:comment>
  <w:comment w:id="4" w:author="Amanda Droghini [2]" w:date="2018-11-03T18:24:00Z" w:initials="AD">
    <w:p w14:paraId="632448C3" w14:textId="411AE173" w:rsidR="002150DD" w:rsidRDefault="002150DD">
      <w:pPr>
        <w:pStyle w:val="CommentText"/>
      </w:pPr>
      <w:r>
        <w:rPr>
          <w:rStyle w:val="CommentReference"/>
        </w:rPr>
        <w:annotationRef/>
      </w:r>
      <w:r>
        <w:t>Annual period????</w:t>
      </w:r>
    </w:p>
  </w:comment>
  <w:comment w:id="7" w:author="Jordan Watson - NOAA Federal" w:date="2018-06-10T21:45:00Z" w:initials="">
    <w:p w14:paraId="79CF19D2"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Are you referring to just one fishery here or commercial fisherIES? Not sure if you're just referring to pollock or all of the fisheries. In either case, a citation for the $1 billion would be:</w:t>
      </w:r>
    </w:p>
    <w:p w14:paraId="191E80E8"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p>
    <w:p w14:paraId="4244023F"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Fissel B, Dalton M, Felthoven R, Garber-Yonts B, Haynie AC, et al. 2015. Stock assessment and</w:t>
      </w:r>
    </w:p>
    <w:p w14:paraId="46170D0B"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697 fishery evaluation report for the groundfish fisheries of the Gulf of Alaska and Bering Sea/</w:t>
      </w:r>
    </w:p>
    <w:p w14:paraId="7D5C36E2"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698 Aleutian Islands area: Economic status of the groundfish fisheries off Alaska. Edited by</w:t>
      </w:r>
    </w:p>
    <w:p w14:paraId="55B27EC7"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699 N.P.F.M. Council, Anchorage, Alaska.</w:t>
      </w:r>
    </w:p>
    <w:p w14:paraId="3BB669BE"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p>
    <w:p w14:paraId="60036282"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But I'm not sure where you got the 50% wild-caught seafood part. Maybe from here? But this doesn't really include salmon fisheries so I don't really know. But I think it needs a citation. </w:t>
      </w:r>
    </w:p>
    <w:p w14:paraId="7CE6EFD0"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Alaska Fisheries Science Center. 2016. Wholesale market profiles for Alaska groundfish and crab fisheries. 134 p. Alaska Fish. Sci. Cent., NOAA, Natl. Mar. Fish. Serv., 7600 Sand Point Way NE, Seattle WA 98115.</w:t>
      </w:r>
    </w:p>
  </w:comment>
  <w:comment w:id="8" w:author="Amanda Droghini [2]" w:date="2018-11-11T14:51:00Z" w:initials="AD">
    <w:p w14:paraId="58EBB6FE" w14:textId="77777777" w:rsidR="002150DD" w:rsidRDefault="002150DD">
      <w:pPr>
        <w:pStyle w:val="CommentText"/>
        <w:rPr>
          <w:rFonts w:cs="Garamond"/>
          <w:color w:val="000000"/>
          <w:sz w:val="23"/>
          <w:szCs w:val="23"/>
        </w:rPr>
      </w:pPr>
      <w:r>
        <w:rPr>
          <w:rStyle w:val="CommentReference"/>
        </w:rPr>
        <w:annotationRef/>
      </w:r>
      <w:r>
        <w:t>The use of “fisheries” (plural) sounds awkward with the way I currently have the sentence set up. So I changed it to “commercial fishing industry” (singular) – but maybe you can reword in a way that makes sense? The # comes from this sentence: “</w:t>
      </w:r>
      <w:r>
        <w:rPr>
          <w:rFonts w:cs="Garamond"/>
          <w:color w:val="000000"/>
          <w:sz w:val="23"/>
          <w:szCs w:val="23"/>
        </w:rPr>
        <w:t>Alaska led all states in value of landings with $1.6 billion, followed by: Maine, $633.6 million; Massachusetts, $552.2 million; Louisiana, $407.2 million; and Washington, $321.0 million.” From the the NMFS 2017 report:</w:t>
      </w:r>
    </w:p>
    <w:p w14:paraId="2B23B910" w14:textId="77777777" w:rsidR="002150DD" w:rsidRDefault="002150DD">
      <w:pPr>
        <w:pStyle w:val="CommentText"/>
      </w:pPr>
    </w:p>
    <w:p w14:paraId="06034968" w14:textId="76D6716B" w:rsidR="002150DD" w:rsidRPr="004E4CD3" w:rsidRDefault="002150DD">
      <w:pPr>
        <w:pStyle w:val="CommentText"/>
        <w:rPr>
          <w:rFonts w:cs="Garamond"/>
          <w:color w:val="000000"/>
          <w:sz w:val="23"/>
          <w:szCs w:val="23"/>
        </w:rPr>
      </w:pPr>
      <w:r>
        <w:rPr>
          <w:rFonts w:cs="Garamond"/>
          <w:color w:val="000000"/>
          <w:sz w:val="23"/>
          <w:szCs w:val="23"/>
        </w:rPr>
        <w:t>National Marine Fisheries Service (2017) Fisheries of the United States, 2016. U.S. Department of Commerce, NOAA Current Fishery Statistics No. 2016. Available at: https://www.st.nmfs.noaa.gov/commercial-fisheries/ fus/fus16/index</w:t>
      </w:r>
      <w:r>
        <w:t xml:space="preserve"> </w:t>
      </w:r>
    </w:p>
  </w:comment>
  <w:comment w:id="10" w:author="Amanda Droghini [2]" w:date="2018-12-04T09:36:00Z" w:initials="AD">
    <w:p w14:paraId="37266509" w14:textId="46FB1A81" w:rsidR="002150DD" w:rsidRDefault="002150DD">
      <w:pPr>
        <w:pStyle w:val="CommentText"/>
      </w:pPr>
      <w:r>
        <w:rPr>
          <w:rStyle w:val="CommentReference"/>
        </w:rPr>
        <w:annotationRef/>
      </w:r>
      <w:r>
        <w:t>Tony, are you sure there are 10? I count 16 in Hermann et al. (2016) page 33</w:t>
      </w:r>
    </w:p>
  </w:comment>
  <w:comment w:id="14" w:author="Jesika Reimer" w:date="2018-11-02T12:08:00Z" w:initials="JPR">
    <w:p w14:paraId="6E6539DB" w14:textId="20B1CD93" w:rsidR="002150DD" w:rsidRDefault="002150DD" w:rsidP="00736B47">
      <w:pPr>
        <w:pStyle w:val="CommentText"/>
      </w:pPr>
      <w:r>
        <w:rPr>
          <w:rStyle w:val="CommentReference"/>
        </w:rPr>
        <w:annotationRef/>
      </w:r>
      <w:r>
        <w:t>Main comment on results section:  Make sure you are just stating facts/results/quantitative analysis, rather than interpreting the results in this section. It currently reads more like a discussion than ‘facts’.</w:t>
      </w:r>
    </w:p>
    <w:p w14:paraId="5883FD92" w14:textId="3DED1C6C" w:rsidR="002150DD" w:rsidRDefault="002150DD" w:rsidP="00B97CD9">
      <w:pPr>
        <w:pStyle w:val="CommentText"/>
      </w:pPr>
    </w:p>
  </w:comment>
  <w:comment w:id="15" w:author="Jordan Watson - NOAA Federal" w:date="2018-06-10T22:35:00Z" w:initials="">
    <w:p w14:paraId="422536F3" w14:textId="77777777" w:rsidR="002150DD" w:rsidRDefault="002150DD" w:rsidP="009A0C74">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Interesting. Isn't the freezing point of seawater -1.8?</w:t>
      </w:r>
    </w:p>
  </w:comment>
  <w:comment w:id="16" w:author="Amanda Droghini [2]" w:date="2018-06-19T16:21:00Z" w:initials="">
    <w:p w14:paraId="28B9E5DD" w14:textId="4079D19D" w:rsidR="002150DD" w:rsidRDefault="002150DD" w:rsidP="009A0C74">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Sure is. I'm pretty sure those values actually show up, but let me see if the original Hermann papers say anything about that.</w:t>
      </w:r>
      <w:r w:rsidR="00E53AE6">
        <w:rPr>
          <w:rFonts w:ascii="Arial" w:eastAsia="Arial" w:hAnsi="Arial" w:cs="Arial"/>
          <w:color w:val="000000"/>
        </w:rPr>
        <w:t xml:space="preserve"> Thoughts on how to approach this? </w:t>
      </w:r>
    </w:p>
  </w:comment>
  <w:comment w:id="17" w:author="Amanda Droghini" w:date="2018-12-16T13:32:00Z" w:initials="AD">
    <w:p w14:paraId="7C7BB2CA" w14:textId="05D6CA5E" w:rsidR="00E47C74" w:rsidRDefault="00E47C74">
      <w:pPr>
        <w:pStyle w:val="CommentText"/>
      </w:pPr>
      <w:r>
        <w:rPr>
          <w:rStyle w:val="CommentReference"/>
        </w:rPr>
        <w:annotationRef/>
      </w:r>
      <w:r>
        <w:t>Not sure if this is the correct word given that there’s no probability attached to this</w:t>
      </w:r>
    </w:p>
  </w:comment>
  <w:comment w:id="19" w:author="Amanda Droghini [2]" w:date="2018-05-05T12:19:00Z" w:initials="">
    <w:p w14:paraId="761A4119" w14:textId="77777777" w:rsidR="002150DD" w:rsidRDefault="002150DD" w:rsidP="00FC1312">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THIS SECTION IS INCOMPLETE.</w:t>
      </w:r>
    </w:p>
  </w:comment>
  <w:comment w:id="22" w:author="Amanda Droghini [2]" w:date="2018-12-04T11:20:00Z" w:initials="AD">
    <w:p w14:paraId="74D7FD35" w14:textId="202E7F3B" w:rsidR="002150DD" w:rsidRDefault="002150DD">
      <w:pPr>
        <w:pStyle w:val="CommentText"/>
      </w:pPr>
      <w:r>
        <w:rPr>
          <w:rStyle w:val="CommentReference"/>
        </w:rPr>
        <w:annotationRef/>
      </w:r>
      <w:r>
        <w:t>AD Check Table 2. Where do you even cite it now?</w:t>
      </w:r>
    </w:p>
  </w:comment>
  <w:comment w:id="23" w:author="Amanda Droghini [2]" w:date="2018-12-04T11:21:00Z" w:initials="AD">
    <w:p w14:paraId="16D5F69E" w14:textId="4BA7208C" w:rsidR="002150DD" w:rsidRDefault="002150DD">
      <w:pPr>
        <w:pStyle w:val="CommentText"/>
      </w:pPr>
      <w:r>
        <w:rPr>
          <w:rStyle w:val="CommentReference"/>
        </w:rPr>
        <w:annotationRef/>
      </w:r>
      <w:r>
        <w:t>Put #s here – salinities &lt;30?</w:t>
      </w:r>
    </w:p>
  </w:comment>
  <w:comment w:id="24" w:author="Amanda Droghini [2]" w:date="2018-06-14T18:17:00Z" w:initials="">
    <w:p w14:paraId="3D1D85B0" w14:textId="77777777" w:rsidR="002150DD" w:rsidRDefault="002150DD" w:rsidP="002342C5">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Amanda check what the 3rd one is</w:t>
      </w:r>
    </w:p>
  </w:comment>
  <w:comment w:id="26" w:author="Jesika Reimer" w:date="2018-11-02T12:43:00Z" w:initials="JPR">
    <w:p w14:paraId="53660964" w14:textId="655F2CAC" w:rsidR="002150DD" w:rsidRDefault="002150DD">
      <w:pPr>
        <w:pStyle w:val="CommentText"/>
      </w:pPr>
      <w:r>
        <w:rPr>
          <w:rStyle w:val="CommentReference"/>
        </w:rPr>
        <w:annotationRef/>
      </w:r>
      <w:r>
        <w:t>Again, use sterile language to describe actual numeric results. E.g. “there was an increase in XX pixels/XX degrees/for XX taxa along the southern Seward Pen…”</w:t>
      </w:r>
    </w:p>
  </w:comment>
  <w:comment w:id="25" w:author="Amanda Droghini [2]" w:date="2018-12-04T11:22:00Z" w:initials="AD">
    <w:p w14:paraId="65987226" w14:textId="1F45EB88" w:rsidR="002150DD" w:rsidRDefault="002150DD">
      <w:pPr>
        <w:pStyle w:val="CommentText"/>
      </w:pPr>
      <w:r>
        <w:rPr>
          <w:rStyle w:val="CommentReference"/>
        </w:rPr>
        <w:annotationRef/>
      </w:r>
      <w:r>
        <w:t>I don’t know how to describe spatial differences quantitatively.</w:t>
      </w:r>
    </w:p>
  </w:comment>
  <w:comment w:id="27" w:author="Amanda Droghini [2]" w:date="2018-12-04T11:19:00Z" w:initials="AD">
    <w:p w14:paraId="6FF1DDA8" w14:textId="6CFCC5C6" w:rsidR="002150DD" w:rsidRDefault="002150DD">
      <w:pPr>
        <w:pStyle w:val="CommentText"/>
      </w:pPr>
      <w:r>
        <w:rPr>
          <w:rStyle w:val="CommentReference"/>
        </w:rPr>
        <w:annotationRef/>
      </w:r>
      <w:r>
        <w:t>Make consistent with comparison above, which is &gt;14C</w:t>
      </w:r>
    </w:p>
  </w:comment>
  <w:comment w:id="28" w:author="Jordan Watson - NOAA Federal" w:date="2018-06-10T23:04:00Z" w:initials="">
    <w:p w14:paraId="115BFF40" w14:textId="77777777" w:rsidR="002150DD" w:rsidRDefault="002150DD" w:rsidP="00C264D8">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Jordan - this is calculated in 1523_R_Code_for_vessel_traffic_ballast...</w:t>
      </w:r>
    </w:p>
  </w:comment>
  <w:comment w:id="29" w:author="Anthony Fischbach" w:date="2018-06-14T15:07:00Z" w:initials="">
    <w:p w14:paraId="115C075B" w14:textId="77777777" w:rsidR="002150DD" w:rsidRDefault="002150DD" w:rsidP="00C264D8">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Can we make a statement here about ocean depths where these were taken from, and contrast this against 'in port' ballast water intakes-- indicating the relative risk of incurring NIS at near-shore/shelf locations vs. offshore basin locations?</w:t>
      </w:r>
    </w:p>
  </w:comment>
  <w:comment w:id="30" w:author="Jesika Reimer" w:date="2018-11-02T15:45:00Z" w:initials="JPR">
    <w:p w14:paraId="383DCD07" w14:textId="77777777" w:rsidR="0078241B" w:rsidRDefault="0078241B" w:rsidP="0078241B">
      <w:pPr>
        <w:pStyle w:val="CommentText"/>
      </w:pPr>
      <w:r>
        <w:rPr>
          <w:rStyle w:val="CommentReference"/>
        </w:rPr>
        <w:annotationRef/>
      </w:r>
      <w:r>
        <w:t>It decreased sharply, but did we see a complete absence of suitable habitat? If not, then it may not be in contrast with de Rivera et al. If so, then it likely isn’t just due to us looking at more taxa, there must be some differences in modeling.</w:t>
      </w:r>
    </w:p>
  </w:comment>
  <w:comment w:id="31" w:author="Amanda Droghini [2]" w:date="2018-12-04T15:12:00Z" w:initials="AD">
    <w:p w14:paraId="35EF635B" w14:textId="77777777" w:rsidR="0078241B" w:rsidRDefault="0078241B" w:rsidP="0078241B">
      <w:pPr>
        <w:pStyle w:val="CommentText"/>
      </w:pPr>
      <w:r>
        <w:rPr>
          <w:rStyle w:val="CommentReference"/>
        </w:rPr>
        <w:annotationRef/>
      </w:r>
      <w:r>
        <w:t xml:space="preserve"> All species that de Rivera considered were tolerant to cold temperatures. 3 of the 4 species she included are also on our list, and both our models are broadly similar in their predictions (I believe they used a maxEnt model with only temperature and salinity as covariates). My comment was that in our situation, we considered species that had a broader range of cold tolerances (perhaps, we can argue, more representative of the species we are likely to get – some from mid-latitudes + south of). So yes conditions are suitable for some, but certainly not many. I’m happy leaving out what I wrote or reworking it.</w:t>
      </w:r>
    </w:p>
  </w:comment>
  <w:comment w:id="34" w:author="Amanda Droghini [2]" w:date="2018-12-04T15:40:00Z" w:initials="AD">
    <w:p w14:paraId="4A5F870B" w14:textId="77777777" w:rsidR="00967BAD" w:rsidRDefault="00967BAD" w:rsidP="00967BAD">
      <w:pPr>
        <w:pStyle w:val="CommentText"/>
      </w:pPr>
      <w:r>
        <w:rPr>
          <w:rStyle w:val="CommentReference"/>
        </w:rPr>
        <w:annotationRef/>
      </w:r>
      <w:r>
        <w:t>##?</w:t>
      </w:r>
    </w:p>
  </w:comment>
  <w:comment w:id="35" w:author="Amanda Droghini [2]" w:date="2018-12-04T15:42:00Z" w:initials="AD">
    <w:p w14:paraId="5027BB49" w14:textId="77777777" w:rsidR="000A57FF" w:rsidRDefault="000A57FF" w:rsidP="000A57FF">
      <w:pPr>
        <w:pStyle w:val="CommentText"/>
      </w:pPr>
      <w:r>
        <w:rPr>
          <w:rStyle w:val="CommentReference"/>
        </w:rPr>
        <w:annotationRef/>
      </w:r>
      <w:r>
        <w:t>Fact check.</w:t>
      </w:r>
    </w:p>
  </w:comment>
  <w:comment w:id="39" w:author="Anthony Fischbach" w:date="2018-06-19T15:12:00Z" w:initials="">
    <w:p w14:paraId="781DE0C7" w14:textId="77777777" w:rsidR="00A968A7" w:rsidRDefault="00A968A7" w:rsidP="00A968A7">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+afischbach@usgs.gov </w:t>
      </w:r>
    </w:p>
    <w:p w14:paraId="2D452C47" w14:textId="77777777" w:rsidR="00A968A7" w:rsidRDefault="00A968A7" w:rsidP="00A968A7">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Bring in citation summarizing regional variation in ice extent that indicates a wind-driven expansion of maximum ice extent, followed by a reduction of the ice covered season.  This was updated through 2017.</w:t>
      </w:r>
    </w:p>
  </w:comment>
  <w:comment w:id="52" w:author="Jesika Reimer" w:date="2018-11-01T14:16:00Z" w:initials="JPR">
    <w:p w14:paraId="336D67DA" w14:textId="4C2D76DF" w:rsidR="002150DD" w:rsidRDefault="002150DD">
      <w:pPr>
        <w:pStyle w:val="CommentText"/>
      </w:pPr>
      <w:r>
        <w:rPr>
          <w:rStyle w:val="CommentReference"/>
        </w:rPr>
        <w:annotationRef/>
      </w:r>
      <w:r>
        <w:t>Either fill in the blanks of this paragraph or shift to highlight that while additional taxa are not expected to start surviving and reproducing, habitat is predicted to open up for those taxa already able to survive. In addition, the season length and summer temperatures may allow for reproduction of NIS currently limited by conditions in the Bering Sea.</w:t>
      </w:r>
    </w:p>
  </w:comment>
  <w:comment w:id="57" w:author="Amanda Droghini [2]" w:date="2018-12-04T16:55:00Z" w:initials="AD">
    <w:p w14:paraId="2BB479D7" w14:textId="2DB66D78" w:rsidR="00C34622" w:rsidRDefault="00C34622">
      <w:pPr>
        <w:pStyle w:val="CommentText"/>
      </w:pPr>
      <w:r>
        <w:rPr>
          <w:rStyle w:val="CommentReference"/>
        </w:rPr>
        <w:annotationRef/>
      </w:r>
      <w:r>
        <w:t>Comment from Jes – words are undefined, be clearer.</w:t>
      </w:r>
    </w:p>
  </w:comment>
  <w:comment w:id="64" w:author="Amanda Droghini [2]" w:date="2018-06-19T22:54:00Z" w:initials="">
    <w:p w14:paraId="2A569035" w14:textId="77777777" w:rsidR="00771A6A" w:rsidRDefault="00771A6A" w:rsidP="00771A6A">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Ricciardi, A., T. M. Blackburn, J. T. Carlton, J. T. A. Dick, P. E. Hulme, J. C. Iacarella, J. M. Jeschke, A. M. Liebhold, J. L. Lockwood, H. J. MacIsaac, P. Pysek, D. M. Richardson, G. M. Ruiz, D. Simberloff, W. J. Sutherland, D. A. Wardle, and D. C. Aldridge. 2017. Invasion science: a horizon scan of emerging challenges and opportunities. Trends in Ecology and Evolution 32:464–474.</w:t>
      </w:r>
    </w:p>
  </w:comment>
  <w:comment w:id="65" w:author="Amanda Droghini [2]" w:date="2018-04-30T17:34:00Z" w:initials="">
    <w:p w14:paraId="72412D6B" w14:textId="77777777" w:rsidR="00D259D0" w:rsidRDefault="00D259D0" w:rsidP="00D259D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I’m assuming this is right but I made it up</w:t>
      </w:r>
    </w:p>
  </w:comment>
  <w:comment w:id="66" w:author="Anthony Fischbach" w:date="2018-06-19T15:23:00Z" w:initials="">
    <w:p w14:paraId="497857F5" w14:textId="77777777" w:rsidR="00D259D0" w:rsidRDefault="00D259D0" w:rsidP="00D259D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+afischbach@usgs.gov </w:t>
      </w:r>
    </w:p>
    <w:p w14:paraId="28D33609" w14:textId="77777777" w:rsidR="00D259D0" w:rsidRDefault="00D259D0" w:rsidP="00D259D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See if there is a discussion in the literature.  Recall 2011 &amp; 2012's blob extending up along the Chukchi Sea coast from the Y-K delta, co-incident with the allopecia seals.</w:t>
      </w:r>
    </w:p>
  </w:comment>
  <w:comment w:id="71" w:author="Jordan Watson - NOAA Federal" w:date="2018-06-11T01:02:00Z" w:initials="">
    <w:p w14:paraId="355E942F" w14:textId="77777777" w:rsidR="00695E6B" w:rsidRDefault="00695E6B" w:rsidP="00695E6B">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I'll just include the reference here in case you don't want to include the addition.</w:t>
      </w:r>
    </w:p>
    <w:p w14:paraId="08678C25" w14:textId="77777777" w:rsidR="00695E6B" w:rsidRDefault="00695E6B" w:rsidP="00695E6B">
      <w:pPr>
        <w:widowControl w:val="0"/>
        <w:pBdr>
          <w:top w:val="nil"/>
          <w:left w:val="nil"/>
          <w:bottom w:val="nil"/>
          <w:right w:val="nil"/>
          <w:between w:val="nil"/>
        </w:pBdr>
        <w:spacing w:line="240" w:lineRule="auto"/>
        <w:rPr>
          <w:rFonts w:ascii="Arial" w:eastAsia="Arial" w:hAnsi="Arial" w:cs="Arial"/>
          <w:color w:val="000000"/>
        </w:rPr>
      </w:pPr>
    </w:p>
    <w:p w14:paraId="07781C58" w14:textId="77777777" w:rsidR="00695E6B" w:rsidRDefault="00695E6B" w:rsidP="00695E6B">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Pinsky, M. L., and Fogarty, M. 2012. Lagged social-ecological responses to climate and range shifts in fisheries. Climatic Change, 115: 883–891.</w:t>
      </w:r>
    </w:p>
  </w:comment>
  <w:comment w:id="70" w:author="Jesika Reimer" w:date="2018-11-02T16:38:00Z" w:initials="JPR">
    <w:p w14:paraId="25E41896" w14:textId="77777777" w:rsidR="00695E6B" w:rsidRDefault="00695E6B" w:rsidP="00695E6B">
      <w:pPr>
        <w:pStyle w:val="CommentText"/>
      </w:pPr>
      <w:r>
        <w:rPr>
          <w:rStyle w:val="CommentReference"/>
        </w:rPr>
        <w:annotationRef/>
      </w:r>
      <w:r>
        <w:t>This should go somewhere, I’m just not sure if you want to put it at the front of this section or where it would fit best once the geographic intersection between shipping and NIS habitat is described.</w:t>
      </w:r>
    </w:p>
  </w:comment>
  <w:comment w:id="79" w:author="Amanda Droghini [2]" w:date="2018-05-18T22:53:00Z" w:initials="">
    <w:p w14:paraId="24BC94D5" w14:textId="77777777" w:rsidR="00674C88" w:rsidRDefault="00674C88" w:rsidP="00674C88">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Need to check this</w:t>
      </w:r>
    </w:p>
  </w:comment>
  <w:comment w:id="77" w:author="Amanda Droghini [2]" w:date="2018-05-05T13:00:00Z" w:initials="">
    <w:p w14:paraId="772C22CD" w14:textId="77777777" w:rsidR="00674C88" w:rsidRDefault="00674C88" w:rsidP="00674C88">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They also found that water temperature was a poor predictor of survivorship (esp. compared to ballast water age) –not sure if this is important to mention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AA2DC6" w15:done="0"/>
  <w15:commentEx w15:paraId="632448C3" w15:done="0"/>
  <w15:commentEx w15:paraId="7CE6EFD0" w15:done="0"/>
  <w15:commentEx w15:paraId="06034968" w15:paraIdParent="7CE6EFD0" w15:done="0"/>
  <w15:commentEx w15:paraId="37266509" w15:done="0"/>
  <w15:commentEx w15:paraId="5883FD92" w15:done="0"/>
  <w15:commentEx w15:paraId="422536F3" w15:done="0"/>
  <w15:commentEx w15:paraId="28B9E5DD" w15:done="0"/>
  <w15:commentEx w15:paraId="7C7BB2CA" w15:done="0"/>
  <w15:commentEx w15:paraId="761A4119" w15:done="0"/>
  <w15:commentEx w15:paraId="74D7FD35" w15:done="0"/>
  <w15:commentEx w15:paraId="16D5F69E" w15:done="0"/>
  <w15:commentEx w15:paraId="3D1D85B0" w15:done="0"/>
  <w15:commentEx w15:paraId="53660964" w15:done="0"/>
  <w15:commentEx w15:paraId="65987226" w15:done="0"/>
  <w15:commentEx w15:paraId="6FF1DDA8" w15:done="0"/>
  <w15:commentEx w15:paraId="115BFF40" w15:done="0"/>
  <w15:commentEx w15:paraId="115C075B" w15:done="0"/>
  <w15:commentEx w15:paraId="383DCD07" w15:done="0"/>
  <w15:commentEx w15:paraId="35EF635B" w15:paraIdParent="383DCD07" w15:done="0"/>
  <w15:commentEx w15:paraId="4A5F870B" w15:done="0"/>
  <w15:commentEx w15:paraId="5027BB49" w15:done="0"/>
  <w15:commentEx w15:paraId="2D452C47" w15:done="0"/>
  <w15:commentEx w15:paraId="336D67DA" w15:done="0"/>
  <w15:commentEx w15:paraId="2BB479D7" w15:done="0"/>
  <w15:commentEx w15:paraId="2A569035" w15:done="0"/>
  <w15:commentEx w15:paraId="72412D6B" w15:done="0"/>
  <w15:commentEx w15:paraId="28D33609" w15:done="0"/>
  <w15:commentEx w15:paraId="07781C58" w15:done="0"/>
  <w15:commentEx w15:paraId="25E41896" w15:done="0"/>
  <w15:commentEx w15:paraId="24BC94D5" w15:done="0"/>
  <w15:commentEx w15:paraId="772C22C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2448C3" w16cid:durableId="1F88666B"/>
  <w16cid:commentId w16cid:paraId="7CE6EFD0" w16cid:durableId="1F884A96"/>
  <w16cid:commentId w16cid:paraId="06034968" w16cid:durableId="1F92C078"/>
  <w16cid:commentId w16cid:paraId="6AFDB512" w16cid:durableId="1F92C501"/>
  <w16cid:commentId w16cid:paraId="13A783F8" w16cid:durableId="1FB12BEC"/>
  <w16cid:commentId w16cid:paraId="37266509" w16cid:durableId="1FB0C913"/>
  <w16cid:commentId w16cid:paraId="5883FD92" w16cid:durableId="1F884AAC"/>
  <w16cid:commentId w16cid:paraId="422536F3" w16cid:durableId="1F884AAD"/>
  <w16cid:commentId w16cid:paraId="28B9E5DD" w16cid:durableId="1F884AAE"/>
  <w16cid:commentId w16cid:paraId="5FD9EAF6" w16cid:durableId="1F884AB0"/>
  <w16cid:commentId w16cid:paraId="4617C066" w16cid:durableId="1F884AB1"/>
  <w16cid:commentId w16cid:paraId="12C845B0" w16cid:durableId="1F884AB2"/>
  <w16cid:commentId w16cid:paraId="6F859036" w16cid:durableId="1FB0DD9C"/>
  <w16cid:commentId w16cid:paraId="761A4119" w16cid:durableId="1F884AB3"/>
  <w16cid:commentId w16cid:paraId="74D7FD35" w16cid:durableId="1FB0E18C"/>
  <w16cid:commentId w16cid:paraId="0763DC16" w16cid:durableId="1F884AB4"/>
  <w16cid:commentId w16cid:paraId="16D5F69E" w16cid:durableId="1FB0E1CF"/>
  <w16cid:commentId w16cid:paraId="3D1D85B0" w16cid:durableId="1F884AB8"/>
  <w16cid:commentId w16cid:paraId="53660964" w16cid:durableId="1FB20978"/>
  <w16cid:commentId w16cid:paraId="65987226" w16cid:durableId="1FB0E1DD"/>
  <w16cid:commentId w16cid:paraId="6FF1DDA8" w16cid:durableId="1FB0E128"/>
  <w16cid:commentId w16cid:paraId="115BFF40" w16cid:durableId="1F884ABD"/>
  <w16cid:commentId w16cid:paraId="115C075B" w16cid:durableId="1F884ABE"/>
  <w16cid:commentId w16cid:paraId="1D238D05" w16cid:durableId="1FB11663"/>
  <w16cid:commentId w16cid:paraId="20108A30" w16cid:durableId="1FB11671"/>
  <w16cid:commentId w16cid:paraId="711E65A5" w16cid:durableId="1F884AC0"/>
  <w16cid:commentId w16cid:paraId="51BFCD67" w16cid:durableId="1FB117C5"/>
  <w16cid:commentId w16cid:paraId="3ACA5E4C" w16cid:durableId="1F884AC1"/>
  <w16cid:commentId w16cid:paraId="62826E8C" w16cid:durableId="1FB11E68"/>
  <w16cid:commentId w16cid:paraId="5CE15234" w16cid:durableId="1FB11EE3"/>
  <w16cid:commentId w16cid:paraId="336D67DA" w16cid:durableId="1F884ACC"/>
  <w16cid:commentId w16cid:paraId="7204B061" w16cid:durableId="1F884AC3"/>
  <w16cid:commentId w16cid:paraId="4EAED97A" w16cid:durableId="1F884AC4"/>
  <w16cid:commentId w16cid:paraId="2BB479D7" w16cid:durableId="1FB13000"/>
  <w16cid:commentId w16cid:paraId="6E88FCCE" w16cid:durableId="1F884AD0"/>
  <w16cid:commentId w16cid:paraId="33D6E594" w16cid:durableId="1F884AC5"/>
  <w16cid:commentId w16cid:paraId="72412D6B" w16cid:durableId="1F884ABB"/>
  <w16cid:commentId w16cid:paraId="28D33609" w16cid:durableId="1F884ABC"/>
  <w16cid:commentId w16cid:paraId="24BC94D5" w16cid:durableId="1F884AD4"/>
  <w16cid:commentId w16cid:paraId="772C22CD" w16cid:durableId="1F884AD3"/>
  <w16cid:commentId w16cid:paraId="092143FF" w16cid:durableId="1F884AD5"/>
  <w16cid:commentId w16cid:paraId="3D61497B" w16cid:durableId="1F884AD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FBA6AB" w14:textId="77777777" w:rsidR="00A114AA" w:rsidRDefault="00A114AA" w:rsidP="00C264D8">
      <w:pPr>
        <w:spacing w:after="0" w:line="240" w:lineRule="auto"/>
      </w:pPr>
      <w:r>
        <w:separator/>
      </w:r>
    </w:p>
  </w:endnote>
  <w:endnote w:type="continuationSeparator" w:id="0">
    <w:p w14:paraId="2EB7727D" w14:textId="77777777" w:rsidR="00A114AA" w:rsidRDefault="00A114AA" w:rsidP="00C26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Gungsuh">
    <w:altName w:val="Arial Unicode MS"/>
    <w:charset w:val="81"/>
    <w:family w:val="roman"/>
    <w:pitch w:val="variable"/>
    <w:sig w:usb0="00000000"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235351" w14:textId="77777777" w:rsidR="00A114AA" w:rsidRDefault="00A114AA" w:rsidP="00C264D8">
      <w:pPr>
        <w:spacing w:after="0" w:line="240" w:lineRule="auto"/>
      </w:pPr>
      <w:r>
        <w:separator/>
      </w:r>
    </w:p>
  </w:footnote>
  <w:footnote w:type="continuationSeparator" w:id="0">
    <w:p w14:paraId="6E35BE75" w14:textId="77777777" w:rsidR="00A114AA" w:rsidRDefault="00A114AA" w:rsidP="00C264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F327E"/>
    <w:multiLevelType w:val="hybridMultilevel"/>
    <w:tmpl w:val="1AE04F60"/>
    <w:lvl w:ilvl="0" w:tplc="58307C76">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3926D2"/>
    <w:multiLevelType w:val="hybridMultilevel"/>
    <w:tmpl w:val="00A4EA2C"/>
    <w:lvl w:ilvl="0" w:tplc="6D3AE4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manda Droghini">
    <w15:presenceInfo w15:providerId="AD" w15:userId="S-1-5-21-985031297-1542154364-2908406550-1058196"/>
  </w15:person>
  <w15:person w15:author="Amanda Droghini [2]">
    <w15:presenceInfo w15:providerId="None" w15:userId="Amanda Droghini"/>
  </w15:person>
  <w15:person w15:author="Jesika Reimer">
    <w15:presenceInfo w15:providerId="None" w15:userId="Jesika Rei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CA5"/>
    <w:rsid w:val="00037F62"/>
    <w:rsid w:val="00051D6E"/>
    <w:rsid w:val="000541CE"/>
    <w:rsid w:val="00056765"/>
    <w:rsid w:val="0006233D"/>
    <w:rsid w:val="0007769C"/>
    <w:rsid w:val="000A1560"/>
    <w:rsid w:val="000A57FF"/>
    <w:rsid w:val="000B52D7"/>
    <w:rsid w:val="000C4888"/>
    <w:rsid w:val="000E0420"/>
    <w:rsid w:val="000E061E"/>
    <w:rsid w:val="000E1F22"/>
    <w:rsid w:val="00112382"/>
    <w:rsid w:val="00117646"/>
    <w:rsid w:val="00122A90"/>
    <w:rsid w:val="00143C7B"/>
    <w:rsid w:val="001618E3"/>
    <w:rsid w:val="001624B3"/>
    <w:rsid w:val="00170704"/>
    <w:rsid w:val="001850BD"/>
    <w:rsid w:val="001B7F58"/>
    <w:rsid w:val="001E45BE"/>
    <w:rsid w:val="001F21B7"/>
    <w:rsid w:val="001F5AB6"/>
    <w:rsid w:val="001F721F"/>
    <w:rsid w:val="00213F04"/>
    <w:rsid w:val="002150DD"/>
    <w:rsid w:val="00216293"/>
    <w:rsid w:val="00216821"/>
    <w:rsid w:val="002342C5"/>
    <w:rsid w:val="00253237"/>
    <w:rsid w:val="00264E84"/>
    <w:rsid w:val="0027753F"/>
    <w:rsid w:val="00282CCC"/>
    <w:rsid w:val="00296C15"/>
    <w:rsid w:val="002B77CF"/>
    <w:rsid w:val="002D4968"/>
    <w:rsid w:val="002D774C"/>
    <w:rsid w:val="002F2FF1"/>
    <w:rsid w:val="002F3BE6"/>
    <w:rsid w:val="0031494B"/>
    <w:rsid w:val="0037485E"/>
    <w:rsid w:val="00392969"/>
    <w:rsid w:val="003C6841"/>
    <w:rsid w:val="003D30F1"/>
    <w:rsid w:val="003D60B2"/>
    <w:rsid w:val="003E10BE"/>
    <w:rsid w:val="003F7DFC"/>
    <w:rsid w:val="004308D7"/>
    <w:rsid w:val="004363E9"/>
    <w:rsid w:val="0046232B"/>
    <w:rsid w:val="00473CA5"/>
    <w:rsid w:val="00492485"/>
    <w:rsid w:val="004E007C"/>
    <w:rsid w:val="004E03AC"/>
    <w:rsid w:val="004E4CD3"/>
    <w:rsid w:val="004F09DC"/>
    <w:rsid w:val="00501591"/>
    <w:rsid w:val="0050661B"/>
    <w:rsid w:val="005205E4"/>
    <w:rsid w:val="00526612"/>
    <w:rsid w:val="00532F6E"/>
    <w:rsid w:val="0053481A"/>
    <w:rsid w:val="00551E18"/>
    <w:rsid w:val="00553659"/>
    <w:rsid w:val="00553FCF"/>
    <w:rsid w:val="00567E40"/>
    <w:rsid w:val="00574D9A"/>
    <w:rsid w:val="0057739E"/>
    <w:rsid w:val="0058772B"/>
    <w:rsid w:val="00587912"/>
    <w:rsid w:val="005977DC"/>
    <w:rsid w:val="005C05EC"/>
    <w:rsid w:val="005C4F19"/>
    <w:rsid w:val="005E6E2E"/>
    <w:rsid w:val="00641FB4"/>
    <w:rsid w:val="006478A5"/>
    <w:rsid w:val="00656105"/>
    <w:rsid w:val="00674C88"/>
    <w:rsid w:val="00681BB9"/>
    <w:rsid w:val="00683AD5"/>
    <w:rsid w:val="00695E6B"/>
    <w:rsid w:val="00696B1E"/>
    <w:rsid w:val="006A408C"/>
    <w:rsid w:val="006F7B64"/>
    <w:rsid w:val="00702149"/>
    <w:rsid w:val="00706950"/>
    <w:rsid w:val="00725003"/>
    <w:rsid w:val="007269F7"/>
    <w:rsid w:val="00732493"/>
    <w:rsid w:val="00733A3C"/>
    <w:rsid w:val="00736B47"/>
    <w:rsid w:val="00756D99"/>
    <w:rsid w:val="007666E5"/>
    <w:rsid w:val="00767673"/>
    <w:rsid w:val="00771A6A"/>
    <w:rsid w:val="0078241B"/>
    <w:rsid w:val="007944F2"/>
    <w:rsid w:val="007A5812"/>
    <w:rsid w:val="007A7807"/>
    <w:rsid w:val="007B5FB4"/>
    <w:rsid w:val="007E1E18"/>
    <w:rsid w:val="007E4620"/>
    <w:rsid w:val="007F1432"/>
    <w:rsid w:val="00811BC9"/>
    <w:rsid w:val="00822EFA"/>
    <w:rsid w:val="00823872"/>
    <w:rsid w:val="00824153"/>
    <w:rsid w:val="0083077A"/>
    <w:rsid w:val="00833D8C"/>
    <w:rsid w:val="008368B2"/>
    <w:rsid w:val="008448B5"/>
    <w:rsid w:val="00846312"/>
    <w:rsid w:val="00847E59"/>
    <w:rsid w:val="008A6E2A"/>
    <w:rsid w:val="008C38D2"/>
    <w:rsid w:val="008D11C1"/>
    <w:rsid w:val="008D5D9A"/>
    <w:rsid w:val="008E2AA7"/>
    <w:rsid w:val="0090308D"/>
    <w:rsid w:val="0091675C"/>
    <w:rsid w:val="009306A4"/>
    <w:rsid w:val="009516EF"/>
    <w:rsid w:val="009521CB"/>
    <w:rsid w:val="00962854"/>
    <w:rsid w:val="00963008"/>
    <w:rsid w:val="00967BAD"/>
    <w:rsid w:val="009777F9"/>
    <w:rsid w:val="00981B31"/>
    <w:rsid w:val="00982F45"/>
    <w:rsid w:val="00985132"/>
    <w:rsid w:val="009A0C74"/>
    <w:rsid w:val="009A4A8F"/>
    <w:rsid w:val="009A590F"/>
    <w:rsid w:val="009B2514"/>
    <w:rsid w:val="009E0CF6"/>
    <w:rsid w:val="009E284B"/>
    <w:rsid w:val="009F6DE5"/>
    <w:rsid w:val="00A114AA"/>
    <w:rsid w:val="00A2068D"/>
    <w:rsid w:val="00A33ACE"/>
    <w:rsid w:val="00A866E1"/>
    <w:rsid w:val="00A959D3"/>
    <w:rsid w:val="00A968A7"/>
    <w:rsid w:val="00AF5F1C"/>
    <w:rsid w:val="00B20BF1"/>
    <w:rsid w:val="00B223D0"/>
    <w:rsid w:val="00B24857"/>
    <w:rsid w:val="00B4574E"/>
    <w:rsid w:val="00B50B7F"/>
    <w:rsid w:val="00B541E3"/>
    <w:rsid w:val="00B54E15"/>
    <w:rsid w:val="00B77F40"/>
    <w:rsid w:val="00B97CD9"/>
    <w:rsid w:val="00BB07F3"/>
    <w:rsid w:val="00BB4C00"/>
    <w:rsid w:val="00BB75B4"/>
    <w:rsid w:val="00C05510"/>
    <w:rsid w:val="00C22610"/>
    <w:rsid w:val="00C264D8"/>
    <w:rsid w:val="00C34622"/>
    <w:rsid w:val="00C3501B"/>
    <w:rsid w:val="00C37F66"/>
    <w:rsid w:val="00C50156"/>
    <w:rsid w:val="00C57724"/>
    <w:rsid w:val="00C7643B"/>
    <w:rsid w:val="00C95579"/>
    <w:rsid w:val="00CB74FC"/>
    <w:rsid w:val="00D1740B"/>
    <w:rsid w:val="00D259D0"/>
    <w:rsid w:val="00D31678"/>
    <w:rsid w:val="00D702BB"/>
    <w:rsid w:val="00D70D34"/>
    <w:rsid w:val="00D7141A"/>
    <w:rsid w:val="00D71701"/>
    <w:rsid w:val="00D91479"/>
    <w:rsid w:val="00DA60BF"/>
    <w:rsid w:val="00DB6ACF"/>
    <w:rsid w:val="00DC7F9B"/>
    <w:rsid w:val="00DD458A"/>
    <w:rsid w:val="00DE7EDB"/>
    <w:rsid w:val="00DF4CA7"/>
    <w:rsid w:val="00E1251C"/>
    <w:rsid w:val="00E15E8D"/>
    <w:rsid w:val="00E32220"/>
    <w:rsid w:val="00E47C74"/>
    <w:rsid w:val="00E53AE6"/>
    <w:rsid w:val="00E56693"/>
    <w:rsid w:val="00E66AD6"/>
    <w:rsid w:val="00E733EF"/>
    <w:rsid w:val="00E76B55"/>
    <w:rsid w:val="00E9244B"/>
    <w:rsid w:val="00EC0A85"/>
    <w:rsid w:val="00EE29D9"/>
    <w:rsid w:val="00F156EA"/>
    <w:rsid w:val="00F6010E"/>
    <w:rsid w:val="00F66304"/>
    <w:rsid w:val="00F74FAA"/>
    <w:rsid w:val="00F819C5"/>
    <w:rsid w:val="00F865CC"/>
    <w:rsid w:val="00F8717A"/>
    <w:rsid w:val="00F948EB"/>
    <w:rsid w:val="00FA787C"/>
    <w:rsid w:val="00FC1312"/>
    <w:rsid w:val="00FD7489"/>
    <w:rsid w:val="00FE1FCE"/>
    <w:rsid w:val="00FE33F3"/>
    <w:rsid w:val="00FF1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29E16"/>
  <w15:chartTrackingRefBased/>
  <w15:docId w15:val="{493709E1-3D37-4A76-9E31-FFC3CAAE2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CA5"/>
    <w:rPr>
      <w:rFonts w:ascii="Times New Roman" w:hAnsi="Times New Roman"/>
    </w:rPr>
  </w:style>
  <w:style w:type="paragraph" w:styleId="Heading1">
    <w:name w:val="heading 1"/>
    <w:basedOn w:val="Normal"/>
    <w:next w:val="Normal"/>
    <w:link w:val="Heading1Char"/>
    <w:uiPriority w:val="9"/>
    <w:qFormat/>
    <w:rsid w:val="00473CA5"/>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FE1FCE"/>
    <w:pPr>
      <w:keepNext/>
      <w:keepLines/>
      <w:spacing w:before="40" w:after="0"/>
      <w:outlineLvl w:val="1"/>
    </w:pPr>
    <w:rPr>
      <w:rFonts w:eastAsiaTheme="majorEastAsia" w:cstheme="majorBidi"/>
      <w:i/>
      <w:sz w:val="24"/>
      <w:szCs w:val="26"/>
    </w:rPr>
  </w:style>
  <w:style w:type="paragraph" w:styleId="Heading3">
    <w:name w:val="heading 3"/>
    <w:basedOn w:val="Normal"/>
    <w:next w:val="Normal"/>
    <w:link w:val="Heading3Char"/>
    <w:uiPriority w:val="9"/>
    <w:semiHidden/>
    <w:unhideWhenUsed/>
    <w:qFormat/>
    <w:rsid w:val="00532F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CA5"/>
    <w:rPr>
      <w:rFonts w:ascii="Times New Roman" w:eastAsiaTheme="majorEastAsia" w:hAnsi="Times New Roman" w:cstheme="majorBidi"/>
      <w:b/>
      <w:sz w:val="24"/>
      <w:szCs w:val="32"/>
    </w:rPr>
  </w:style>
  <w:style w:type="character" w:styleId="CommentReference">
    <w:name w:val="annotation reference"/>
    <w:basedOn w:val="DefaultParagraphFont"/>
    <w:uiPriority w:val="99"/>
    <w:semiHidden/>
    <w:unhideWhenUsed/>
    <w:rsid w:val="00473CA5"/>
    <w:rPr>
      <w:sz w:val="16"/>
      <w:szCs w:val="16"/>
    </w:rPr>
  </w:style>
  <w:style w:type="paragraph" w:styleId="CommentText">
    <w:name w:val="annotation text"/>
    <w:basedOn w:val="Normal"/>
    <w:link w:val="CommentTextChar"/>
    <w:uiPriority w:val="99"/>
    <w:semiHidden/>
    <w:unhideWhenUsed/>
    <w:rsid w:val="00473CA5"/>
    <w:pPr>
      <w:spacing w:line="240" w:lineRule="auto"/>
    </w:pPr>
    <w:rPr>
      <w:sz w:val="20"/>
      <w:szCs w:val="20"/>
    </w:rPr>
  </w:style>
  <w:style w:type="character" w:customStyle="1" w:styleId="CommentTextChar">
    <w:name w:val="Comment Text Char"/>
    <w:basedOn w:val="DefaultParagraphFont"/>
    <w:link w:val="CommentText"/>
    <w:uiPriority w:val="99"/>
    <w:semiHidden/>
    <w:rsid w:val="00473CA5"/>
    <w:rPr>
      <w:rFonts w:ascii="Times New Roman" w:hAnsi="Times New Roman"/>
      <w:sz w:val="20"/>
      <w:szCs w:val="20"/>
    </w:rPr>
  </w:style>
  <w:style w:type="character" w:styleId="Hyperlink">
    <w:name w:val="Hyperlink"/>
    <w:basedOn w:val="DefaultParagraphFont"/>
    <w:uiPriority w:val="99"/>
    <w:unhideWhenUsed/>
    <w:rsid w:val="00473CA5"/>
    <w:rPr>
      <w:color w:val="0563C1" w:themeColor="hyperlink"/>
      <w:u w:val="single"/>
    </w:rPr>
  </w:style>
  <w:style w:type="paragraph" w:styleId="BalloonText">
    <w:name w:val="Balloon Text"/>
    <w:basedOn w:val="Normal"/>
    <w:link w:val="BalloonTextChar"/>
    <w:uiPriority w:val="99"/>
    <w:semiHidden/>
    <w:unhideWhenUsed/>
    <w:rsid w:val="00473C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3CA5"/>
    <w:rPr>
      <w:rFonts w:ascii="Segoe UI" w:hAnsi="Segoe UI" w:cs="Segoe UI"/>
      <w:sz w:val="18"/>
      <w:szCs w:val="18"/>
    </w:rPr>
  </w:style>
  <w:style w:type="character" w:customStyle="1" w:styleId="Heading2Char">
    <w:name w:val="Heading 2 Char"/>
    <w:basedOn w:val="DefaultParagraphFont"/>
    <w:link w:val="Heading2"/>
    <w:uiPriority w:val="9"/>
    <w:rsid w:val="00FE1FCE"/>
    <w:rPr>
      <w:rFonts w:ascii="Times New Roman" w:eastAsiaTheme="majorEastAsia" w:hAnsi="Times New Roman" w:cstheme="majorBidi"/>
      <w:i/>
      <w:sz w:val="24"/>
      <w:szCs w:val="26"/>
    </w:rPr>
  </w:style>
  <w:style w:type="character" w:customStyle="1" w:styleId="Heading3Char">
    <w:name w:val="Heading 3 Char"/>
    <w:basedOn w:val="DefaultParagraphFont"/>
    <w:link w:val="Heading3"/>
    <w:uiPriority w:val="9"/>
    <w:semiHidden/>
    <w:rsid w:val="00532F6E"/>
    <w:rPr>
      <w:rFonts w:asciiTheme="majorHAnsi" w:eastAsiaTheme="majorEastAsia" w:hAnsiTheme="majorHAnsi" w:cstheme="majorBidi"/>
      <w:color w:val="1F4D78" w:themeColor="accent1" w:themeShade="7F"/>
      <w:sz w:val="24"/>
      <w:szCs w:val="24"/>
    </w:rPr>
  </w:style>
  <w:style w:type="paragraph" w:styleId="CommentSubject">
    <w:name w:val="annotation subject"/>
    <w:basedOn w:val="CommentText"/>
    <w:next w:val="CommentText"/>
    <w:link w:val="CommentSubjectChar"/>
    <w:uiPriority w:val="99"/>
    <w:semiHidden/>
    <w:unhideWhenUsed/>
    <w:rsid w:val="00532F6E"/>
    <w:rPr>
      <w:b/>
      <w:bCs/>
    </w:rPr>
  </w:style>
  <w:style w:type="character" w:customStyle="1" w:styleId="CommentSubjectChar">
    <w:name w:val="Comment Subject Char"/>
    <w:basedOn w:val="CommentTextChar"/>
    <w:link w:val="CommentSubject"/>
    <w:uiPriority w:val="99"/>
    <w:semiHidden/>
    <w:rsid w:val="00532F6E"/>
    <w:rPr>
      <w:rFonts w:ascii="Times New Roman" w:hAnsi="Times New Roman"/>
      <w:b/>
      <w:bCs/>
      <w:sz w:val="20"/>
      <w:szCs w:val="20"/>
    </w:rPr>
  </w:style>
  <w:style w:type="paragraph" w:styleId="ListParagraph">
    <w:name w:val="List Paragraph"/>
    <w:basedOn w:val="Normal"/>
    <w:uiPriority w:val="34"/>
    <w:qFormat/>
    <w:rsid w:val="009E0CF6"/>
    <w:pPr>
      <w:ind w:left="720"/>
      <w:contextualSpacing/>
    </w:pPr>
  </w:style>
  <w:style w:type="character" w:customStyle="1" w:styleId="UnresolvedMention">
    <w:name w:val="Unresolved Mention"/>
    <w:basedOn w:val="DefaultParagraphFont"/>
    <w:uiPriority w:val="99"/>
    <w:semiHidden/>
    <w:unhideWhenUsed/>
    <w:rsid w:val="0031494B"/>
    <w:rPr>
      <w:color w:val="605E5C"/>
      <w:shd w:val="clear" w:color="auto" w:fill="E1DFDD"/>
    </w:rPr>
  </w:style>
  <w:style w:type="paragraph" w:styleId="Revision">
    <w:name w:val="Revision"/>
    <w:hidden/>
    <w:uiPriority w:val="99"/>
    <w:semiHidden/>
    <w:rsid w:val="002150DD"/>
    <w:pPr>
      <w:spacing w:after="0" w:line="240" w:lineRule="auto"/>
    </w:pPr>
    <w:rPr>
      <w:rFonts w:ascii="Times New Roman" w:hAnsi="Times New Roman"/>
    </w:rPr>
  </w:style>
  <w:style w:type="paragraph" w:styleId="NormalWeb">
    <w:name w:val="Normal (Web)"/>
    <w:basedOn w:val="Normal"/>
    <w:uiPriority w:val="99"/>
    <w:semiHidden/>
    <w:unhideWhenUsed/>
    <w:rsid w:val="00B541E3"/>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BB4C0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B4C00"/>
    <w:rPr>
      <w:rFonts w:ascii="Consolas" w:hAnsi="Consolas"/>
      <w:sz w:val="20"/>
      <w:szCs w:val="20"/>
    </w:rPr>
  </w:style>
  <w:style w:type="character" w:customStyle="1" w:styleId="gnkrckgcgsb">
    <w:name w:val="gnkrckgcgsb"/>
    <w:basedOn w:val="DefaultParagraphFont"/>
    <w:rsid w:val="00BB4C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046803">
      <w:bodyDiv w:val="1"/>
      <w:marLeft w:val="0"/>
      <w:marRight w:val="0"/>
      <w:marTop w:val="0"/>
      <w:marBottom w:val="0"/>
      <w:divBdr>
        <w:top w:val="none" w:sz="0" w:space="0" w:color="auto"/>
        <w:left w:val="none" w:sz="0" w:space="0" w:color="auto"/>
        <w:bottom w:val="none" w:sz="0" w:space="0" w:color="auto"/>
        <w:right w:val="none" w:sz="0" w:space="0" w:color="auto"/>
      </w:divBdr>
    </w:div>
    <w:div w:id="940911353">
      <w:bodyDiv w:val="1"/>
      <w:marLeft w:val="0"/>
      <w:marRight w:val="0"/>
      <w:marTop w:val="0"/>
      <w:marBottom w:val="0"/>
      <w:divBdr>
        <w:top w:val="none" w:sz="0" w:space="0" w:color="auto"/>
        <w:left w:val="none" w:sz="0" w:space="0" w:color="auto"/>
        <w:bottom w:val="none" w:sz="0" w:space="0" w:color="auto"/>
        <w:right w:val="none" w:sz="0" w:space="0" w:color="auto"/>
      </w:divBdr>
    </w:div>
    <w:div w:id="954866823">
      <w:bodyDiv w:val="1"/>
      <w:marLeft w:val="0"/>
      <w:marRight w:val="0"/>
      <w:marTop w:val="0"/>
      <w:marBottom w:val="0"/>
      <w:divBdr>
        <w:top w:val="none" w:sz="0" w:space="0" w:color="auto"/>
        <w:left w:val="none" w:sz="0" w:space="0" w:color="auto"/>
        <w:bottom w:val="none" w:sz="0" w:space="0" w:color="auto"/>
        <w:right w:val="none" w:sz="0" w:space="0" w:color="auto"/>
      </w:divBdr>
    </w:div>
    <w:div w:id="991953284">
      <w:bodyDiv w:val="1"/>
      <w:marLeft w:val="0"/>
      <w:marRight w:val="0"/>
      <w:marTop w:val="0"/>
      <w:marBottom w:val="0"/>
      <w:divBdr>
        <w:top w:val="none" w:sz="0" w:space="0" w:color="auto"/>
        <w:left w:val="none" w:sz="0" w:space="0" w:color="auto"/>
        <w:bottom w:val="none" w:sz="0" w:space="0" w:color="auto"/>
        <w:right w:val="none" w:sz="0" w:space="0" w:color="auto"/>
      </w:divBdr>
    </w:div>
    <w:div w:id="1289820435">
      <w:bodyDiv w:val="1"/>
      <w:marLeft w:val="0"/>
      <w:marRight w:val="0"/>
      <w:marTop w:val="0"/>
      <w:marBottom w:val="0"/>
      <w:divBdr>
        <w:top w:val="none" w:sz="0" w:space="0" w:color="auto"/>
        <w:left w:val="none" w:sz="0" w:space="0" w:color="auto"/>
        <w:bottom w:val="none" w:sz="0" w:space="0" w:color="auto"/>
        <w:right w:val="none" w:sz="0" w:space="0" w:color="auto"/>
      </w:divBdr>
    </w:div>
    <w:div w:id="1560364587">
      <w:bodyDiv w:val="1"/>
      <w:marLeft w:val="0"/>
      <w:marRight w:val="0"/>
      <w:marTop w:val="0"/>
      <w:marBottom w:val="0"/>
      <w:divBdr>
        <w:top w:val="none" w:sz="0" w:space="0" w:color="auto"/>
        <w:left w:val="none" w:sz="0" w:space="0" w:color="auto"/>
        <w:bottom w:val="none" w:sz="0" w:space="0" w:color="auto"/>
        <w:right w:val="none" w:sz="0" w:space="0" w:color="auto"/>
      </w:divBdr>
    </w:div>
    <w:div w:id="1754662815">
      <w:bodyDiv w:val="1"/>
      <w:marLeft w:val="0"/>
      <w:marRight w:val="0"/>
      <w:marTop w:val="0"/>
      <w:marBottom w:val="0"/>
      <w:divBdr>
        <w:top w:val="none" w:sz="0" w:space="0" w:color="auto"/>
        <w:left w:val="none" w:sz="0" w:space="0" w:color="auto"/>
        <w:bottom w:val="none" w:sz="0" w:space="0" w:color="auto"/>
        <w:right w:val="none" w:sz="0" w:space="0" w:color="auto"/>
      </w:divBdr>
    </w:div>
    <w:div w:id="1795247601">
      <w:bodyDiv w:val="1"/>
      <w:marLeft w:val="0"/>
      <w:marRight w:val="0"/>
      <w:marTop w:val="0"/>
      <w:marBottom w:val="0"/>
      <w:divBdr>
        <w:top w:val="none" w:sz="0" w:space="0" w:color="auto"/>
        <w:left w:val="none" w:sz="0" w:space="0" w:color="auto"/>
        <w:bottom w:val="none" w:sz="0" w:space="0" w:color="auto"/>
        <w:right w:val="none" w:sz="0" w:space="0" w:color="auto"/>
      </w:divBdr>
    </w:div>
    <w:div w:id="199329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preimer@alaska.edu" TargetMode="External"/><Relationship Id="rId13" Type="http://schemas.openxmlformats.org/officeDocument/2006/relationships/hyperlink" Target="https://CRAN.R-project.org/package=rgeos" TargetMode="External"/><Relationship Id="rId18"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s://CRAN.R-project.org/package=maptools" TargetMode="External"/><Relationship Id="rId17" Type="http://schemas.openxmlformats.org/officeDocument/2006/relationships/hyperlink" Target="https://CRAN.R-project.org/package=ncdf4" TargetMode="External"/><Relationship Id="rId2" Type="http://schemas.openxmlformats.org/officeDocument/2006/relationships/numbering" Target="numbering.xml"/><Relationship Id="rId16" Type="http://schemas.openxmlformats.org/officeDocument/2006/relationships/hyperlink" Target="http://www.jstatsoft.org/v40/i0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o.sci.gsfc.nasa.gov/" TargetMode="External"/><Relationship Id="rId5" Type="http://schemas.openxmlformats.org/officeDocument/2006/relationships/webSettings" Target="webSettings.xml"/><Relationship Id="rId15" Type="http://schemas.openxmlformats.org/officeDocument/2006/relationships/hyperlink" Target="https://CRAN.R-project.org/package=raster" TargetMode="Externa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CRAN.R-project.org/package=virid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6E917-6D45-46CB-AF36-431008122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936</TotalTime>
  <Pages>12</Pages>
  <Words>6909</Words>
  <Characters>39383</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Jesika Reimer</dc:creator>
  <cp:keywords/>
  <dc:description/>
  <cp:lastModifiedBy>Amanda Droghini</cp:lastModifiedBy>
  <cp:revision>50</cp:revision>
  <dcterms:created xsi:type="dcterms:W3CDTF">2018-11-04T20:03:00Z</dcterms:created>
  <dcterms:modified xsi:type="dcterms:W3CDTF">2018-12-16T22:47:00Z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http://www.zotero.org/styles/ecology</vt:lpwstr>
  </property>
  <property fmtid="{D5CDD505-2E9C-101B-9397-08002B2CF9AE}" pid="9" name="Mendeley Recent Style Name 3_1">
    <vt:lpwstr>Ecology</vt:lpwstr>
  </property>
  <property fmtid="{D5CDD505-2E9C-101B-9397-08002B2CF9AE}" pid="10" name="Mendeley Recent Style Id 4_1">
    <vt:lpwstr>http://csl.mendeley.com/styles/102720561/ecology-AD</vt:lpwstr>
  </property>
  <property fmtid="{D5CDD505-2E9C-101B-9397-08002B2CF9AE}" pid="11" name="Mendeley Recent Style Name 4_1">
    <vt:lpwstr>Ecology - Amanda Droghini</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7th edition</vt:lpwstr>
  </property>
  <property fmtid="{D5CDD505-2E9C-101B-9397-08002B2CF9AE}" pid="16" name="Mendeley Recent Style Id 7_1">
    <vt:lpwstr>http://www.zotero.org/styles/plos-one</vt:lpwstr>
  </property>
  <property fmtid="{D5CDD505-2E9C-101B-9397-08002B2CF9AE}" pid="17" name="Mendeley Recent Style Name 7_1">
    <vt:lpwstr>PLOS ONE</vt:lpwstr>
  </property>
  <property fmtid="{D5CDD505-2E9C-101B-9397-08002B2CF9AE}" pid="18" name="Mendeley Recent Style Id 8_1">
    <vt:lpwstr>http://csl.mendeley.com/styles/102720561/polarbiol</vt:lpwstr>
  </property>
  <property fmtid="{D5CDD505-2E9C-101B-9397-08002B2CF9AE}" pid="19" name="Mendeley Recent Style Name 8_1">
    <vt:lpwstr>Pol. Biol. - Amanda Droghini</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ies>
</file>