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BÀI TẬP TỔNG HỢP AGILE &amp; SCRUM</w:t>
      </w:r>
    </w:p>
    <w:p>
      <w:pPr>
        <w:jc w:val="center"/>
      </w:pPr>
      <w:r>
        <w:rPr>
          <w:rFonts w:ascii="Times New Roman" w:hAnsi="Times New Roman"/>
          <w:b/>
          <w:sz w:val="28"/>
        </w:rPr>
        <w:t>QUẢN LÝ PRODUCT BACKLOG CHO CHƯƠNG TRÌNH “GREENMART LOYALTY”</w:t>
      </w:r>
    </w:p>
    <w:p>
      <w:pPr>
        <w:spacing w:after="200"/>
      </w:pPr>
      <w:r>
        <w:t>Họ và tên: ............................................................    Lớp: ................................</w:t>
      </w:r>
    </w:p>
    <w:p>
      <w:pPr>
        <w:pStyle w:val="Heading1"/>
      </w:pPr>
      <w:r>
        <w:t>PHẦN A — THIẾT KẾ VẬN HÀNH SCRUM</w:t>
      </w:r>
    </w:p>
    <w:p>
      <w:pPr>
        <w:pStyle w:val="Heading2"/>
      </w:pPr>
      <w:r>
        <w:t>1. Chọn độ dài Sprint</w:t>
      </w:r>
    </w:p>
    <w:p>
      <w:r>
        <w:t>Chọn Sprint 2 tuần, tổng cộng 4 Sprint trong 8 tuần. Độ dài này đủ để đội Hoa hoàn thành một phần chức năng có thể kiểm thử, đồng thời nhận phản hồi thường xuyên từ Marketing, Kế toán và người dùng để điều chỉnh ưu tiên kịp thời.</w:t>
      </w:r>
    </w:p>
    <w:p>
      <w:pPr>
        <w:pStyle w:val="Heading2"/>
      </w:pPr>
      <w:r>
        <w:t>2. Phân công 3 vai trò Scrum</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rFonts w:ascii="Times New Roman" w:hAnsi="Times New Roman" w:eastAsia="Times New Roman"/>
                <w:b/>
                <w:sz w:val="20"/>
              </w:rPr>
              <w:t>Vai trò</w:t>
            </w:r>
          </w:p>
        </w:tc>
        <w:tc>
          <w:tcPr>
            <w:tcW w:type="dxa" w:w="5040"/>
            <w:vAlign w:val="center"/>
            <w:shd w:fill="D9EAF7"/>
          </w:tcPr>
          <w:p>
            <w:pPr>
              <w:spacing w:after="0"/>
            </w:pPr>
            <w:r/>
            <w:r>
              <w:rPr>
                <w:rFonts w:ascii="Times New Roman" w:hAnsi="Times New Roman" w:eastAsia="Times New Roman"/>
                <w:b/>
                <w:sz w:val="20"/>
              </w:rPr>
              <w:t>Trách nhiệm chính</w:t>
            </w:r>
          </w:p>
        </w:tc>
      </w:tr>
      <w:tr>
        <w:tc>
          <w:tcPr>
            <w:tcW w:type="dxa" w:w="5040"/>
            <w:vAlign w:val="center"/>
          </w:tcPr>
          <w:p>
            <w:pPr>
              <w:spacing w:after="0"/>
            </w:pPr>
            <w:r/>
            <w:r>
              <w:rPr>
                <w:rFonts w:ascii="Times New Roman" w:hAnsi="Times New Roman" w:eastAsia="Times New Roman"/>
                <w:b/>
                <w:sz w:val="20"/>
              </w:rPr>
              <w:t>Product Owner (PO)</w:t>
            </w:r>
          </w:p>
        </w:tc>
        <w:tc>
          <w:tcPr>
            <w:tcW w:type="dxa" w:w="5040"/>
            <w:vAlign w:val="center"/>
          </w:tcPr>
          <w:p>
            <w:pPr>
              <w:spacing w:after="0"/>
            </w:pPr>
            <w:r/>
            <w:r>
              <w:rPr>
                <w:rFonts w:ascii="Times New Roman" w:hAnsi="Times New Roman" w:eastAsia="Times New Roman"/>
                <w:b w:val="0"/>
                <w:sz w:val="20"/>
              </w:rPr>
              <w:t>Chịu trách nhiệm tối đa hóa giá trị sản phẩm; làm rõ mục tiêu Loyalty; thu thập yêu cầu từ Marketing, Kế toán và người dùng; sắp xếp thứ tự Product Backlog; xác nhận mức độ ưu tiên và làm rõ tiêu chí chấp nhận.</w:t>
            </w:r>
          </w:p>
        </w:tc>
      </w:tr>
      <w:tr>
        <w:tc>
          <w:tcPr>
            <w:tcW w:type="dxa" w:w="5040"/>
            <w:vAlign w:val="center"/>
          </w:tcPr>
          <w:p>
            <w:pPr>
              <w:spacing w:after="0"/>
            </w:pPr>
            <w:r/>
            <w:r>
              <w:rPr>
                <w:rFonts w:ascii="Times New Roman" w:hAnsi="Times New Roman" w:eastAsia="Times New Roman"/>
                <w:b/>
                <w:sz w:val="20"/>
              </w:rPr>
              <w:t>Scrum Master (SM)</w:t>
            </w:r>
          </w:p>
        </w:tc>
        <w:tc>
          <w:tcPr>
            <w:tcW w:type="dxa" w:w="5040"/>
            <w:vAlign w:val="center"/>
          </w:tcPr>
          <w:p>
            <w:pPr>
              <w:spacing w:after="0"/>
            </w:pPr>
            <w:r/>
            <w:r>
              <w:rPr>
                <w:rFonts w:ascii="Times New Roman" w:hAnsi="Times New Roman" w:eastAsia="Times New Roman"/>
                <w:b w:val="0"/>
                <w:sz w:val="20"/>
              </w:rPr>
              <w:t>Giúp đội hiểu và thực hiện Scrum; tổ chức/hỗ trợ các sự kiện Scrum; gỡ bỏ trở ngại; bảo vệ đội khỏi các yêu cầu chen ngang làm ảnh hưởng Sprint Goal; hỗ trợ các bên liên quan hiểu quy trình xử lý thay đổi.</w:t>
            </w:r>
          </w:p>
        </w:tc>
      </w:tr>
      <w:tr>
        <w:tc>
          <w:tcPr>
            <w:tcW w:type="dxa" w:w="5040"/>
            <w:vAlign w:val="center"/>
          </w:tcPr>
          <w:p>
            <w:pPr>
              <w:spacing w:after="0"/>
            </w:pPr>
            <w:r/>
            <w:r>
              <w:rPr>
                <w:rFonts w:ascii="Times New Roman" w:hAnsi="Times New Roman" w:eastAsia="Times New Roman"/>
                <w:b/>
                <w:sz w:val="20"/>
              </w:rPr>
              <w:t>Development Team</w:t>
            </w:r>
          </w:p>
        </w:tc>
        <w:tc>
          <w:tcPr>
            <w:tcW w:type="dxa" w:w="5040"/>
            <w:vAlign w:val="center"/>
          </w:tcPr>
          <w:p>
            <w:pPr>
              <w:spacing w:after="0"/>
            </w:pPr>
            <w:r/>
            <w:r>
              <w:rPr>
                <w:rFonts w:ascii="Times New Roman" w:hAnsi="Times New Roman" w:eastAsia="Times New Roman"/>
                <w:b w:val="0"/>
                <w:sz w:val="20"/>
              </w:rPr>
              <w:t>Tự tổ chức để phân tích, thiết kế, lập trình, kiểm thử và tích hợp các chức năng; ước lượng công việc; xây dựng Increment đáp ứng Definition of Done; báo cáo tiến độ minh bạch và phối hợp sửa lỗi.</w:t>
            </w:r>
          </w:p>
        </w:tc>
      </w:tr>
    </w:tbl>
    <w:p>
      <w:pPr>
        <w:pStyle w:val="Heading2"/>
      </w:pPr>
      <w:r>
        <w:t>3. Sự kiện Scrum quan trọng</w:t>
      </w:r>
    </w:p>
    <w:p>
      <w:r>
        <w:t>Sprint Review là sự kiện quan trọng vì đội trình bày Increment đã hoàn thành cho các bên liên quan và nhận phản hồi thực tế. Sự kiện này thể hiện rõ trụ cột Thanh tra (kiểm tra kết quả so với mục tiêu) và Thích nghi (điều chỉnh Product Backlog dựa trên phản hồi).</w:t>
      </w:r>
    </w:p>
    <w:p>
      <w:pPr>
        <w:pStyle w:val="Heading1"/>
      </w:pPr>
      <w:r>
        <w:t>PHẦN B — PRODUCT BACKLOG &amp; ƯU TIÊN HÓA MOSCOW</w:t>
      </w:r>
    </w:p>
    <w:p>
      <w:pPr>
        <w:pStyle w:val="Heading2"/>
      </w:pPr>
      <w:r>
        <w:t>1. Tiêu chí ưu tiên</w:t>
      </w:r>
    </w:p>
    <w:p>
      <w:r>
        <w:t>Must have: thiếu chức năng thì không thể vận hành Loyalty đúng quy tắc hoặc không bảo đảm tính chính xác tài chính. Should have: tăng độ tin cậy/minh bạch và hỗ trợ vận hành nhưng có thể triển khai sau nhóm Must. Could have: cải thiện trải nghiệm, không ảnh hưởng luồng cốt lõi. Won’t have this time: chưa làm trong 8 tuần vì chưa cần thiết cho phiên bản đầu hoặc có rủi ro mở rộng phạm vi.</w:t>
      </w:r>
    </w:p>
    <w:p>
      <w:pPr>
        <w:pStyle w:val="Heading2"/>
      </w:pPr>
      <w:r>
        <w:t>2. Product Backlog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rFonts w:ascii="Times New Roman" w:hAnsi="Times New Roman" w:eastAsia="Times New Roman"/>
                <w:b/>
                <w:sz w:val="20"/>
              </w:rPr>
              <w:t>Hạng mục</w:t>
            </w:r>
          </w:p>
        </w:tc>
        <w:tc>
          <w:tcPr>
            <w:tcW w:type="dxa" w:w="3360"/>
            <w:vAlign w:val="center"/>
            <w:shd w:fill="D9EAF7"/>
          </w:tcPr>
          <w:p>
            <w:pPr>
              <w:spacing w:after="0"/>
            </w:pPr>
            <w:r/>
            <w:r>
              <w:rPr>
                <w:rFonts w:ascii="Times New Roman" w:hAnsi="Times New Roman" w:eastAsia="Times New Roman"/>
                <w:b/>
                <w:sz w:val="20"/>
              </w:rPr>
              <w:t>MoSCoW</w:t>
            </w:r>
          </w:p>
        </w:tc>
        <w:tc>
          <w:tcPr>
            <w:tcW w:type="dxa" w:w="3360"/>
            <w:vAlign w:val="center"/>
            <w:shd w:fill="D9EAF7"/>
          </w:tcPr>
          <w:p>
            <w:pPr>
              <w:spacing w:after="0"/>
            </w:pPr>
            <w:r/>
            <w:r>
              <w:rPr>
                <w:rFonts w:ascii="Times New Roman" w:hAnsi="Times New Roman" w:eastAsia="Times New Roman"/>
                <w:b/>
                <w:sz w:val="20"/>
              </w:rPr>
              <w:t>Lý do ưu tiên</w:t>
            </w:r>
          </w:p>
        </w:tc>
      </w:tr>
      <w:tr>
        <w:tc>
          <w:tcPr>
            <w:tcW w:type="dxa" w:w="3360"/>
            <w:vAlign w:val="center"/>
          </w:tcPr>
          <w:p>
            <w:pPr>
              <w:spacing w:after="0"/>
            </w:pPr>
            <w:r/>
            <w:r>
              <w:rPr>
                <w:rFonts w:ascii="Times New Roman" w:hAnsi="Times New Roman" w:eastAsia="Times New Roman"/>
                <w:b w:val="0"/>
                <w:sz w:val="20"/>
              </w:rPr>
              <w:t>PB1. Tích điểm sau đơn hàng thành công</w:t>
            </w:r>
          </w:p>
        </w:tc>
        <w:tc>
          <w:tcPr>
            <w:tcW w:type="dxa" w:w="3360"/>
            <w:vAlign w:val="center"/>
          </w:tcPr>
          <w:p>
            <w:pPr>
              <w:spacing w:after="0"/>
            </w:pPr>
            <w:r/>
            <w:r>
              <w:rPr>
                <w:rFonts w:ascii="Times New Roman" w:hAnsi="Times New Roman" w:eastAsia="Times New Roman"/>
                <w:b w:val="0"/>
                <w:sz w:val="20"/>
              </w:rPr>
              <w:t>Must have</w:t>
            </w:r>
          </w:p>
        </w:tc>
        <w:tc>
          <w:tcPr>
            <w:tcW w:type="dxa" w:w="3360"/>
            <w:vAlign w:val="center"/>
          </w:tcPr>
          <w:p>
            <w:pPr>
              <w:spacing w:after="0"/>
            </w:pPr>
            <w:r/>
            <w:r>
              <w:rPr>
                <w:rFonts w:ascii="Times New Roman" w:hAnsi="Times New Roman" w:eastAsia="Times New Roman"/>
                <w:b w:val="0"/>
                <w:sz w:val="20"/>
              </w:rPr>
              <w:t>Cốt lõi của chương trình; tính 1 điểm mỗi 10.000đ theo giá trị đủ điều kiện của đơn hàng.</w:t>
            </w:r>
          </w:p>
        </w:tc>
      </w:tr>
      <w:tr>
        <w:tc>
          <w:tcPr>
            <w:tcW w:type="dxa" w:w="3360"/>
            <w:vAlign w:val="center"/>
          </w:tcPr>
          <w:p>
            <w:pPr>
              <w:spacing w:after="0"/>
            </w:pPr>
            <w:r/>
            <w:r>
              <w:rPr>
                <w:rFonts w:ascii="Times New Roman" w:hAnsi="Times New Roman" w:eastAsia="Times New Roman"/>
                <w:b w:val="0"/>
                <w:sz w:val="20"/>
              </w:rPr>
              <w:t>PB2. Thu hồi điểm khi đơn bị hủy/hoàn</w:t>
            </w:r>
          </w:p>
        </w:tc>
        <w:tc>
          <w:tcPr>
            <w:tcW w:type="dxa" w:w="3360"/>
            <w:vAlign w:val="center"/>
          </w:tcPr>
          <w:p>
            <w:pPr>
              <w:spacing w:after="0"/>
            </w:pPr>
            <w:r/>
            <w:r>
              <w:rPr>
                <w:rFonts w:ascii="Times New Roman" w:hAnsi="Times New Roman" w:eastAsia="Times New Roman"/>
                <w:b w:val="0"/>
                <w:sz w:val="20"/>
              </w:rPr>
              <w:t>Must have</w:t>
            </w:r>
          </w:p>
        </w:tc>
        <w:tc>
          <w:tcPr>
            <w:tcW w:type="dxa" w:w="3360"/>
            <w:vAlign w:val="center"/>
          </w:tcPr>
          <w:p>
            <w:pPr>
              <w:spacing w:after="0"/>
            </w:pPr>
            <w:r/>
            <w:r>
              <w:rPr>
                <w:rFonts w:ascii="Times New Roman" w:hAnsi="Times New Roman" w:eastAsia="Times New Roman"/>
                <w:b w:val="0"/>
                <w:sz w:val="20"/>
              </w:rPr>
              <w:t>Bảo đảm số dư điểm chính xác, tránh khách giữ điểm từ giao dịch không còn hợp lệ.</w:t>
            </w:r>
          </w:p>
        </w:tc>
      </w:tr>
      <w:tr>
        <w:tc>
          <w:tcPr>
            <w:tcW w:type="dxa" w:w="3360"/>
            <w:vAlign w:val="center"/>
          </w:tcPr>
          <w:p>
            <w:pPr>
              <w:spacing w:after="0"/>
            </w:pPr>
            <w:r/>
            <w:r>
              <w:rPr>
                <w:rFonts w:ascii="Times New Roman" w:hAnsi="Times New Roman" w:eastAsia="Times New Roman"/>
                <w:b w:val="0"/>
                <w:sz w:val="20"/>
              </w:rPr>
              <w:t>PB3. Đổi điểm lấy giá trị giảm giá</w:t>
            </w:r>
          </w:p>
        </w:tc>
        <w:tc>
          <w:tcPr>
            <w:tcW w:type="dxa" w:w="3360"/>
            <w:vAlign w:val="center"/>
          </w:tcPr>
          <w:p>
            <w:pPr>
              <w:spacing w:after="0"/>
            </w:pPr>
            <w:r/>
            <w:r>
              <w:rPr>
                <w:rFonts w:ascii="Times New Roman" w:hAnsi="Times New Roman" w:eastAsia="Times New Roman"/>
                <w:b w:val="0"/>
                <w:sz w:val="20"/>
              </w:rPr>
              <w:t>Must have</w:t>
            </w:r>
          </w:p>
        </w:tc>
        <w:tc>
          <w:tcPr>
            <w:tcW w:type="dxa" w:w="3360"/>
            <w:vAlign w:val="center"/>
          </w:tcPr>
          <w:p>
            <w:pPr>
              <w:spacing w:after="0"/>
            </w:pPr>
            <w:r/>
            <w:r>
              <w:rPr>
                <w:rFonts w:ascii="Times New Roman" w:hAnsi="Times New Roman" w:eastAsia="Times New Roman"/>
                <w:b w:val="0"/>
                <w:sz w:val="20"/>
              </w:rPr>
              <w:t>Đáp ứng mục tiêu đổi điểm; áp dụng tỷ lệ 100 điểm = 20.000đ và kiểm tra số dư trước khi đổi.</w:t>
            </w:r>
          </w:p>
        </w:tc>
      </w:tr>
      <w:tr>
        <w:tc>
          <w:tcPr>
            <w:tcW w:type="dxa" w:w="3360"/>
            <w:vAlign w:val="center"/>
          </w:tcPr>
          <w:p>
            <w:pPr>
              <w:spacing w:after="0"/>
            </w:pPr>
            <w:r/>
            <w:r>
              <w:rPr>
                <w:rFonts w:ascii="Times New Roman" w:hAnsi="Times New Roman" w:eastAsia="Times New Roman"/>
                <w:b w:val="0"/>
                <w:sz w:val="20"/>
              </w:rPr>
              <w:t>PB4. Xem số dư và lịch sử tích/đổi điểm</w:t>
            </w:r>
          </w:p>
        </w:tc>
        <w:tc>
          <w:tcPr>
            <w:tcW w:type="dxa" w:w="3360"/>
            <w:vAlign w:val="center"/>
          </w:tcPr>
          <w:p>
            <w:pPr>
              <w:spacing w:after="0"/>
            </w:pPr>
            <w:r/>
            <w:r>
              <w:rPr>
                <w:rFonts w:ascii="Times New Roman" w:hAnsi="Times New Roman" w:eastAsia="Times New Roman"/>
                <w:b w:val="0"/>
                <w:sz w:val="20"/>
              </w:rPr>
              <w:t>Must have</w:t>
            </w:r>
          </w:p>
        </w:tc>
        <w:tc>
          <w:tcPr>
            <w:tcW w:type="dxa" w:w="3360"/>
            <w:vAlign w:val="center"/>
          </w:tcPr>
          <w:p>
            <w:pPr>
              <w:spacing w:after="0"/>
            </w:pPr>
            <w:r/>
            <w:r>
              <w:rPr>
                <w:rFonts w:ascii="Times New Roman" w:hAnsi="Times New Roman" w:eastAsia="Times New Roman"/>
                <w:b w:val="0"/>
                <w:sz w:val="20"/>
              </w:rPr>
              <w:t>Giúp khách và Kế toán đối chiếu giao dịch, tăng minh bạch.</w:t>
            </w:r>
          </w:p>
        </w:tc>
      </w:tr>
      <w:tr>
        <w:tc>
          <w:tcPr>
            <w:tcW w:type="dxa" w:w="3360"/>
            <w:vAlign w:val="center"/>
          </w:tcPr>
          <w:p>
            <w:pPr>
              <w:spacing w:after="0"/>
            </w:pPr>
            <w:r/>
            <w:r>
              <w:rPr>
                <w:rFonts w:ascii="Times New Roman" w:hAnsi="Times New Roman" w:eastAsia="Times New Roman"/>
                <w:b w:val="0"/>
                <w:sz w:val="20"/>
              </w:rPr>
              <w:t>PB5. Hiển thị ngày hết hạn và tự trừ điểm sau 12 tháng</w:t>
            </w:r>
          </w:p>
        </w:tc>
        <w:tc>
          <w:tcPr>
            <w:tcW w:type="dxa" w:w="3360"/>
            <w:vAlign w:val="center"/>
          </w:tcPr>
          <w:p>
            <w:pPr>
              <w:spacing w:after="0"/>
            </w:pPr>
            <w:r/>
            <w:r>
              <w:rPr>
                <w:rFonts w:ascii="Times New Roman" w:hAnsi="Times New Roman" w:eastAsia="Times New Roman"/>
                <w:b w:val="0"/>
                <w:sz w:val="20"/>
              </w:rPr>
              <w:t>Must have</w:t>
            </w:r>
          </w:p>
        </w:tc>
        <w:tc>
          <w:tcPr>
            <w:tcW w:type="dxa" w:w="3360"/>
            <w:vAlign w:val="center"/>
          </w:tcPr>
          <w:p>
            <w:pPr>
              <w:spacing w:after="0"/>
            </w:pPr>
            <w:r/>
            <w:r>
              <w:rPr>
                <w:rFonts w:ascii="Times New Roman" w:hAnsi="Times New Roman" w:eastAsia="Times New Roman"/>
                <w:b w:val="0"/>
                <w:sz w:val="20"/>
              </w:rPr>
              <w:t>Bắt buộc để thực thi quy tắc hiệu lực điểm và tránh số dư sai.</w:t>
            </w:r>
          </w:p>
        </w:tc>
      </w:tr>
      <w:tr>
        <w:tc>
          <w:tcPr>
            <w:tcW w:type="dxa" w:w="3360"/>
            <w:vAlign w:val="center"/>
          </w:tcPr>
          <w:p>
            <w:pPr>
              <w:spacing w:after="0"/>
            </w:pPr>
            <w:r/>
            <w:r>
              <w:rPr>
                <w:rFonts w:ascii="Times New Roman" w:hAnsi="Times New Roman" w:eastAsia="Times New Roman"/>
                <w:b w:val="0"/>
                <w:sz w:val="20"/>
              </w:rPr>
              <w:t>PB6. Thông báo điểm sắp hết hạn</w:t>
            </w:r>
          </w:p>
        </w:tc>
        <w:tc>
          <w:tcPr>
            <w:tcW w:type="dxa" w:w="3360"/>
            <w:vAlign w:val="center"/>
          </w:tcPr>
          <w:p>
            <w:pPr>
              <w:spacing w:after="0"/>
            </w:pPr>
            <w:r/>
            <w:r>
              <w:rPr>
                <w:rFonts w:ascii="Times New Roman" w:hAnsi="Times New Roman" w:eastAsia="Times New Roman"/>
                <w:b w:val="0"/>
                <w:sz w:val="20"/>
              </w:rPr>
              <w:t>Should have</w:t>
            </w:r>
          </w:p>
        </w:tc>
        <w:tc>
          <w:tcPr>
            <w:tcW w:type="dxa" w:w="3360"/>
            <w:vAlign w:val="center"/>
          </w:tcPr>
          <w:p>
            <w:pPr>
              <w:spacing w:after="0"/>
            </w:pPr>
            <w:r/>
            <w:r>
              <w:rPr>
                <w:rFonts w:ascii="Times New Roman" w:hAnsi="Times New Roman" w:eastAsia="Times New Roman"/>
                <w:b w:val="0"/>
                <w:sz w:val="20"/>
              </w:rPr>
              <w:t>Giúp khách sử dụng điểm kịp thời nhưng không bắt buộc để tính điểm chính xác.</w:t>
            </w:r>
          </w:p>
        </w:tc>
      </w:tr>
      <w:tr>
        <w:tc>
          <w:tcPr>
            <w:tcW w:type="dxa" w:w="3360"/>
            <w:vAlign w:val="center"/>
          </w:tcPr>
          <w:p>
            <w:pPr>
              <w:spacing w:after="0"/>
            </w:pPr>
            <w:r/>
            <w:r>
              <w:rPr>
                <w:rFonts w:ascii="Times New Roman" w:hAnsi="Times New Roman" w:eastAsia="Times New Roman"/>
                <w:b w:val="0"/>
                <w:sz w:val="20"/>
              </w:rPr>
              <w:t>PB7. Trang quản trị báo cáo tổng hợp Loyalty</w:t>
            </w:r>
          </w:p>
        </w:tc>
        <w:tc>
          <w:tcPr>
            <w:tcW w:type="dxa" w:w="3360"/>
            <w:vAlign w:val="center"/>
          </w:tcPr>
          <w:p>
            <w:pPr>
              <w:spacing w:after="0"/>
            </w:pPr>
            <w:r/>
            <w:r>
              <w:rPr>
                <w:rFonts w:ascii="Times New Roman" w:hAnsi="Times New Roman" w:eastAsia="Times New Roman"/>
                <w:b w:val="0"/>
                <w:sz w:val="20"/>
              </w:rPr>
              <w:t>Should have</w:t>
            </w:r>
          </w:p>
        </w:tc>
        <w:tc>
          <w:tcPr>
            <w:tcW w:type="dxa" w:w="3360"/>
            <w:vAlign w:val="center"/>
          </w:tcPr>
          <w:p>
            <w:pPr>
              <w:spacing w:after="0"/>
            </w:pPr>
            <w:r/>
            <w:r>
              <w:rPr>
                <w:rFonts w:ascii="Times New Roman" w:hAnsi="Times New Roman" w:eastAsia="Times New Roman"/>
                <w:b w:val="0"/>
                <w:sz w:val="20"/>
              </w:rPr>
              <w:t>Hỗ trợ Marketing/Kế toán theo dõi hiệu quả và đối soát tổng quan.</w:t>
            </w:r>
          </w:p>
        </w:tc>
      </w:tr>
      <w:tr>
        <w:tc>
          <w:tcPr>
            <w:tcW w:type="dxa" w:w="3360"/>
            <w:vAlign w:val="center"/>
          </w:tcPr>
          <w:p>
            <w:pPr>
              <w:spacing w:after="0"/>
            </w:pPr>
            <w:r/>
            <w:r>
              <w:rPr>
                <w:rFonts w:ascii="Times New Roman" w:hAnsi="Times New Roman" w:eastAsia="Times New Roman"/>
                <w:b w:val="0"/>
                <w:sz w:val="20"/>
              </w:rPr>
              <w:t>PB8. Gợi ý ưu đãi cá nhân hóa theo lịch sử mua</w:t>
            </w:r>
          </w:p>
        </w:tc>
        <w:tc>
          <w:tcPr>
            <w:tcW w:type="dxa" w:w="3360"/>
            <w:vAlign w:val="center"/>
          </w:tcPr>
          <w:p>
            <w:pPr>
              <w:spacing w:after="0"/>
            </w:pPr>
            <w:r/>
            <w:r>
              <w:rPr>
                <w:rFonts w:ascii="Times New Roman" w:hAnsi="Times New Roman" w:eastAsia="Times New Roman"/>
                <w:b w:val="0"/>
                <w:sz w:val="20"/>
              </w:rPr>
              <w:t>Could have</w:t>
            </w:r>
          </w:p>
        </w:tc>
        <w:tc>
          <w:tcPr>
            <w:tcW w:type="dxa" w:w="3360"/>
            <w:vAlign w:val="center"/>
          </w:tcPr>
          <w:p>
            <w:pPr>
              <w:spacing w:after="0"/>
            </w:pPr>
            <w:r/>
            <w:r>
              <w:rPr>
                <w:rFonts w:ascii="Times New Roman" w:hAnsi="Times New Roman" w:eastAsia="Times New Roman"/>
                <w:b w:val="0"/>
                <w:sz w:val="20"/>
              </w:rPr>
              <w:t>Tăng trải nghiệm nhưng không cần cho luồng tích/đổi điểm cơ bản.</w:t>
            </w:r>
          </w:p>
        </w:tc>
      </w:tr>
      <w:tr>
        <w:tc>
          <w:tcPr>
            <w:tcW w:type="dxa" w:w="3360"/>
            <w:vAlign w:val="center"/>
          </w:tcPr>
          <w:p>
            <w:pPr>
              <w:spacing w:after="0"/>
            </w:pPr>
            <w:r/>
            <w:r>
              <w:rPr>
                <w:rFonts w:ascii="Times New Roman" w:hAnsi="Times New Roman" w:eastAsia="Times New Roman"/>
                <w:b w:val="0"/>
                <w:sz w:val="20"/>
              </w:rPr>
              <w:t>PB9. Chia sẻ điểm giữa các tài khoản</w:t>
            </w:r>
          </w:p>
        </w:tc>
        <w:tc>
          <w:tcPr>
            <w:tcW w:type="dxa" w:w="3360"/>
            <w:vAlign w:val="center"/>
          </w:tcPr>
          <w:p>
            <w:pPr>
              <w:spacing w:after="0"/>
            </w:pPr>
            <w:r/>
            <w:r>
              <w:rPr>
                <w:rFonts w:ascii="Times New Roman" w:hAnsi="Times New Roman" w:eastAsia="Times New Roman"/>
                <w:b w:val="0"/>
                <w:sz w:val="20"/>
              </w:rPr>
              <w:t>Won’t have this time</w:t>
            </w:r>
          </w:p>
        </w:tc>
        <w:tc>
          <w:tcPr>
            <w:tcW w:type="dxa" w:w="3360"/>
            <w:vAlign w:val="center"/>
          </w:tcPr>
          <w:p>
            <w:pPr>
              <w:spacing w:after="0"/>
            </w:pPr>
            <w:r/>
            <w:r>
              <w:rPr>
                <w:rFonts w:ascii="Times New Roman" w:hAnsi="Times New Roman" w:eastAsia="Times New Roman"/>
                <w:b w:val="0"/>
                <w:sz w:val="20"/>
              </w:rPr>
              <w:t>Tăng độ phức tạp và nguy cơ gian lận; ngoài phạm vi phiên bản 8 tuần.</w:t>
            </w:r>
          </w:p>
        </w:tc>
      </w:tr>
    </w:tbl>
    <w:p>
      <w:r>
        <w:t>Lưu ý nghiệp vụ: ưu đãi không cộng dồn, trừ khi hệ thống xác nhận rõ việc cộng dồn. Quy tắc này cần được kiểm tra khi áp dụng giảm giá đổi điểm.</w:t>
      </w:r>
    </w:p>
    <w:p>
      <w:pPr>
        <w:pStyle w:val="Heading2"/>
      </w:pPr>
      <w:r>
        <w:t>3. Hạng mục đưa vào Sprint 1</w:t>
      </w:r>
    </w:p>
    <w:p>
      <w:r>
        <w:t>Sprint Goal: xây dựng luồng Loyalty cốt lõi có thể ghi nhận điểm chính xác và cho khách kiểm tra số dư.</w:t>
      </w:r>
    </w:p>
    <w:p>
      <w:pPr>
        <w:pStyle w:val="ListBullet"/>
      </w:pPr>
      <w:r>
        <w:t>PB1 — Tích điểm sau đơn hàng thành công.</w:t>
      </w:r>
    </w:p>
    <w:p>
      <w:pPr>
        <w:pStyle w:val="ListBullet"/>
      </w:pPr>
      <w:r>
        <w:t>PB2 — Thu hồi điểm khi đơn bị hủy/hoàn.</w:t>
      </w:r>
    </w:p>
    <w:p>
      <w:pPr>
        <w:pStyle w:val="ListBullet"/>
      </w:pPr>
      <w:r>
        <w:t>PB3 — Đổi điểm lấy giá trị giảm giá.</w:t>
      </w:r>
    </w:p>
    <w:p>
      <w:pPr>
        <w:pStyle w:val="ListBullet"/>
      </w:pPr>
      <w:r>
        <w:t>PB4 — Xem số dư và lịch sử tích/đổi điểm.</w:t>
      </w:r>
    </w:p>
    <w:p>
      <w:pPr>
        <w:pStyle w:val="ListBullet"/>
      </w:pPr>
      <w:r>
        <w:t>PB5 — Hiển thị ngày hết hạn và tự trừ điểm sau 12 tháng.</w:t>
      </w:r>
    </w:p>
    <w:p>
      <w:r>
        <w:t>Sprint 1 chỉ chọn 5 hạng mục Must have, không chọn thêm Should have. Cách chốt này tuân thủ giới hạn nguồn lực đã nêu và ưu tiên hoàn thành đầy đủ các chức năng bắt buộc trước.</w:t>
      </w:r>
    </w:p>
    <w:p>
      <w:pPr>
        <w:pStyle w:val="Heading1"/>
      </w:pPr>
      <w:r>
        <w:t>PHẦN C — ACCEPTANCE CRITERIA &amp; DEFINITION OF DONE</w:t>
      </w:r>
    </w:p>
    <w:p>
      <w:pPr>
        <w:pStyle w:val="Heading2"/>
      </w:pPr>
      <w:r>
        <w:t>1. Hạng mục được chọn: PB1 — Tích điểm sau đơn hàng thành công</w:t>
      </w:r>
    </w:p>
    <w:p>
      <w:r>
        <w:t>AC1 — Tích điểm đúng khi đơn thành công</w:t>
      </w:r>
    </w:p>
    <w:p>
      <w:r>
        <w:t>Given khách hàng có đơn hàng trị giá 50.000đ và đơn được xác nhận thành công, When hệ thống xử lý giao dịch tích điểm, Then hệ thống cộng 5 điểm vào tài khoản khách hàng và ghi lại giao dịch tích điểm.</w:t>
      </w:r>
    </w:p>
    <w:p>
      <w:r>
        <w:t>AC2 — Không tích điểm cho đơn chưa thành công</w:t>
      </w:r>
    </w:p>
    <w:p>
      <w:r>
        <w:t>Given đơn hàng đang ở trạng thái chờ thanh toán hoặc thanh toán thất bại, When hệ thống xử lý đơn, Then hệ thống không cộng điểm và không tạo giao dịch tích điểm hợp lệ.</w:t>
      </w:r>
    </w:p>
    <w:p>
      <w:r>
        <w:t>AC3 — Đơn bị hủy/hoàn sau khi đã tích điểm</w:t>
      </w:r>
    </w:p>
    <w:p>
      <w:r>
        <w:t>Given đơn hàng thành công đã được cộng 5 điểm, When đơn đó bị hủy hoặc hoàn theo trạng thái được hệ thống xác nhận, Then hệ thống thu hồi đúng 5 điểm đã cấp cho đơn đó, ghi nhận giao dịch điều chỉnh và không làm số dư bị trừ lặp nếu sự kiện hủy/hoàn được gửi lại.</w:t>
      </w:r>
    </w:p>
    <w:p>
      <w:r>
        <w:t>AC4 — Giá trị đơn không đủ ngưỡng điểm</w:t>
      </w:r>
    </w:p>
    <w:p>
      <w:r>
        <w:t>Given đơn hàng thành công có giá trị đủ điều kiện là 9.999đ, When hệ thống tính điểm theo quy tắc 10.000đ = 1 điểm, Then hệ thống không cộng điểm cho phần giá trị chưa đạt 10.000đ; cách xử lý phần dư phải nhất quán và được ghi rõ trong đặc tả nghiệp vụ.</w:t>
      </w:r>
    </w:p>
    <w:p>
      <w:pPr>
        <w:pStyle w:val="Heading2"/>
      </w:pPr>
      <w:r>
        <w:t>2. Definition of Done (DoD) cho Sprint 1</w:t>
      </w:r>
    </w:p>
    <w:p>
      <w:pPr>
        <w:pStyle w:val="ListBullet"/>
      </w:pPr>
      <w:r>
        <w:t>Mã nguồn đã được review bởi ít nhất một thành viên khác và hợp nhất vào nhánh tích hợp theo quy trình của đội.</w:t>
      </w:r>
    </w:p>
    <w:p>
      <w:pPr>
        <w:pStyle w:val="ListBullet"/>
      </w:pPr>
      <w:r>
        <w:t>Các kiểm thử đơn vị và kiểm thử tích hợp liên quan đều chạy thành công; không còn lỗi nghiêm trọng hoặc lỗi chặn phát hành.</w:t>
      </w:r>
    </w:p>
    <w:p>
      <w:pPr>
        <w:pStyle w:val="ListBullet"/>
      </w:pPr>
      <w:r>
        <w:t>Chức năng được triển khai trên môi trường kiểm thử và có hướng dẫn sử dụng/ghi chú kỹ thuật cần thiết.</w:t>
      </w:r>
    </w:p>
    <w:p>
      <w:pPr>
        <w:pStyle w:val="ListBullet"/>
      </w:pPr>
      <w:r>
        <w:t>Các giao dịch điểm có nhật ký đủ thông tin để truy vết, đối soát và hỗ trợ xử lý sự cố.</w:t>
      </w:r>
    </w:p>
    <w:p>
      <w:pPr>
        <w:pStyle w:val="ListBullet"/>
      </w:pPr>
      <w:r>
        <w:t>Increment được Product Owner kiểm tra, có thể trình diễn và đáp ứng tiêu chuẩn chất lượng chung của đội.</w:t>
      </w:r>
    </w:p>
    <w:p>
      <w:pPr>
        <w:pStyle w:val="Heading1"/>
      </w:pPr>
      <w:r>
        <w:t>PHẦN D — XỬ LÝ TÌNH HUỐNG THAY ĐỔI</w:t>
      </w:r>
    </w:p>
    <w:p>
      <w:pPr>
        <w:pStyle w:val="Heading2"/>
      </w:pPr>
      <w:r>
        <w:t>1. Tiếp nhận thay đổi mà không phá vỡ Sprint</w:t>
      </w:r>
    </w:p>
    <w:p>
      <w:r>
        <w:t>Khi Marketing đề nghị đổi tỷ lệ từ 100 điểm = 20.000đ sang 100 điểm = 25.000đ giữa Sprint, Scrum Master ghi nhận và làm rõ lý do, thời điểm hiệu lực, phạm vi áp dụng và ảnh hưởng tới khách hàng/giao dịch đã phát sinh. Product Owner đánh giá giá trị, rủi ro và cập nhật thứ tự Product Backlog; đội không tự ý chen yêu cầu vào Sprint đang chạy. Nhóm tiếp tục tập trung Sprint Goal hiện tại, còn thay đổi được đưa vào Sprint sau. Nếu thay đổi khiến Sprint Goal không còn giá trị, chỉ Product Owner mới có thể hủy Sprint sau khi cân nhắc với các bên liên quan; không dùng cách này chỉ để xử lý một yêu cầu thông thường.</w:t>
      </w:r>
    </w:p>
    <w:p>
      <w:pPr>
        <w:pStyle w:val="Heading2"/>
      </w:pPr>
      <w:r>
        <w:t>2. Tác động tới Product Backlog, AC và DoD</w:t>
      </w:r>
    </w:p>
    <w:p>
      <w:pPr>
        <w:pStyle w:val="ListBullet"/>
      </w:pPr>
      <w:r>
        <w:t>Product Backlog: cập nhật PB3 và mọi hạng mục liên quan đến quy đổi/hiển thị giá trị đổi điểm; ghi rõ tỷ lệ mới, ngày hiệu lực, phạm vi áp dụng và ưu tiên. Nếu chính sách chưa được phê duyệt thì giữ tỷ lệ cũ cho đến khi có quyết định chính thức.</w:t>
      </w:r>
    </w:p>
    <w:p>
      <w:pPr>
        <w:pStyle w:val="ListBullet"/>
      </w:pPr>
      <w:r>
        <w:t>Acceptance Criteria: bổ sung hoặc sửa kịch bản đổi 100 điểm được giảm 25.000đ kể từ ngày hiệu lực; kiểm thử trước ngày hiệu lực vẫn áp dụng tỷ lệ cũ. Thêm kịch bản khách không đủ 100 điểm, đổi vượt số dư, giao dịch đồng thời và không cộng dồn ưu đãi khi chưa được hệ thống xác nhận.</w:t>
      </w:r>
    </w:p>
    <w:p>
      <w:pPr>
        <w:pStyle w:val="ListBullet"/>
      </w:pPr>
      <w:r>
        <w:t>Definition of Done: không cần đổi chỉ vì tỷ lệ nghiệp vụ thay đổi. Tuy nhiên, khi PB3 được thực hiện ở Sprint sau, DoD yêu cầu cập nhật đặc tả/tài liệu, kiểm thử hồi quy, kiểm tra dữ liệu giao dịch và xác nhận không làm sai lệch lịch sử đổi điểm. DoD chỉ thay đổi khi đội thống nhất tiêu chuẩn chất lượng chung mới, không sửa riêng để bỏ qua tiêu chí.</w:t>
      </w:r>
    </w:p>
    <w:p>
      <w:pPr>
        <w:pStyle w:val="Heading1"/>
      </w:pPr>
      <w:r>
        <w:t>KẾT LUẬN</w:t>
      </w:r>
    </w:p>
    <w:p>
      <w:r>
        <w:t>Đội Hoa triển khai GreenMart Loyalty trong 4 Sprint, mỗi Sprint 2 tuần. Product Backlog được ưu tiên theo tác động tới tính đúng đắn của điểm, minh bạch giao dịch và khả năng vận hành. Sprint 1 tập trung các hạng mục Must have; yêu cầu thay đổi được tiếp nhận qua Product Owner và Product Backlog, bảo vệ Sprint Goal hiện tại và cập nhật tiêu chí kiểm thử ở Sprint phù hợp.</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GreenMart Loyalty — Bài tập Agile &amp; Scrum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