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000000"/>
          <w:sz w:val="30"/>
        </w:rPr>
        <w:t>NHẬN DIỆN VÀ SỬA KẾ HOẠCH SPRINT REVIEW</w:t>
      </w:r>
    </w:p>
    <w:p>
      <w:pPr>
        <w:jc w:val="center"/>
      </w:pPr>
      <w:r>
        <w:rPr>
          <w:i/>
          <w:sz w:val="20"/>
        </w:rPr>
        <w:t>Bối cảnh: RikkeiAssist – Sprint 11</w:t>
      </w:r>
    </w:p>
    <w:p>
      <w:pPr>
        <w:pStyle w:val="Heading1"/>
      </w:pPr>
      <w:r>
        <w:t>Phần 1 – Rà kế hoạch Sprint Review</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296"/>
            <w:vAlign w:val="center"/>
            <w:shd w:fill="D9D9D9"/>
          </w:tcPr>
          <w:p>
            <w:pPr>
              <w:spacing w:after="0" w:before="0"/>
            </w:pPr>
            <w:r/>
            <w:r>
              <w:rPr>
                <w:rFonts w:ascii="Arial" w:hAnsi="Arial" w:eastAsia="Arial"/>
                <w:b/>
                <w:color w:val="000000"/>
                <w:sz w:val="16"/>
              </w:rPr>
              <w:t>Mã / thời gian</w:t>
            </w:r>
          </w:p>
        </w:tc>
        <w:tc>
          <w:tcPr>
            <w:tcW w:type="dxa" w:w="1512"/>
            <w:vAlign w:val="center"/>
            <w:shd w:fill="D9D9D9"/>
          </w:tcPr>
          <w:p>
            <w:pPr>
              <w:spacing w:after="0" w:before="0"/>
            </w:pPr>
            <w:r/>
            <w:r>
              <w:rPr>
                <w:rFonts w:ascii="Arial" w:hAnsi="Arial" w:eastAsia="Arial"/>
                <w:b/>
                <w:color w:val="000000"/>
                <w:sz w:val="16"/>
              </w:rPr>
              <w:t>Phù hợp / Chưa phù hợp</w:t>
            </w:r>
          </w:p>
        </w:tc>
        <w:tc>
          <w:tcPr>
            <w:tcW w:type="dxa" w:w="936"/>
            <w:vAlign w:val="center"/>
            <w:shd w:fill="D9D9D9"/>
          </w:tcPr>
          <w:p>
            <w:pPr>
              <w:spacing w:after="0" w:before="0"/>
            </w:pPr>
            <w:r/>
            <w:r>
              <w:rPr>
                <w:rFonts w:ascii="Arial" w:hAnsi="Arial" w:eastAsia="Arial"/>
                <w:b/>
                <w:color w:val="000000"/>
                <w:sz w:val="16"/>
              </w:rPr>
              <w:t>Quy tắc</w:t>
            </w:r>
          </w:p>
        </w:tc>
        <w:tc>
          <w:tcPr>
            <w:tcW w:type="dxa" w:w="6912"/>
            <w:vAlign w:val="center"/>
            <w:shd w:fill="D9D9D9"/>
          </w:tcPr>
          <w:p>
            <w:pPr>
              <w:spacing w:after="0" w:before="0"/>
            </w:pPr>
            <w:r/>
            <w:r>
              <w:rPr>
                <w:rFonts w:ascii="Arial" w:hAnsi="Arial" w:eastAsia="Arial"/>
                <w:b/>
                <w:color w:val="000000"/>
                <w:sz w:val="16"/>
              </w:rPr>
              <w:t>Cách sửa ngắn gọn</w:t>
            </w:r>
          </w:p>
        </w:tc>
      </w:tr>
      <w:tr>
        <w:tc>
          <w:tcPr>
            <w:tcW w:type="dxa" w:w="1296"/>
            <w:vAlign w:val="center"/>
          </w:tcPr>
          <w:p>
            <w:pPr>
              <w:spacing w:after="0" w:before="0"/>
            </w:pPr>
            <w:r/>
            <w:r>
              <w:rPr>
                <w:rFonts w:ascii="Arial" w:hAnsi="Arial" w:eastAsia="Arial"/>
                <w:b w:val="0"/>
                <w:color w:val="000000"/>
                <w:sz w:val="16"/>
              </w:rPr>
              <w:t>K-01</w:t>
              <w:br/>
              <w:t>0–5 phút</w:t>
            </w:r>
          </w:p>
        </w:tc>
        <w:tc>
          <w:tcPr>
            <w:tcW w:type="dxa" w:w="1512"/>
            <w:vAlign w:val="center"/>
          </w:tcPr>
          <w:p>
            <w:pPr>
              <w:spacing w:after="0" w:before="0"/>
            </w:pPr>
            <w:r/>
            <w:r>
              <w:rPr>
                <w:rFonts w:ascii="Arial" w:hAnsi="Arial" w:eastAsia="Arial"/>
                <w:b w:val="0"/>
                <w:color w:val="000000"/>
                <w:sz w:val="16"/>
              </w:rPr>
              <w:t>Phù hợp</w:t>
            </w:r>
          </w:p>
        </w:tc>
        <w:tc>
          <w:tcPr>
            <w:tcW w:type="dxa" w:w="936"/>
            <w:vAlign w:val="center"/>
          </w:tcPr>
          <w:p>
            <w:pPr>
              <w:spacing w:after="0" w:before="0"/>
            </w:pPr>
            <w:r/>
            <w:r>
              <w:rPr>
                <w:rFonts w:ascii="Arial" w:hAnsi="Arial" w:eastAsia="Arial"/>
                <w:b w:val="0"/>
                <w:color w:val="000000"/>
                <w:sz w:val="16"/>
              </w:rPr>
              <w:t>—</w:t>
            </w:r>
          </w:p>
        </w:tc>
        <w:tc>
          <w:tcPr>
            <w:tcW w:type="dxa" w:w="6912"/>
            <w:vAlign w:val="center"/>
          </w:tcPr>
          <w:p>
            <w:pPr>
              <w:spacing w:after="0" w:before="0"/>
            </w:pPr>
            <w:r/>
            <w:r>
              <w:rPr>
                <w:rFonts w:ascii="Arial" w:hAnsi="Arial" w:eastAsia="Arial"/>
                <w:b w:val="0"/>
                <w:color w:val="000000"/>
                <w:sz w:val="16"/>
              </w:rPr>
              <w:t>Giữ nguyên. Product Owner nhắc lại Sprint Goal để mọi người thống nhất mục tiêu buổi Review.</w:t>
            </w:r>
          </w:p>
        </w:tc>
      </w:tr>
      <w:tr>
        <w:tc>
          <w:tcPr>
            <w:tcW w:type="dxa" w:w="1296"/>
            <w:vAlign w:val="center"/>
          </w:tcPr>
          <w:p>
            <w:pPr>
              <w:spacing w:after="0" w:before="0"/>
            </w:pPr>
            <w:r/>
            <w:r>
              <w:rPr>
                <w:rFonts w:ascii="Arial" w:hAnsi="Arial" w:eastAsia="Arial"/>
                <w:b w:val="0"/>
                <w:color w:val="000000"/>
                <w:sz w:val="16"/>
              </w:rPr>
              <w:t>K-02</w:t>
              <w:br/>
              <w:t>5–15 phút</w:t>
            </w:r>
          </w:p>
        </w:tc>
        <w:tc>
          <w:tcPr>
            <w:tcW w:type="dxa" w:w="1512"/>
            <w:vAlign w:val="center"/>
          </w:tcPr>
          <w:p>
            <w:pPr>
              <w:spacing w:after="0" w:before="0"/>
            </w:pPr>
            <w:r/>
            <w:r>
              <w:rPr>
                <w:rFonts w:ascii="Arial" w:hAnsi="Arial" w:eastAsia="Arial"/>
                <w:b w:val="0"/>
                <w:color w:val="000000"/>
                <w:sz w:val="16"/>
              </w:rPr>
              <w:t>Chưa phù hợp</w:t>
            </w:r>
          </w:p>
        </w:tc>
        <w:tc>
          <w:tcPr>
            <w:tcW w:type="dxa" w:w="936"/>
            <w:vAlign w:val="center"/>
          </w:tcPr>
          <w:p>
            <w:pPr>
              <w:spacing w:after="0" w:before="0"/>
            </w:pPr>
            <w:r/>
            <w:r>
              <w:rPr>
                <w:rFonts w:ascii="Arial" w:hAnsi="Arial" w:eastAsia="Arial"/>
                <w:b w:val="0"/>
                <w:color w:val="000000"/>
                <w:sz w:val="16"/>
              </w:rPr>
              <w:t>QT1</w:t>
            </w:r>
          </w:p>
        </w:tc>
        <w:tc>
          <w:tcPr>
            <w:tcW w:type="dxa" w:w="6912"/>
            <w:vAlign w:val="center"/>
          </w:tcPr>
          <w:p>
            <w:pPr>
              <w:spacing w:after="0" w:before="0"/>
            </w:pPr>
            <w:r/>
            <w:r>
              <w:rPr>
                <w:rFonts w:ascii="Arial" w:hAnsi="Arial" w:eastAsia="Arial"/>
                <w:b w:val="0"/>
                <w:color w:val="000000"/>
                <w:sz w:val="16"/>
              </w:rPr>
              <w:t>Không báo cáo phần trăm hoàn thành hay giải thích nhóm bận. Thay bằng việc nêu kết quả thực tế, minh bạch PBI Done và chưa Done.</w:t>
            </w:r>
          </w:p>
        </w:tc>
      </w:tr>
      <w:tr>
        <w:tc>
          <w:tcPr>
            <w:tcW w:type="dxa" w:w="1296"/>
            <w:vAlign w:val="center"/>
          </w:tcPr>
          <w:p>
            <w:pPr>
              <w:spacing w:after="0" w:before="0"/>
            </w:pPr>
            <w:r/>
            <w:r>
              <w:rPr>
                <w:rFonts w:ascii="Arial" w:hAnsi="Arial" w:eastAsia="Arial"/>
                <w:b w:val="0"/>
                <w:color w:val="000000"/>
                <w:sz w:val="16"/>
              </w:rPr>
              <w:t>K-03</w:t>
              <w:br/>
              <w:t>15–35 phút</w:t>
            </w:r>
          </w:p>
        </w:tc>
        <w:tc>
          <w:tcPr>
            <w:tcW w:type="dxa" w:w="1512"/>
            <w:vAlign w:val="center"/>
          </w:tcPr>
          <w:p>
            <w:pPr>
              <w:spacing w:after="0" w:before="0"/>
            </w:pPr>
            <w:r/>
            <w:r>
              <w:rPr>
                <w:rFonts w:ascii="Arial" w:hAnsi="Arial" w:eastAsia="Arial"/>
                <w:b w:val="0"/>
                <w:color w:val="000000"/>
                <w:sz w:val="16"/>
              </w:rPr>
              <w:t>Chưa phù hợp</w:t>
            </w:r>
          </w:p>
        </w:tc>
        <w:tc>
          <w:tcPr>
            <w:tcW w:type="dxa" w:w="936"/>
            <w:vAlign w:val="center"/>
          </w:tcPr>
          <w:p>
            <w:pPr>
              <w:spacing w:after="0" w:before="0"/>
            </w:pPr>
            <w:r/>
            <w:r>
              <w:rPr>
                <w:rFonts w:ascii="Arial" w:hAnsi="Arial" w:eastAsia="Arial"/>
                <w:b w:val="0"/>
                <w:color w:val="000000"/>
                <w:sz w:val="16"/>
              </w:rPr>
              <w:t>QT2</w:t>
            </w:r>
          </w:p>
        </w:tc>
        <w:tc>
          <w:tcPr>
            <w:tcW w:type="dxa" w:w="6912"/>
            <w:vAlign w:val="center"/>
          </w:tcPr>
          <w:p>
            <w:pPr>
              <w:spacing w:after="0" w:before="0"/>
            </w:pPr>
            <w:r/>
            <w:r>
              <w:rPr>
                <w:rFonts w:ascii="Arial" w:hAnsi="Arial" w:eastAsia="Arial"/>
                <w:b w:val="0"/>
                <w:color w:val="000000"/>
                <w:sz w:val="16"/>
              </w:rPr>
              <w:t>Developers demo hành trình: khách hỏi trạng thái đơn trên website → RikkeiAssist tra cứu và trả kết quả. Chỉ giới thiệu PBI-41 là Increment Done; nêu rõ PBI-42 còn 8 ca kiểm thử lỗi và PBI-44 còn 6/80 ca phân loại sai, có 1 lỗi nghiêm trọng cao.</w:t>
            </w:r>
          </w:p>
        </w:tc>
      </w:tr>
      <w:tr>
        <w:tc>
          <w:tcPr>
            <w:tcW w:type="dxa" w:w="1296"/>
            <w:vAlign w:val="center"/>
          </w:tcPr>
          <w:p>
            <w:pPr>
              <w:spacing w:after="0" w:before="0"/>
            </w:pPr>
            <w:r/>
            <w:r>
              <w:rPr>
                <w:rFonts w:ascii="Arial" w:hAnsi="Arial" w:eastAsia="Arial"/>
                <w:b w:val="0"/>
                <w:color w:val="000000"/>
                <w:sz w:val="16"/>
              </w:rPr>
              <w:t>K-04</w:t>
              <w:br/>
              <w:t>35–45 phút</w:t>
            </w:r>
          </w:p>
        </w:tc>
        <w:tc>
          <w:tcPr>
            <w:tcW w:type="dxa" w:w="1512"/>
            <w:vAlign w:val="center"/>
          </w:tcPr>
          <w:p>
            <w:pPr>
              <w:spacing w:after="0" w:before="0"/>
            </w:pPr>
            <w:r/>
            <w:r>
              <w:rPr>
                <w:rFonts w:ascii="Arial" w:hAnsi="Arial" w:eastAsia="Arial"/>
                <w:b w:val="0"/>
                <w:color w:val="000000"/>
                <w:sz w:val="16"/>
              </w:rPr>
              <w:t>Chưa phù hợp</w:t>
            </w:r>
          </w:p>
        </w:tc>
        <w:tc>
          <w:tcPr>
            <w:tcW w:type="dxa" w:w="936"/>
            <w:vAlign w:val="center"/>
          </w:tcPr>
          <w:p>
            <w:pPr>
              <w:spacing w:after="0" w:before="0"/>
            </w:pPr>
            <w:r/>
            <w:r>
              <w:rPr>
                <w:rFonts w:ascii="Arial" w:hAnsi="Arial" w:eastAsia="Arial"/>
                <w:b w:val="0"/>
                <w:color w:val="000000"/>
                <w:sz w:val="16"/>
              </w:rPr>
              <w:t>QT3, QT4</w:t>
            </w:r>
          </w:p>
        </w:tc>
        <w:tc>
          <w:tcPr>
            <w:tcW w:type="dxa" w:w="6912"/>
            <w:vAlign w:val="center"/>
          </w:tcPr>
          <w:p>
            <w:pPr>
              <w:spacing w:after="0" w:before="0"/>
            </w:pPr>
            <w:r/>
            <w:r>
              <w:rPr>
                <w:rFonts w:ascii="Arial" w:hAnsi="Arial" w:eastAsia="Arial"/>
                <w:b w:val="0"/>
                <w:color w:val="000000"/>
                <w:sz w:val="16"/>
              </w:rPr>
              <w:t>Không tổ chức nghiệm thu hay chỉ hỏi “Mọi người có đồng ý không?”. Hỏi mở: “Trong tình huống AI không chắc chắn hoặc nhận diện khiếu nại nghiêm trọng, hệ thống nên chuyển cho nhân viên khi nào?”. Ghi Feedback vào danh sách gồm nội dung, người góp ý và vấn đề cần xem xét; Product Owner xem xét cập nhật Product Backlog, không cam kết làm ngay.</w:t>
            </w:r>
          </w:p>
        </w:tc>
      </w:tr>
    </w:tbl>
    <w:p>
      <w:pPr>
        <w:spacing w:after="20"/>
      </w:pPr>
    </w:p>
    <w:p>
      <w:pPr>
        <w:pStyle w:val="Heading1"/>
      </w:pPr>
      <w:r>
        <w:t>Phần 2 – Trạng thái các PBI</w:t>
      </w:r>
    </w:p>
    <w:tbl>
      <w:tblPr>
        <w:tblStyle w:val="TableGrid"/>
        <w:tblW w:type="auto" w:w="0"/>
        <w:jc w:val="center"/>
        <w:tblLook w:firstColumn="1" w:firstRow="1" w:lastColumn="0" w:lastRow="0" w:noHBand="0" w:noVBand="1" w:val="04A0"/>
      </w:tblPr>
      <w:tblGrid>
        <w:gridCol w:w="3456"/>
        <w:gridCol w:w="3456"/>
        <w:gridCol w:w="3456"/>
      </w:tblGrid>
      <w:tr>
        <w:tc>
          <w:tcPr>
            <w:tcW w:type="dxa" w:w="1152"/>
            <w:vAlign w:val="center"/>
            <w:shd w:fill="D9D9D9"/>
          </w:tcPr>
          <w:p>
            <w:pPr>
              <w:spacing w:after="0" w:before="0"/>
            </w:pPr>
            <w:r/>
            <w:r>
              <w:rPr>
                <w:rFonts w:ascii="Arial" w:hAnsi="Arial" w:eastAsia="Arial"/>
                <w:b/>
                <w:color w:val="000000"/>
                <w:sz w:val="17"/>
              </w:rPr>
              <w:t>PBI</w:t>
            </w:r>
          </w:p>
        </w:tc>
        <w:tc>
          <w:tcPr>
            <w:tcW w:type="dxa" w:w="1440"/>
            <w:vAlign w:val="center"/>
            <w:shd w:fill="D9D9D9"/>
          </w:tcPr>
          <w:p>
            <w:pPr>
              <w:spacing w:after="0" w:before="0"/>
            </w:pPr>
            <w:r/>
            <w:r>
              <w:rPr>
                <w:rFonts w:ascii="Arial" w:hAnsi="Arial" w:eastAsia="Arial"/>
                <w:b/>
                <w:color w:val="000000"/>
                <w:sz w:val="17"/>
              </w:rPr>
              <w:t>Trạng thái</w:t>
            </w:r>
          </w:p>
        </w:tc>
        <w:tc>
          <w:tcPr>
            <w:tcW w:type="dxa" w:w="8064"/>
            <w:vAlign w:val="center"/>
            <w:shd w:fill="D9D9D9"/>
          </w:tcPr>
          <w:p>
            <w:pPr>
              <w:spacing w:after="0" w:before="0"/>
            </w:pPr>
            <w:r/>
            <w:r>
              <w:rPr>
                <w:rFonts w:ascii="Arial" w:hAnsi="Arial" w:eastAsia="Arial"/>
                <w:b/>
                <w:color w:val="000000"/>
                <w:sz w:val="17"/>
              </w:rPr>
              <w:t>Câu thông báo trong Sprint Review</w:t>
            </w:r>
          </w:p>
        </w:tc>
      </w:tr>
      <w:tr>
        <w:tc>
          <w:tcPr>
            <w:tcW w:type="dxa" w:w="1152"/>
            <w:vAlign w:val="center"/>
          </w:tcPr>
          <w:p>
            <w:pPr>
              <w:spacing w:after="0" w:before="0"/>
            </w:pPr>
            <w:r/>
            <w:r>
              <w:rPr>
                <w:rFonts w:ascii="Arial" w:hAnsi="Arial" w:eastAsia="Arial"/>
                <w:b w:val="0"/>
                <w:color w:val="000000"/>
                <w:sz w:val="17"/>
              </w:rPr>
              <w:t>PBI-41</w:t>
            </w:r>
          </w:p>
        </w:tc>
        <w:tc>
          <w:tcPr>
            <w:tcW w:type="dxa" w:w="1440"/>
            <w:vAlign w:val="center"/>
          </w:tcPr>
          <w:p>
            <w:pPr>
              <w:spacing w:after="0" w:before="0"/>
            </w:pPr>
            <w:r/>
            <w:r>
              <w:rPr>
                <w:rFonts w:ascii="Arial" w:hAnsi="Arial" w:eastAsia="Arial"/>
                <w:b w:val="0"/>
                <w:color w:val="000000"/>
                <w:sz w:val="17"/>
              </w:rPr>
              <w:t>Done</w:t>
            </w:r>
          </w:p>
        </w:tc>
        <w:tc>
          <w:tcPr>
            <w:tcW w:type="dxa" w:w="8064"/>
            <w:vAlign w:val="center"/>
          </w:tcPr>
          <w:p>
            <w:pPr>
              <w:spacing w:after="0" w:before="0"/>
            </w:pPr>
            <w:r/>
            <w:r>
              <w:rPr>
                <w:rFonts w:ascii="Arial" w:hAnsi="Arial" w:eastAsia="Arial"/>
                <w:b w:val="0"/>
                <w:color w:val="000000"/>
                <w:sz w:val="17"/>
              </w:rPr>
              <w:t>PBI-41 đạt điều kiện Done: đã chạy trên môi trường thử nghiệm, 60/60 kiểm thử chính đạt và không còn lỗi nghiêm trọng cao.</w:t>
            </w:r>
          </w:p>
        </w:tc>
      </w:tr>
      <w:tr>
        <w:tc>
          <w:tcPr>
            <w:tcW w:type="dxa" w:w="1152"/>
            <w:vAlign w:val="center"/>
          </w:tcPr>
          <w:p>
            <w:pPr>
              <w:spacing w:after="0" w:before="0"/>
            </w:pPr>
            <w:r/>
            <w:r>
              <w:rPr>
                <w:rFonts w:ascii="Arial" w:hAnsi="Arial" w:eastAsia="Arial"/>
                <w:b w:val="0"/>
                <w:color w:val="000000"/>
                <w:sz w:val="17"/>
              </w:rPr>
              <w:t>PBI-42</w:t>
            </w:r>
          </w:p>
        </w:tc>
        <w:tc>
          <w:tcPr>
            <w:tcW w:type="dxa" w:w="1440"/>
            <w:vAlign w:val="center"/>
          </w:tcPr>
          <w:p>
            <w:pPr>
              <w:spacing w:after="0" w:before="0"/>
            </w:pPr>
            <w:r/>
            <w:r>
              <w:rPr>
                <w:rFonts w:ascii="Arial" w:hAnsi="Arial" w:eastAsia="Arial"/>
                <w:b w:val="0"/>
                <w:color w:val="000000"/>
                <w:sz w:val="17"/>
              </w:rPr>
              <w:t>Chưa Done</w:t>
            </w:r>
          </w:p>
        </w:tc>
        <w:tc>
          <w:tcPr>
            <w:tcW w:type="dxa" w:w="8064"/>
            <w:vAlign w:val="center"/>
          </w:tcPr>
          <w:p>
            <w:pPr>
              <w:spacing w:after="0" w:before="0"/>
            </w:pPr>
            <w:r/>
            <w:r>
              <w:rPr>
                <w:rFonts w:ascii="Arial" w:hAnsi="Arial" w:eastAsia="Arial"/>
                <w:b w:val="0"/>
                <w:color w:val="000000"/>
                <w:sz w:val="17"/>
              </w:rPr>
              <w:t>PBI-42 chưa được xem là Done vì còn 8 ca kiểm thử lỗi dịch vụ đơn hàng chưa đạt.</w:t>
            </w:r>
          </w:p>
        </w:tc>
      </w:tr>
      <w:tr>
        <w:tc>
          <w:tcPr>
            <w:tcW w:type="dxa" w:w="1152"/>
            <w:vAlign w:val="center"/>
          </w:tcPr>
          <w:p>
            <w:pPr>
              <w:spacing w:after="0" w:before="0"/>
            </w:pPr>
            <w:r/>
            <w:r>
              <w:rPr>
                <w:rFonts w:ascii="Arial" w:hAnsi="Arial" w:eastAsia="Arial"/>
                <w:b w:val="0"/>
                <w:color w:val="000000"/>
                <w:sz w:val="17"/>
              </w:rPr>
              <w:t>PBI-44</w:t>
            </w:r>
          </w:p>
        </w:tc>
        <w:tc>
          <w:tcPr>
            <w:tcW w:type="dxa" w:w="1440"/>
            <w:vAlign w:val="center"/>
          </w:tcPr>
          <w:p>
            <w:pPr>
              <w:spacing w:after="0" w:before="0"/>
            </w:pPr>
            <w:r/>
            <w:r>
              <w:rPr>
                <w:rFonts w:ascii="Arial" w:hAnsi="Arial" w:eastAsia="Arial"/>
                <w:b w:val="0"/>
                <w:color w:val="000000"/>
                <w:sz w:val="17"/>
              </w:rPr>
              <w:t>Chưa Done</w:t>
            </w:r>
          </w:p>
        </w:tc>
        <w:tc>
          <w:tcPr>
            <w:tcW w:type="dxa" w:w="8064"/>
            <w:vAlign w:val="center"/>
          </w:tcPr>
          <w:p>
            <w:pPr>
              <w:spacing w:after="0" w:before="0"/>
            </w:pPr>
            <w:r/>
            <w:r>
              <w:rPr>
                <w:rFonts w:ascii="Arial" w:hAnsi="Arial" w:eastAsia="Arial"/>
                <w:b w:val="0"/>
                <w:color w:val="000000"/>
                <w:sz w:val="17"/>
              </w:rPr>
              <w:t>PBI-44 chưa được xem là Done vì có 6/80 ca phân loại sai và vẫn còn 1 lỗi mức nghiêm trọng cao.</w:t>
            </w:r>
          </w:p>
        </w:tc>
      </w:tr>
    </w:tbl>
    <w:p>
      <w:pPr>
        <w:spacing w:after="20"/>
      </w:pPr>
    </w:p>
    <w:p>
      <w:pPr>
        <w:pStyle w:val="Heading1"/>
      </w:pPr>
      <w:r>
        <w:t>Phần 3 – Xử lý tình huống</w:t>
      </w:r>
    </w:p>
    <w:p>
      <w:pPr>
        <w:pStyle w:val="ListNumber"/>
        <w:spacing w:after="60"/>
      </w:pPr>
      <w:r>
        <w:t>Không nên giấu 6 ca phân loại sai của PBI-44; cần công bố đầy đủ số liệu và lỗi nghiêm trọng cao để Stakeholders hiểu đúng chất lượng hiện tại.</w:t>
      </w:r>
    </w:p>
    <w:p>
      <w:pPr>
        <w:pStyle w:val="ListNumber"/>
        <w:spacing w:after="60"/>
      </w:pPr>
      <w:r>
        <w:t>PBI-44 chưa đạt điều kiện Done nên không được giới thiệu là Increment hoàn thành, dù phần lớn ca kiểm thử đạt.</w:t>
      </w:r>
    </w:p>
    <w:p>
      <w:pPr>
        <w:pStyle w:val="ListNumber"/>
        <w:spacing w:after="60"/>
      </w:pPr>
      <w:r>
        <w:t>Feedback của Chủ cửa hàng sẽ được ghi nhận và xem xét khi cập nhật Product Backlog; nhóm không hứa thực hiện ngay mọi góp ý vì cần đánh giá giá trị, mức ưu tiên và khả năng thực hiện.</w:t>
      </w:r>
    </w:p>
    <w:p>
      <w:pPr>
        <w:pStyle w:val="ListNumber"/>
        <w:spacing w:after="60"/>
      </w:pPr>
      <w:r>
        <w:t>Cần mời Trưởng nhóm CSKH vì người này có góc nhìn quan trọng về thời điểm chuyển hội thoại cho nhân viên khi AI không chắc chắn, bổ sung cho mong muốn của Chủ cửa hàng là để AI tự trả lời nhiều hơn.</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000000"/>
        <w:sz w:val="16"/>
      </w:rPr>
      <w:t>Sprint Review – Sprint 11</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